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061"/>
      </w:tblGrid>
      <w:tr w:rsidR="005626D0" w:rsidRPr="00D53D8A" w:rsidTr="00D53D8A">
        <w:tc>
          <w:tcPr>
            <w:tcW w:w="3227" w:type="dxa"/>
            <w:shd w:val="clear" w:color="auto" w:fill="auto"/>
          </w:tcPr>
          <w:p w:rsidR="005626D0" w:rsidRPr="009A5FB0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9A5FB0">
              <w:rPr>
                <w:rFonts w:eastAsia="Times New Roman"/>
                <w:b/>
                <w:sz w:val="26"/>
                <w:szCs w:val="28"/>
              </w:rPr>
              <w:t>ỦY BAN NHÂN DÂN</w:t>
            </w:r>
          </w:p>
          <w:p w:rsidR="005626D0" w:rsidRPr="009A5FB0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9A5FB0">
              <w:rPr>
                <w:rFonts w:eastAsia="Times New Roman"/>
                <w:b/>
                <w:sz w:val="26"/>
                <w:szCs w:val="28"/>
              </w:rPr>
              <w:t>TỈNH HÀ TĨNH</w:t>
            </w:r>
          </w:p>
          <w:p w:rsidR="005626D0" w:rsidRPr="00D53D8A" w:rsidRDefault="00053BDA" w:rsidP="00D53D8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noProof/>
                <w:sz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670980</wp:posOffset>
                      </wp:positionH>
                      <wp:positionV relativeFrom="paragraph">
                        <wp:posOffset>47625</wp:posOffset>
                      </wp:positionV>
                      <wp:extent cx="61531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85pt,3.75pt" to="101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kTHAIAADU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"/>
                  </w:pict>
                </mc:Fallback>
              </mc:AlternateContent>
            </w:r>
          </w:p>
          <w:p w:rsidR="005626D0" w:rsidRPr="009A5FB0" w:rsidRDefault="005626D0" w:rsidP="009A5FB0">
            <w:pPr>
              <w:spacing w:before="120" w:after="0" w:line="240" w:lineRule="auto"/>
              <w:jc w:val="center"/>
              <w:rPr>
                <w:rFonts w:eastAsia="Times New Roman"/>
                <w:sz w:val="26"/>
                <w:szCs w:val="28"/>
              </w:rPr>
            </w:pPr>
            <w:r w:rsidRPr="009A5FB0">
              <w:rPr>
                <w:rFonts w:eastAsia="Times New Roman"/>
                <w:sz w:val="26"/>
                <w:szCs w:val="28"/>
              </w:rPr>
              <w:t xml:space="preserve">Số: </w:t>
            </w:r>
            <w:r w:rsidR="00993E1C">
              <w:rPr>
                <w:rFonts w:eastAsia="Times New Roman"/>
                <w:sz w:val="26"/>
                <w:szCs w:val="28"/>
              </w:rPr>
              <w:t>402</w:t>
            </w:r>
            <w:r w:rsidRPr="009A5FB0">
              <w:rPr>
                <w:rFonts w:eastAsia="Times New Roman"/>
                <w:sz w:val="26"/>
                <w:szCs w:val="28"/>
              </w:rPr>
              <w:t>/TTr-UBND</w:t>
            </w:r>
          </w:p>
          <w:p w:rsidR="00142BDF" w:rsidRPr="009A5FB0" w:rsidRDefault="00142BDF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5626D0" w:rsidRPr="00D53D8A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706572">
              <w:rPr>
                <w:rFonts w:eastAsia="Times New Roman"/>
                <w:b/>
                <w:sz w:val="26"/>
                <w:szCs w:val="28"/>
              </w:rPr>
              <w:t>CỘNG HÒA XÃ HỘI CHỦ NGHĨA VIỆT NAM</w:t>
            </w:r>
          </w:p>
          <w:p w:rsidR="005626D0" w:rsidRPr="00D53D8A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D53D8A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:rsidR="005626D0" w:rsidRPr="00D53D8A" w:rsidRDefault="00053BDA" w:rsidP="00D53D8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noProof/>
                <w:sz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43179</wp:posOffset>
                      </wp:positionV>
                      <wp:extent cx="2063115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4pt,3.4pt" to="23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O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"/>
                  </w:pict>
                </mc:Fallback>
              </mc:AlternateContent>
            </w:r>
          </w:p>
          <w:p w:rsidR="005626D0" w:rsidRPr="00D53D8A" w:rsidRDefault="009A5FB0" w:rsidP="009A5FB0">
            <w:pPr>
              <w:spacing w:before="12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   </w:t>
            </w:r>
            <w:r w:rsidR="00706572">
              <w:rPr>
                <w:rFonts w:eastAsia="Times New Roman"/>
                <w:i/>
                <w:szCs w:val="28"/>
              </w:rPr>
              <w:t xml:space="preserve"> </w:t>
            </w:r>
            <w:r>
              <w:rPr>
                <w:rFonts w:eastAsia="Times New Roman"/>
                <w:i/>
                <w:szCs w:val="28"/>
              </w:rPr>
              <w:t xml:space="preserve"> </w:t>
            </w:r>
            <w:r w:rsidR="005626D0" w:rsidRPr="00D53D8A">
              <w:rPr>
                <w:rFonts w:eastAsia="Times New Roman"/>
                <w:i/>
                <w:szCs w:val="28"/>
              </w:rPr>
              <w:t xml:space="preserve">Hà Tĩnh, ngày </w:t>
            </w:r>
            <w:r w:rsidR="00993E1C">
              <w:rPr>
                <w:rFonts w:eastAsia="Times New Roman"/>
                <w:i/>
                <w:szCs w:val="28"/>
              </w:rPr>
              <w:t>06</w:t>
            </w:r>
            <w:r w:rsidR="005626D0" w:rsidRPr="00D53D8A">
              <w:rPr>
                <w:rFonts w:eastAsia="Times New Roman"/>
                <w:i/>
                <w:szCs w:val="28"/>
              </w:rPr>
              <w:t xml:space="preserve"> </w:t>
            </w:r>
            <w:r w:rsidR="00DF1F4D" w:rsidRPr="00D53D8A">
              <w:rPr>
                <w:rFonts w:eastAsia="Times New Roman"/>
                <w:i/>
                <w:szCs w:val="28"/>
              </w:rPr>
              <w:t>t</w:t>
            </w:r>
            <w:r w:rsidR="005626D0" w:rsidRPr="00D53D8A">
              <w:rPr>
                <w:rFonts w:eastAsia="Times New Roman"/>
                <w:i/>
                <w:szCs w:val="28"/>
              </w:rPr>
              <w:t>háng</w:t>
            </w:r>
            <w:r w:rsidR="00993E1C">
              <w:rPr>
                <w:rFonts w:eastAsia="Times New Roman"/>
                <w:i/>
                <w:szCs w:val="28"/>
              </w:rPr>
              <w:t xml:space="preserve"> 12</w:t>
            </w:r>
            <w:r w:rsidR="005626D0" w:rsidRPr="00D53D8A">
              <w:rPr>
                <w:rFonts w:eastAsia="Times New Roman"/>
                <w:i/>
                <w:szCs w:val="28"/>
              </w:rPr>
              <w:t xml:space="preserve"> năm 2018</w:t>
            </w:r>
          </w:p>
        </w:tc>
      </w:tr>
    </w:tbl>
    <w:p w:rsidR="005626D0" w:rsidRPr="00E72168" w:rsidRDefault="005626D0" w:rsidP="005626D0">
      <w:pPr>
        <w:spacing w:before="120" w:after="0" w:line="240" w:lineRule="auto"/>
        <w:jc w:val="center"/>
        <w:rPr>
          <w:rFonts w:eastAsia="Times New Roman"/>
          <w:b/>
          <w:sz w:val="2"/>
          <w:szCs w:val="28"/>
        </w:rPr>
      </w:pPr>
    </w:p>
    <w:p w:rsidR="00706572" w:rsidRDefault="00706572" w:rsidP="00706572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5626D0" w:rsidRDefault="005626D0" w:rsidP="00706572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TỜ TRÌNH</w:t>
      </w:r>
    </w:p>
    <w:p w:rsidR="00670102" w:rsidRDefault="005626D0" w:rsidP="00706572">
      <w:pPr>
        <w:spacing w:after="0" w:line="240" w:lineRule="auto"/>
        <w:jc w:val="center"/>
        <w:rPr>
          <w:b/>
          <w:bCs/>
          <w:noProof/>
        </w:rPr>
      </w:pPr>
      <w:r>
        <w:rPr>
          <w:rFonts w:eastAsia="Times New Roman"/>
          <w:b/>
          <w:szCs w:val="28"/>
        </w:rPr>
        <w:t xml:space="preserve">Về việc thông qua </w:t>
      </w:r>
      <w:r w:rsidR="00B21260">
        <w:rPr>
          <w:b/>
        </w:rPr>
        <w:t xml:space="preserve">Nghị quyết </w:t>
      </w:r>
      <w:r w:rsidR="00670102">
        <w:rPr>
          <w:b/>
          <w:bCs/>
          <w:noProof/>
        </w:rPr>
        <w:t>s</w:t>
      </w:r>
      <w:r w:rsidR="00670102" w:rsidRPr="000340CB">
        <w:rPr>
          <w:b/>
          <w:bCs/>
          <w:noProof/>
          <w:lang w:val="vi-VN"/>
        </w:rPr>
        <w:t>ửa đổi, bổ sung</w:t>
      </w:r>
      <w:r w:rsidR="00670102" w:rsidRPr="0057468E">
        <w:rPr>
          <w:b/>
          <w:bCs/>
          <w:noProof/>
          <w:lang w:val="vi-VN"/>
        </w:rPr>
        <w:t xml:space="preserve"> </w:t>
      </w:r>
      <w:r w:rsidR="00670102">
        <w:rPr>
          <w:b/>
          <w:bCs/>
          <w:noProof/>
        </w:rPr>
        <w:t>nội dung</w:t>
      </w:r>
      <w:r w:rsidR="00670102" w:rsidRPr="0057468E">
        <w:rPr>
          <w:b/>
          <w:bCs/>
          <w:noProof/>
          <w:lang w:val="vi-VN"/>
        </w:rPr>
        <w:t xml:space="preserve"> về số lượng, </w:t>
      </w:r>
    </w:p>
    <w:p w:rsidR="00670102" w:rsidRDefault="00670102" w:rsidP="00706572">
      <w:pPr>
        <w:spacing w:after="0" w:line="240" w:lineRule="auto"/>
        <w:jc w:val="center"/>
        <w:rPr>
          <w:b/>
          <w:noProof/>
        </w:rPr>
      </w:pPr>
      <w:r>
        <w:rPr>
          <w:b/>
          <w:bCs/>
          <w:noProof/>
        </w:rPr>
        <w:t>mức khoán chi</w:t>
      </w:r>
      <w:r w:rsidRPr="000340CB">
        <w:rPr>
          <w:b/>
          <w:lang w:val="es-ES_tradnl"/>
        </w:rPr>
        <w:t xml:space="preserve"> phụ cấp </w:t>
      </w:r>
      <w:r>
        <w:rPr>
          <w:b/>
          <w:lang w:val="es-ES_tradnl"/>
        </w:rPr>
        <w:t>tại</w:t>
      </w:r>
      <w:r w:rsidRPr="000340CB">
        <w:rPr>
          <w:b/>
          <w:lang w:val="es-ES_tradnl"/>
        </w:rPr>
        <w:t xml:space="preserve"> </w:t>
      </w:r>
      <w:r w:rsidR="009A5FB0">
        <w:rPr>
          <w:b/>
          <w:lang w:val="es-ES_tradnl"/>
        </w:rPr>
        <w:t>K</w:t>
      </w:r>
      <w:r>
        <w:rPr>
          <w:b/>
          <w:lang w:val="es-ES_tradnl"/>
        </w:rPr>
        <w:t>hoả</w:t>
      </w:r>
      <w:r w:rsidR="009A5FB0">
        <w:rPr>
          <w:b/>
          <w:lang w:val="es-ES_tradnl"/>
        </w:rPr>
        <w:t>n 1, K</w:t>
      </w:r>
      <w:r>
        <w:rPr>
          <w:b/>
          <w:lang w:val="es-ES_tradnl"/>
        </w:rPr>
        <w:t xml:space="preserve">hoản 2 </w:t>
      </w:r>
      <w:r w:rsidRPr="000340CB">
        <w:rPr>
          <w:b/>
          <w:lang w:val="es-ES_tradnl"/>
        </w:rPr>
        <w:t xml:space="preserve">Điều 1 Nghị quyết số </w:t>
      </w:r>
      <w:r w:rsidRPr="000340CB">
        <w:rPr>
          <w:b/>
          <w:noProof/>
          <w:lang w:val="vi-VN"/>
        </w:rPr>
        <w:t xml:space="preserve">165/2015/NQ-HĐND ngày 12/12/2015 của </w:t>
      </w:r>
      <w:r w:rsidRPr="00EB0840">
        <w:rPr>
          <w:b/>
          <w:noProof/>
          <w:lang w:val="vi-VN"/>
        </w:rPr>
        <w:t>Hội đồng nhân dân tỉnh</w:t>
      </w:r>
      <w:r>
        <w:rPr>
          <w:b/>
          <w:noProof/>
        </w:rPr>
        <w:t xml:space="preserve"> q</w:t>
      </w:r>
      <w:r w:rsidRPr="005B74EC">
        <w:rPr>
          <w:b/>
          <w:noProof/>
        </w:rPr>
        <w:t xml:space="preserve">uy định số lượng, chức danh, mức phụ cấp của những người hoạt động </w:t>
      </w:r>
    </w:p>
    <w:p w:rsidR="005626D0" w:rsidRPr="00FD048F" w:rsidRDefault="00670102" w:rsidP="00706572">
      <w:pPr>
        <w:spacing w:after="0" w:line="240" w:lineRule="auto"/>
        <w:jc w:val="center"/>
        <w:rPr>
          <w:rFonts w:eastAsia="Times New Roman"/>
          <w:b/>
          <w:szCs w:val="28"/>
          <w:lang w:val="es-ES_tradnl"/>
        </w:rPr>
      </w:pPr>
      <w:r w:rsidRPr="005B74EC">
        <w:rPr>
          <w:b/>
          <w:noProof/>
        </w:rPr>
        <w:t>không chuyên trách ở cấp xã, ở thôn, tổ dân phố</w:t>
      </w:r>
    </w:p>
    <w:p w:rsidR="005626D0" w:rsidRPr="00FD048F" w:rsidRDefault="00053BDA" w:rsidP="005626D0">
      <w:pPr>
        <w:spacing w:after="0" w:line="240" w:lineRule="auto"/>
        <w:jc w:val="center"/>
        <w:rPr>
          <w:rFonts w:eastAsia="Times New Roman"/>
          <w:szCs w:val="28"/>
          <w:lang w:val="es-ES_trad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61594</wp:posOffset>
                </wp:positionV>
                <wp:extent cx="79629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6.2pt,4.85pt" to="258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nd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"/>
            </w:pict>
          </mc:Fallback>
        </mc:AlternateContent>
      </w:r>
    </w:p>
    <w:p w:rsidR="00DF1F4D" w:rsidRPr="00FD048F" w:rsidRDefault="00DF1F4D" w:rsidP="005626D0">
      <w:pPr>
        <w:spacing w:after="0" w:line="240" w:lineRule="auto"/>
        <w:ind w:firstLine="720"/>
        <w:jc w:val="both"/>
        <w:rPr>
          <w:rFonts w:eastAsia="Times New Roman"/>
          <w:sz w:val="13"/>
          <w:szCs w:val="27"/>
          <w:lang w:val="es-ES_tradnl"/>
        </w:rPr>
      </w:pPr>
    </w:p>
    <w:p w:rsidR="00706572" w:rsidRDefault="00706572" w:rsidP="00691B0D">
      <w:pPr>
        <w:pStyle w:val="BodyTextIndent"/>
        <w:spacing w:before="0" w:after="0" w:line="340" w:lineRule="exact"/>
        <w:ind w:firstLine="0"/>
        <w:jc w:val="center"/>
        <w:rPr>
          <w:rStyle w:val="PageNumber"/>
          <w:lang w:val="nl-NL"/>
        </w:rPr>
      </w:pPr>
    </w:p>
    <w:p w:rsidR="00181F4F" w:rsidRPr="007D7664" w:rsidRDefault="00181F4F" w:rsidP="00691B0D">
      <w:pPr>
        <w:pStyle w:val="BodyTextIndent"/>
        <w:spacing w:before="0" w:after="0" w:line="340" w:lineRule="exact"/>
        <w:ind w:firstLine="0"/>
        <w:jc w:val="center"/>
        <w:rPr>
          <w:rStyle w:val="PageNumber"/>
          <w:lang w:val="nl-NL"/>
        </w:rPr>
      </w:pPr>
      <w:r w:rsidRPr="007D7664">
        <w:rPr>
          <w:rStyle w:val="PageNumber"/>
          <w:lang w:val="nl-NL"/>
        </w:rPr>
        <w:t>K</w:t>
      </w:r>
      <w:r>
        <w:rPr>
          <w:rStyle w:val="PageNumber"/>
          <w:lang w:val="nl-NL"/>
        </w:rPr>
        <w:t>ính gửi: Hội đồng nhân dân tỉnh</w:t>
      </w:r>
    </w:p>
    <w:p w:rsidR="003C2D1A" w:rsidRDefault="003C2D1A" w:rsidP="00691B0D">
      <w:pPr>
        <w:spacing w:after="0" w:line="340" w:lineRule="exact"/>
        <w:ind w:firstLine="720"/>
        <w:jc w:val="both"/>
        <w:rPr>
          <w:b/>
        </w:rPr>
      </w:pPr>
    </w:p>
    <w:p w:rsidR="009A5FB0" w:rsidRPr="00C5458E" w:rsidRDefault="003C2D1A" w:rsidP="009A5FB0">
      <w:pPr>
        <w:spacing w:before="120" w:after="0" w:line="240" w:lineRule="auto"/>
        <w:ind w:firstLine="720"/>
        <w:jc w:val="both"/>
        <w:rPr>
          <w:b/>
          <w:sz w:val="26"/>
        </w:rPr>
      </w:pPr>
      <w:r w:rsidRPr="00C5458E">
        <w:rPr>
          <w:b/>
          <w:sz w:val="26"/>
        </w:rPr>
        <w:t>I</w:t>
      </w:r>
      <w:r w:rsidRPr="00C5458E">
        <w:rPr>
          <w:b/>
          <w:sz w:val="26"/>
          <w:lang w:val="vi-VN"/>
        </w:rPr>
        <w:t xml:space="preserve">. </w:t>
      </w:r>
      <w:r w:rsidR="00C5458E" w:rsidRPr="00C5458E">
        <w:rPr>
          <w:b/>
          <w:sz w:val="26"/>
        </w:rPr>
        <w:t>SỰ CẦN THIẾT</w:t>
      </w:r>
      <w:r w:rsidR="00C5458E">
        <w:rPr>
          <w:b/>
          <w:sz w:val="26"/>
        </w:rPr>
        <w:t>, LÝ DO</w:t>
      </w:r>
      <w:r w:rsidR="00C5458E" w:rsidRPr="00C5458E">
        <w:rPr>
          <w:b/>
          <w:sz w:val="26"/>
        </w:rPr>
        <w:t xml:space="preserve"> BAN HÀNH</w:t>
      </w:r>
    </w:p>
    <w:p w:rsidR="003C2D1A" w:rsidRPr="009A5FB0" w:rsidRDefault="003C2D1A" w:rsidP="009A5FB0">
      <w:pPr>
        <w:spacing w:before="120" w:after="0" w:line="240" w:lineRule="auto"/>
        <w:ind w:firstLine="720"/>
        <w:jc w:val="both"/>
        <w:rPr>
          <w:b/>
          <w:sz w:val="2"/>
        </w:rPr>
      </w:pPr>
      <w:r w:rsidRPr="00DC1620">
        <w:rPr>
          <w:b/>
          <w:lang w:val="vi-VN"/>
        </w:rPr>
        <w:t xml:space="preserve"> </w:t>
      </w:r>
    </w:p>
    <w:p w:rsidR="003C2D1A" w:rsidRDefault="003C2D1A" w:rsidP="009A5FB0">
      <w:pPr>
        <w:spacing w:before="120" w:after="0" w:line="240" w:lineRule="auto"/>
        <w:ind w:firstLine="720"/>
        <w:jc w:val="both"/>
      </w:pPr>
      <w:r w:rsidRPr="0015730E">
        <w:rPr>
          <w:lang w:val="vi-VN"/>
        </w:rPr>
        <w:t xml:space="preserve">Để </w:t>
      </w:r>
      <w:r>
        <w:rPr>
          <w:lang w:val="vi-VN"/>
        </w:rPr>
        <w:t xml:space="preserve">triển khai kịp thời và hiệu quả </w:t>
      </w:r>
      <w:r w:rsidR="00C5458E" w:rsidRPr="00F41FC6">
        <w:rPr>
          <w:szCs w:val="28"/>
        </w:rPr>
        <w:t xml:space="preserve">Nghị quyết số </w:t>
      </w:r>
      <w:r w:rsidR="00C5458E" w:rsidRPr="00F41FC6">
        <w:rPr>
          <w:szCs w:val="28"/>
          <w:lang w:eastAsia="fr-FR" w:bidi="fr-FR"/>
        </w:rPr>
        <w:t xml:space="preserve">18-NQ/TW </w:t>
      </w:r>
      <w:r w:rsidR="00C5458E" w:rsidRPr="00F41FC6">
        <w:rPr>
          <w:szCs w:val="28"/>
        </w:rPr>
        <w:t xml:space="preserve">ngày 25/10/2017 của </w:t>
      </w:r>
      <w:r w:rsidR="00C5458E">
        <w:rPr>
          <w:szCs w:val="28"/>
        </w:rPr>
        <w:t xml:space="preserve">Hội nghị lần thứ </w:t>
      </w:r>
      <w:r w:rsidR="00706572">
        <w:rPr>
          <w:szCs w:val="28"/>
        </w:rPr>
        <w:t>sáu</w:t>
      </w:r>
      <w:r w:rsidR="00C5458E">
        <w:rPr>
          <w:szCs w:val="28"/>
        </w:rPr>
        <w:t xml:space="preserve"> Ban Chấp hành Trung ương Đảng K</w:t>
      </w:r>
      <w:r w:rsidR="00C5458E" w:rsidRPr="00F41FC6">
        <w:rPr>
          <w:szCs w:val="28"/>
        </w:rPr>
        <w:t>hóa XII một số vấn đề về tiếp tục đổi mới, sắp xếp tổ chức bộ máy của hệ thống chính trị tinh gọn, hoạt động hiệu lực, hiệu quả</w:t>
      </w:r>
      <w:r w:rsidR="00C5458E">
        <w:rPr>
          <w:i/>
          <w:szCs w:val="28"/>
        </w:rPr>
        <w:t xml:space="preserve"> </w:t>
      </w:r>
      <w:r w:rsidR="00C5458E" w:rsidRPr="00C5458E">
        <w:rPr>
          <w:szCs w:val="28"/>
        </w:rPr>
        <w:t>và</w:t>
      </w:r>
      <w:r w:rsidR="00C5458E">
        <w:rPr>
          <w:i/>
          <w:szCs w:val="28"/>
        </w:rPr>
        <w:t xml:space="preserve"> </w:t>
      </w:r>
      <w:r w:rsidR="00C5458E" w:rsidRPr="005B0359">
        <w:rPr>
          <w:szCs w:val="28"/>
        </w:rPr>
        <w:t xml:space="preserve">Nghị quyết số 19-NQ/TW </w:t>
      </w:r>
      <w:r w:rsidR="00C5458E">
        <w:rPr>
          <w:szCs w:val="28"/>
        </w:rPr>
        <w:t>n</w:t>
      </w:r>
      <w:r w:rsidR="00C5458E" w:rsidRPr="00E5437E">
        <w:rPr>
          <w:szCs w:val="28"/>
        </w:rPr>
        <w:t>gày 25</w:t>
      </w:r>
      <w:r w:rsidR="00C5458E">
        <w:rPr>
          <w:szCs w:val="28"/>
        </w:rPr>
        <w:t>/</w:t>
      </w:r>
      <w:r w:rsidR="00C5458E" w:rsidRPr="00E5437E">
        <w:rPr>
          <w:szCs w:val="28"/>
        </w:rPr>
        <w:t>10</w:t>
      </w:r>
      <w:r w:rsidR="00C5458E">
        <w:rPr>
          <w:szCs w:val="28"/>
        </w:rPr>
        <w:t>/</w:t>
      </w:r>
      <w:r w:rsidR="00C5458E" w:rsidRPr="00E5437E">
        <w:rPr>
          <w:szCs w:val="28"/>
        </w:rPr>
        <w:t xml:space="preserve">2017 </w:t>
      </w:r>
      <w:r w:rsidR="00C5458E">
        <w:rPr>
          <w:szCs w:val="28"/>
        </w:rPr>
        <w:t xml:space="preserve">của Hội nghị lần thứ </w:t>
      </w:r>
      <w:r w:rsidR="00706572">
        <w:rPr>
          <w:szCs w:val="28"/>
        </w:rPr>
        <w:t>sáu</w:t>
      </w:r>
      <w:r w:rsidR="00C5458E">
        <w:rPr>
          <w:szCs w:val="28"/>
        </w:rPr>
        <w:t xml:space="preserve"> Ban Chấp hành Trung ương Đảng Khóa XII</w:t>
      </w:r>
      <w:r w:rsidR="00C5458E" w:rsidRPr="00E5437E">
        <w:rPr>
          <w:szCs w:val="28"/>
        </w:rPr>
        <w:t xml:space="preserve"> về tiếp tục đổi mới hệ thống tổ chức và quản lý, nâng cao chất lượng và hiệu quả hoạt động của đơn vị sự nghiệp</w:t>
      </w:r>
      <w:r w:rsidR="00C5458E">
        <w:rPr>
          <w:szCs w:val="28"/>
        </w:rPr>
        <w:t xml:space="preserve"> </w:t>
      </w:r>
      <w:r w:rsidR="00C5458E" w:rsidRPr="00E5437E">
        <w:rPr>
          <w:szCs w:val="28"/>
        </w:rPr>
        <w:t>công lập</w:t>
      </w:r>
      <w:r>
        <w:rPr>
          <w:spacing w:val="-1"/>
          <w:lang w:val="vi-VN"/>
        </w:rPr>
        <w:t xml:space="preserve">; </w:t>
      </w:r>
      <w:r w:rsidR="009A5FB0" w:rsidRPr="00EC1948">
        <w:t>ngày 03/10/2018</w:t>
      </w:r>
      <w:r w:rsidR="009A5FB0">
        <w:t>, Ban T</w:t>
      </w:r>
      <w:r w:rsidRPr="00181F4F">
        <w:t>hường vụ Tỉnh ủy</w:t>
      </w:r>
      <w:r w:rsidR="009A5FB0">
        <w:t xml:space="preserve"> đã</w:t>
      </w:r>
      <w:r>
        <w:t xml:space="preserve"> </w:t>
      </w:r>
      <w:r w:rsidR="00706572">
        <w:t>có</w:t>
      </w:r>
      <w:r w:rsidRPr="00181F4F">
        <w:t xml:space="preserve"> Kết luận số 92-KL/TU về một số vấn đề tiếp tục thực hiện Nghị quyết số 18/NQ-TW, Nghị quyết số</w:t>
      </w:r>
      <w:r w:rsidRPr="00181F4F">
        <w:rPr>
          <w:lang w:val="vi-VN"/>
        </w:rPr>
        <w:t xml:space="preserve"> 19-NQ/TW của Ban Chấp hành Trung ương Đảng Khóa XII</w:t>
      </w:r>
      <w:r>
        <w:t>, trong đó thực hiện chủ trương bố trí số lượng người hoạt động không chuyên trách ở cấp xã và ở thôn, tổ dân phố, những người thực hiện nhiệm vụ khác ở thôn, tổ dân phố theo hướng giảm so với số lượng hiện bố trí và khoán chi phụ cấp cho đội ngũ này.</w:t>
      </w:r>
    </w:p>
    <w:p w:rsidR="00691B0D" w:rsidRDefault="00C5458E" w:rsidP="00C5458E">
      <w:pPr>
        <w:spacing w:before="120" w:after="0" w:line="240" w:lineRule="auto"/>
        <w:ind w:firstLine="720"/>
        <w:jc w:val="both"/>
        <w:rPr>
          <w:noProof/>
        </w:rPr>
      </w:pPr>
      <w:r>
        <w:t>Nhằm</w:t>
      </w:r>
      <w:r w:rsidR="003C2D1A" w:rsidRPr="00EC1948">
        <w:t xml:space="preserve"> cụ thể hóa chủ trương tại Kết luận số 92-KL/TU của Ban Thường vụ Tỉnh ủy,</w:t>
      </w:r>
      <w:r w:rsidR="003C2D1A">
        <w:t xml:space="preserve"> đồng thời thực hiện</w:t>
      </w:r>
      <w:r w:rsidR="00CC1E66">
        <w:rPr>
          <w:szCs w:val="28"/>
        </w:rPr>
        <w:t xml:space="preserve"> Kế hoạch số 15/KH-HĐND ngày 22/10/2018 của HĐND tỉnh</w:t>
      </w:r>
      <w:r>
        <w:rPr>
          <w:szCs w:val="28"/>
        </w:rPr>
        <w:t xml:space="preserve"> về</w:t>
      </w:r>
      <w:r w:rsidR="00CC1E66">
        <w:rPr>
          <w:szCs w:val="28"/>
        </w:rPr>
        <w:t xml:space="preserve"> chuẩn bị</w:t>
      </w:r>
      <w:r>
        <w:rPr>
          <w:szCs w:val="28"/>
        </w:rPr>
        <w:t xml:space="preserve"> K</w:t>
      </w:r>
      <w:r w:rsidR="00CC1E66">
        <w:rPr>
          <w:szCs w:val="28"/>
        </w:rPr>
        <w:t>ỳ họp thứ 8 HĐND tỉ</w:t>
      </w:r>
      <w:r>
        <w:rPr>
          <w:szCs w:val="28"/>
        </w:rPr>
        <w:t>nh K</w:t>
      </w:r>
      <w:r w:rsidR="00805A40">
        <w:rPr>
          <w:szCs w:val="28"/>
        </w:rPr>
        <w:t>hóa X</w:t>
      </w:r>
      <w:r w:rsidR="00CC1E66">
        <w:rPr>
          <w:szCs w:val="28"/>
        </w:rPr>
        <w:t>VII</w:t>
      </w:r>
      <w:r w:rsidR="00A07F35" w:rsidRPr="00EC1948">
        <w:rPr>
          <w:szCs w:val="28"/>
        </w:rPr>
        <w:t>,</w:t>
      </w:r>
      <w:r w:rsidR="00EC1948" w:rsidRPr="00EC1948">
        <w:rPr>
          <w:szCs w:val="28"/>
        </w:rPr>
        <w:t xml:space="preserve"> UBND tỉnh </w:t>
      </w:r>
      <w:r>
        <w:rPr>
          <w:szCs w:val="28"/>
        </w:rPr>
        <w:t xml:space="preserve">kính </w:t>
      </w:r>
      <w:r w:rsidR="00EC1948" w:rsidRPr="00EC1948">
        <w:rPr>
          <w:szCs w:val="28"/>
        </w:rPr>
        <w:t xml:space="preserve">trình HĐND tỉnh ban hành Nghị quyết </w:t>
      </w:r>
      <w:r w:rsidR="002A7389" w:rsidRPr="002A7389">
        <w:rPr>
          <w:szCs w:val="28"/>
        </w:rPr>
        <w:t>s</w:t>
      </w:r>
      <w:r w:rsidR="002A7389" w:rsidRPr="002A7389">
        <w:rPr>
          <w:bCs/>
          <w:noProof/>
          <w:lang w:val="vi-VN"/>
        </w:rPr>
        <w:t>ửa đổi, bổ sung nội dung về số lượng, mức khoán chi</w:t>
      </w:r>
      <w:r w:rsidR="002A7389" w:rsidRPr="002A7389">
        <w:rPr>
          <w:lang w:val="es-ES_tradnl"/>
        </w:rPr>
        <w:t xml:space="preserve"> phụ cấp tạ</w:t>
      </w:r>
      <w:r>
        <w:rPr>
          <w:lang w:val="es-ES_tradnl"/>
        </w:rPr>
        <w:t>i K</w:t>
      </w:r>
      <w:r w:rsidR="002A7389" w:rsidRPr="002A7389">
        <w:rPr>
          <w:lang w:val="es-ES_tradnl"/>
        </w:rPr>
        <w:t>hoả</w:t>
      </w:r>
      <w:r>
        <w:rPr>
          <w:lang w:val="es-ES_tradnl"/>
        </w:rPr>
        <w:t>n 1, K</w:t>
      </w:r>
      <w:r w:rsidR="002A7389" w:rsidRPr="002A7389">
        <w:rPr>
          <w:lang w:val="es-ES_tradnl"/>
        </w:rPr>
        <w:t xml:space="preserve">hoản 2 Điều 1 Nghị quyết số </w:t>
      </w:r>
      <w:r w:rsidR="002A7389" w:rsidRPr="002A7389">
        <w:rPr>
          <w:noProof/>
          <w:lang w:val="vi-VN"/>
        </w:rPr>
        <w:t xml:space="preserve">165/2015/NQ-HĐND ngày 12/12/2015 của </w:t>
      </w:r>
      <w:r>
        <w:rPr>
          <w:noProof/>
        </w:rPr>
        <w:t>HĐND</w:t>
      </w:r>
      <w:r w:rsidR="002A7389" w:rsidRPr="002A7389">
        <w:rPr>
          <w:noProof/>
          <w:lang w:val="vi-VN"/>
        </w:rPr>
        <w:t xml:space="preserve"> tỉnh Quy định số lượng, chức danh, mức phụ cấp của những người hoạt động không chuyên trách ở cấp xã, ở thôn, tổ dân phố</w:t>
      </w:r>
      <w:r w:rsidR="003C2D1A">
        <w:rPr>
          <w:noProof/>
        </w:rPr>
        <w:t>.</w:t>
      </w:r>
    </w:p>
    <w:p w:rsidR="00C5458E" w:rsidRPr="00C5458E" w:rsidRDefault="003C2D1A" w:rsidP="009A5FB0">
      <w:pPr>
        <w:spacing w:before="120" w:after="0" w:line="240" w:lineRule="auto"/>
        <w:ind w:firstLine="720"/>
        <w:jc w:val="both"/>
        <w:rPr>
          <w:b/>
          <w:noProof/>
          <w:sz w:val="26"/>
        </w:rPr>
      </w:pPr>
      <w:r w:rsidRPr="00C5458E">
        <w:rPr>
          <w:b/>
          <w:noProof/>
          <w:sz w:val="26"/>
        </w:rPr>
        <w:t xml:space="preserve">II. </w:t>
      </w:r>
      <w:r w:rsidR="00C5458E" w:rsidRPr="00C5458E">
        <w:rPr>
          <w:b/>
          <w:noProof/>
          <w:sz w:val="26"/>
        </w:rPr>
        <w:t xml:space="preserve">CÁC NỘI DUNG CHÍNH QUY ĐỊNH TẠI NGHỊ </w:t>
      </w:r>
      <w:r w:rsidR="00706572">
        <w:rPr>
          <w:b/>
          <w:noProof/>
          <w:sz w:val="26"/>
        </w:rPr>
        <w:t>QUYẾT</w:t>
      </w:r>
    </w:p>
    <w:p w:rsidR="0070632D" w:rsidRPr="003523D7" w:rsidRDefault="0070632D" w:rsidP="009A5FB0">
      <w:pPr>
        <w:spacing w:before="120" w:after="0" w:line="240" w:lineRule="auto"/>
        <w:ind w:firstLine="720"/>
        <w:jc w:val="both"/>
        <w:rPr>
          <w:b/>
          <w:szCs w:val="28"/>
        </w:rPr>
      </w:pPr>
      <w:r w:rsidRPr="003523D7">
        <w:rPr>
          <w:b/>
          <w:szCs w:val="28"/>
        </w:rPr>
        <w:t>1. Ở cấ</w:t>
      </w:r>
      <w:r w:rsidR="00AB5B96">
        <w:rPr>
          <w:b/>
          <w:szCs w:val="28"/>
        </w:rPr>
        <w:t>p xã</w:t>
      </w:r>
    </w:p>
    <w:p w:rsidR="00094D29" w:rsidRPr="00094D29" w:rsidRDefault="00094D29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094D29">
        <w:rPr>
          <w:szCs w:val="28"/>
        </w:rPr>
        <w:t xml:space="preserve">a) Số lượng người hoạt động không chuyên trách cấp xã: </w:t>
      </w:r>
      <w:r w:rsidR="00C5458E">
        <w:rPr>
          <w:szCs w:val="28"/>
        </w:rPr>
        <w:t>M</w:t>
      </w:r>
      <w:r w:rsidRPr="00094D29">
        <w:rPr>
          <w:szCs w:val="28"/>
        </w:rPr>
        <w:t>ỗi xã, phường, thị trấn bố trí không quá 08 người.</w:t>
      </w:r>
    </w:p>
    <w:p w:rsidR="00094D29" w:rsidRPr="00094D29" w:rsidRDefault="00094D29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094D29">
        <w:rPr>
          <w:szCs w:val="28"/>
        </w:rPr>
        <w:lastRenderedPageBreak/>
        <w:t xml:space="preserve">b) Mức khoán chi phụ cấp: </w:t>
      </w:r>
    </w:p>
    <w:p w:rsidR="0070632D" w:rsidRPr="0070632D" w:rsidRDefault="00094D29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094D29">
        <w:rPr>
          <w:szCs w:val="28"/>
        </w:rPr>
        <w:t>Thực hiện tổng mức khoán chi phụ cấp, bao gồm cả 3% bảo hiểm y tế để chi</w:t>
      </w:r>
      <w:r w:rsidRPr="00D8235F">
        <w:rPr>
          <w:noProof/>
          <w:lang w:val="vi-VN"/>
        </w:rPr>
        <w:t xml:space="preserve"> trả h</w:t>
      </w:r>
      <w:r w:rsidR="00C5458E">
        <w:rPr>
          <w:noProof/>
        </w:rPr>
        <w:t>à</w:t>
      </w:r>
      <w:r w:rsidRPr="00D8235F">
        <w:rPr>
          <w:noProof/>
          <w:lang w:val="vi-VN"/>
        </w:rPr>
        <w:t>ng tháng đối với những người hoạt động khôn</w:t>
      </w:r>
      <w:r>
        <w:rPr>
          <w:noProof/>
          <w:lang w:val="vi-VN"/>
        </w:rPr>
        <w:t>g chuyên trách ở cấp xã</w:t>
      </w:r>
      <w:r>
        <w:rPr>
          <w:noProof/>
        </w:rPr>
        <w:t xml:space="preserve"> loại 1, loại 2, loại 3 </w:t>
      </w:r>
      <w:r w:rsidRPr="00D8235F">
        <w:rPr>
          <w:noProof/>
          <w:lang w:val="vi-VN"/>
        </w:rPr>
        <w:t>bằng</w:t>
      </w:r>
      <w:r w:rsidRPr="00FE0F9D">
        <w:rPr>
          <w:noProof/>
          <w:lang w:val="vi-VN"/>
        </w:rPr>
        <w:t xml:space="preserve"> mức khoán quỹ phụ cấp của Trung ương theo quy định hiện hành</w:t>
      </w:r>
      <w:r w:rsidR="00524803" w:rsidRPr="00F544C7">
        <w:rPr>
          <w:rStyle w:val="FootnoteReference"/>
          <w:lang w:val="nl-NL"/>
        </w:rPr>
        <w:footnoteReference w:id="1"/>
      </w:r>
      <w:r>
        <w:rPr>
          <w:noProof/>
        </w:rPr>
        <w:t>.</w:t>
      </w:r>
      <w:r w:rsidR="00297E11" w:rsidRPr="00297E11">
        <w:rPr>
          <w:noProof/>
        </w:rPr>
        <w:t xml:space="preserve"> </w:t>
      </w:r>
      <w:r w:rsidR="00297E11">
        <w:rPr>
          <w:noProof/>
        </w:rPr>
        <w:t>Mức khoán chi phụ cấp đối với 01 người hoạt động không chuyên trách cấp xã không được thấp hơn 1,3 lần mức lương cơ sở/người/tháng, không đượ</w:t>
      </w:r>
      <w:r w:rsidR="00805A40">
        <w:rPr>
          <w:noProof/>
        </w:rPr>
        <w:t>c cao hơn 2,54</w:t>
      </w:r>
      <w:r w:rsidR="00297E11">
        <w:rPr>
          <w:noProof/>
        </w:rPr>
        <w:t xml:space="preserve"> lần mức lương cơ sở/người/tháng.</w:t>
      </w:r>
      <w:r w:rsidR="0070632D">
        <w:rPr>
          <w:szCs w:val="28"/>
        </w:rPr>
        <w:t xml:space="preserve"> </w:t>
      </w:r>
      <w:r w:rsidR="0070632D" w:rsidRPr="0070632D">
        <w:rPr>
          <w:szCs w:val="28"/>
        </w:rPr>
        <w:t xml:space="preserve"> </w:t>
      </w:r>
    </w:p>
    <w:p w:rsidR="0070632D" w:rsidRPr="003523D7" w:rsidRDefault="0070632D" w:rsidP="009A5FB0">
      <w:pPr>
        <w:spacing w:before="120" w:after="0" w:line="240" w:lineRule="auto"/>
        <w:ind w:firstLine="720"/>
        <w:jc w:val="both"/>
        <w:rPr>
          <w:b/>
          <w:szCs w:val="28"/>
        </w:rPr>
      </w:pPr>
      <w:r w:rsidRPr="003523D7">
        <w:rPr>
          <w:b/>
          <w:szCs w:val="28"/>
        </w:rPr>
        <w:t xml:space="preserve">2. Ở thôn, tổ dân phố 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>a) Đối với những người hoạt động không chuyên trách ở thôn, tổ dân phố: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>- Số lượ</w:t>
      </w:r>
      <w:r w:rsidR="00C5458E">
        <w:rPr>
          <w:szCs w:val="28"/>
        </w:rPr>
        <w:t>ng: M</w:t>
      </w:r>
      <w:r w:rsidRPr="0070632D">
        <w:rPr>
          <w:szCs w:val="28"/>
        </w:rPr>
        <w:t>ỗi thôn, tổ dân phố bố trí không quá 02 người</w:t>
      </w:r>
      <w:r w:rsidR="00C5458E">
        <w:rPr>
          <w:szCs w:val="28"/>
        </w:rPr>
        <w:t>.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>- Mức khoán chi phụ cấ</w:t>
      </w:r>
      <w:r w:rsidR="00C5458E">
        <w:rPr>
          <w:szCs w:val="28"/>
        </w:rPr>
        <w:t>p: T</w:t>
      </w:r>
      <w:r w:rsidRPr="0070632D">
        <w:rPr>
          <w:szCs w:val="28"/>
        </w:rPr>
        <w:t>hực hiện</w:t>
      </w:r>
      <w:r w:rsidR="00EB2F24">
        <w:rPr>
          <w:szCs w:val="28"/>
        </w:rPr>
        <w:t xml:space="preserve"> tổng</w:t>
      </w:r>
      <w:r w:rsidRPr="0070632D">
        <w:rPr>
          <w:szCs w:val="28"/>
        </w:rPr>
        <w:t xml:space="preserve"> khoán chi phụ cấp, bao gồm cả 3% bảo hiểm y tế để chi trả h</w:t>
      </w:r>
      <w:r w:rsidR="00C5458E">
        <w:rPr>
          <w:szCs w:val="28"/>
        </w:rPr>
        <w:t>à</w:t>
      </w:r>
      <w:r w:rsidRPr="0070632D">
        <w:rPr>
          <w:szCs w:val="28"/>
        </w:rPr>
        <w:t>ng tháng đối với những người hoạt động không chuyên trách ở thôn, tổ dân phố</w:t>
      </w:r>
      <w:r w:rsidR="00F83B04">
        <w:rPr>
          <w:szCs w:val="28"/>
        </w:rPr>
        <w:t xml:space="preserve"> theo đúng quy định tạ</w:t>
      </w:r>
      <w:r w:rsidR="00C5458E">
        <w:rPr>
          <w:szCs w:val="28"/>
        </w:rPr>
        <w:t>i K</w:t>
      </w:r>
      <w:r w:rsidR="00F83B04">
        <w:rPr>
          <w:szCs w:val="28"/>
        </w:rPr>
        <w:t>hoản 2 Điều 1 Nghị quyết số 165/2015/NQ-HĐND của HĐND tỉnh, cụ thể</w:t>
      </w:r>
      <w:r w:rsidRPr="0070632D">
        <w:rPr>
          <w:szCs w:val="28"/>
        </w:rPr>
        <w:t xml:space="preserve"> như sau: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Thôn, tổ dân phố loại 1 được khoán quỹ phụ cấp bằng 3,6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sở;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Thôn, tổ dân phố loại 2 được khoán quỹ phụ cấp bằng 3,3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sở;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Thôn, tổ dân phố loại 3 được khoán quỹ phụ cấp bằng 3,0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sở.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>b) Đối với những người thực hiện nhiệm vụ khác ở thôn, tổ dân phố: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>- Số lượ</w:t>
      </w:r>
      <w:r w:rsidR="00C5458E">
        <w:rPr>
          <w:szCs w:val="28"/>
        </w:rPr>
        <w:t>ng: M</w:t>
      </w:r>
      <w:r w:rsidRPr="0070632D">
        <w:rPr>
          <w:szCs w:val="28"/>
        </w:rPr>
        <w:t>ỗi thôn, tổ dân phố bố trí không quá 05 người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- Mức khoán chi phụ cấp: </w:t>
      </w:r>
      <w:r w:rsidR="00C5458E">
        <w:rPr>
          <w:szCs w:val="28"/>
        </w:rPr>
        <w:t>T</w:t>
      </w:r>
      <w:r w:rsidRPr="0070632D">
        <w:rPr>
          <w:szCs w:val="28"/>
        </w:rPr>
        <w:t>hực hiện</w:t>
      </w:r>
      <w:r w:rsidR="00EB2F24">
        <w:rPr>
          <w:szCs w:val="28"/>
        </w:rPr>
        <w:t xml:space="preserve"> tổng</w:t>
      </w:r>
      <w:r w:rsidRPr="0070632D">
        <w:rPr>
          <w:szCs w:val="28"/>
        </w:rPr>
        <w:t xml:space="preserve"> khoán chi phụ cấp để chi trả h</w:t>
      </w:r>
      <w:r w:rsidR="00C5458E">
        <w:rPr>
          <w:szCs w:val="28"/>
        </w:rPr>
        <w:t>à</w:t>
      </w:r>
      <w:r w:rsidRPr="0070632D">
        <w:rPr>
          <w:szCs w:val="28"/>
        </w:rPr>
        <w:t>ng tháng đối với những người thực hiện nhiệm vụ khác ở thôn, tô dân phố</w:t>
      </w:r>
      <w:r w:rsidR="00F83B04" w:rsidRPr="00F83B04">
        <w:rPr>
          <w:szCs w:val="28"/>
        </w:rPr>
        <w:t xml:space="preserve"> </w:t>
      </w:r>
      <w:r w:rsidR="00F83B04">
        <w:rPr>
          <w:szCs w:val="28"/>
        </w:rPr>
        <w:t>theo đúng quy định tạ</w:t>
      </w:r>
      <w:r w:rsidR="00C5458E">
        <w:rPr>
          <w:szCs w:val="28"/>
        </w:rPr>
        <w:t>i K</w:t>
      </w:r>
      <w:r w:rsidR="00F83B04">
        <w:rPr>
          <w:szCs w:val="28"/>
        </w:rPr>
        <w:t xml:space="preserve">hoản 2 Điều 1 Nghị quyết số 165/2015/NQ-HĐND của HĐND tỉnh, cụ thể </w:t>
      </w:r>
      <w:r w:rsidRPr="0070632D">
        <w:rPr>
          <w:szCs w:val="28"/>
        </w:rPr>
        <w:t>như sau: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</w:t>
      </w:r>
      <w:r w:rsidR="00E0478C">
        <w:rPr>
          <w:szCs w:val="28"/>
        </w:rPr>
        <w:t>Thôn, tổ</w:t>
      </w:r>
      <w:r w:rsidRPr="0070632D">
        <w:rPr>
          <w:szCs w:val="28"/>
        </w:rPr>
        <w:t xml:space="preserve"> dân phố loại 1 được khoán quỹ phụ cấp bằng 4,2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sở;</w:t>
      </w:r>
    </w:p>
    <w:p w:rsidR="0070632D" w:rsidRPr="0070632D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</w:t>
      </w:r>
      <w:r w:rsidR="00E0478C">
        <w:rPr>
          <w:szCs w:val="28"/>
        </w:rPr>
        <w:t>Thôn, tổ</w:t>
      </w:r>
      <w:r w:rsidRPr="0070632D">
        <w:rPr>
          <w:szCs w:val="28"/>
        </w:rPr>
        <w:t xml:space="preserve"> dân phố loại 2 được khoán quỹ phụ cấp bằng 3,8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sở;</w:t>
      </w:r>
    </w:p>
    <w:p w:rsidR="00A07F35" w:rsidRDefault="0070632D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70632D">
        <w:rPr>
          <w:szCs w:val="28"/>
        </w:rPr>
        <w:t xml:space="preserve">+ </w:t>
      </w:r>
      <w:r w:rsidR="00E0478C">
        <w:rPr>
          <w:szCs w:val="28"/>
        </w:rPr>
        <w:t>Thôn, tổ</w:t>
      </w:r>
      <w:r w:rsidRPr="0070632D">
        <w:rPr>
          <w:szCs w:val="28"/>
        </w:rPr>
        <w:t xml:space="preserve"> dân phố loại 3 được khoán quỹ phụ cấp bằng 3,4 </w:t>
      </w:r>
      <w:r w:rsidR="00D536AD" w:rsidRPr="00800B17">
        <w:rPr>
          <w:noProof/>
          <w:lang w:val="vi-VN"/>
        </w:rPr>
        <w:t>lần mức</w:t>
      </w:r>
      <w:r w:rsidRPr="0070632D">
        <w:rPr>
          <w:szCs w:val="28"/>
        </w:rPr>
        <w:t xml:space="preserve"> lương cơ sở.</w:t>
      </w:r>
    </w:p>
    <w:p w:rsidR="00B76606" w:rsidRPr="00B76606" w:rsidRDefault="00B76606" w:rsidP="009A5FB0">
      <w:pPr>
        <w:spacing w:before="120" w:after="0" w:line="240" w:lineRule="auto"/>
        <w:ind w:firstLine="720"/>
        <w:jc w:val="both"/>
        <w:rPr>
          <w:szCs w:val="28"/>
        </w:rPr>
      </w:pPr>
      <w:r w:rsidRPr="00B76606">
        <w:rPr>
          <w:b/>
          <w:szCs w:val="28"/>
        </w:rPr>
        <w:t>3. Về phụ cấp kiêm nhiệm:</w:t>
      </w:r>
      <w:r>
        <w:rPr>
          <w:szCs w:val="28"/>
        </w:rPr>
        <w:t xml:space="preserve"> </w:t>
      </w:r>
      <w:r w:rsidR="00C5458E">
        <w:rPr>
          <w:szCs w:val="28"/>
        </w:rPr>
        <w:t>B</w:t>
      </w:r>
      <w:r>
        <w:rPr>
          <w:szCs w:val="28"/>
        </w:rPr>
        <w:t xml:space="preserve">ãi bỏ </w:t>
      </w:r>
      <w:r w:rsidR="00C5458E">
        <w:rPr>
          <w:szCs w:val="28"/>
        </w:rPr>
        <w:t>K</w:t>
      </w:r>
      <w:r>
        <w:rPr>
          <w:szCs w:val="28"/>
        </w:rPr>
        <w:t xml:space="preserve">hoản 3 Điều 1 Nghị quyết số 165/2015/NQ-HĐND của HĐND tỉnh về phụ cấp kiêm nhiệm, do đã thực hiện khoán kinh phí chi phụ cấp. </w:t>
      </w:r>
    </w:p>
    <w:p w:rsidR="00A84127" w:rsidRPr="003523D7" w:rsidRDefault="00B76606" w:rsidP="009A5FB0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lastRenderedPageBreak/>
        <w:t>4</w:t>
      </w:r>
      <w:r w:rsidR="00A84127" w:rsidRPr="003523D7">
        <w:rPr>
          <w:b/>
          <w:szCs w:val="28"/>
        </w:rPr>
        <w:t>. Về chức danh</w:t>
      </w:r>
      <w:r w:rsidR="00297E11">
        <w:rPr>
          <w:b/>
          <w:szCs w:val="28"/>
        </w:rPr>
        <w:t xml:space="preserve">, nhóm nhiệm vụ </w:t>
      </w:r>
      <w:r w:rsidR="003523D7" w:rsidRPr="00EC1948">
        <w:t>người hoạt động không chuyên trách ở cấp xã, ở thôn, tổ dân phố và những người thực hiện nhiệm vụ khác ở thôn, tổ dân phố</w:t>
      </w:r>
      <w:r w:rsidR="003523D7">
        <w:t xml:space="preserve"> đã được quy định cụ thể tại Nghị quyết số 165/2015/NQ-HĐND của HĐND tỉnh, không </w:t>
      </w:r>
      <w:r w:rsidR="003523D7" w:rsidRPr="003523D7">
        <w:rPr>
          <w:szCs w:val="28"/>
        </w:rPr>
        <w:t>sửa đổi, bổ</w:t>
      </w:r>
      <w:r>
        <w:rPr>
          <w:szCs w:val="28"/>
        </w:rPr>
        <w:t xml:space="preserve"> sung.</w:t>
      </w:r>
    </w:p>
    <w:p w:rsidR="003523D7" w:rsidRPr="003523D7" w:rsidRDefault="00B76606" w:rsidP="009A5FB0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5</w:t>
      </w:r>
      <w:r w:rsidR="003523D7" w:rsidRPr="003523D7">
        <w:rPr>
          <w:b/>
          <w:szCs w:val="28"/>
        </w:rPr>
        <w:t>. Về thời gian thực hiện:</w:t>
      </w:r>
    </w:p>
    <w:p w:rsidR="003523D7" w:rsidRPr="003523D7" w:rsidRDefault="003523D7" w:rsidP="009A5FB0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4.</w:t>
      </w:r>
      <w:r w:rsidRPr="003523D7">
        <w:rPr>
          <w:szCs w:val="28"/>
        </w:rPr>
        <w:t xml:space="preserve">1. Về mức khoán chi phụ cấp: </w:t>
      </w:r>
      <w:r w:rsidR="00C5458E">
        <w:rPr>
          <w:szCs w:val="28"/>
        </w:rPr>
        <w:t>T</w:t>
      </w:r>
      <w:r w:rsidRPr="003523D7">
        <w:rPr>
          <w:szCs w:val="28"/>
        </w:rPr>
        <w:t>hực hiện từ 01/01/2019.</w:t>
      </w:r>
    </w:p>
    <w:p w:rsidR="00691B0D" w:rsidRPr="00C5458E" w:rsidRDefault="003523D7" w:rsidP="00C5458E">
      <w:pPr>
        <w:spacing w:before="120" w:after="0" w:line="240" w:lineRule="auto"/>
        <w:ind w:firstLine="720"/>
        <w:jc w:val="both"/>
        <w:rPr>
          <w:lang w:val="es-ES_tradnl"/>
        </w:rPr>
      </w:pPr>
      <w:r>
        <w:rPr>
          <w:szCs w:val="28"/>
        </w:rPr>
        <w:t>4.</w:t>
      </w:r>
      <w:r w:rsidRPr="003523D7">
        <w:rPr>
          <w:szCs w:val="28"/>
        </w:rPr>
        <w:t>2. Về bố trí số lượng:</w:t>
      </w:r>
      <w:r w:rsidR="00D277B8" w:rsidRPr="00D277B8">
        <w:rPr>
          <w:lang w:val="es-ES_tradnl"/>
        </w:rPr>
        <w:t xml:space="preserve"> </w:t>
      </w:r>
      <w:r w:rsidR="00C5458E">
        <w:rPr>
          <w:lang w:val="es-ES_tradnl"/>
        </w:rPr>
        <w:t>T</w:t>
      </w:r>
      <w:r w:rsidR="00D277B8">
        <w:rPr>
          <w:lang w:val="es-ES_tradnl"/>
        </w:rPr>
        <w:t xml:space="preserve">hực hiện từ 01/01/2019; hoàn thành việc sắp xếp, </w:t>
      </w:r>
      <w:r w:rsidR="00D277B8" w:rsidRPr="000968DB">
        <w:rPr>
          <w:lang w:val="es-ES_tradnl"/>
        </w:rPr>
        <w:t>bố trí số lượng</w:t>
      </w:r>
      <w:r w:rsidR="00D277B8" w:rsidRPr="000968DB">
        <w:rPr>
          <w:lang w:val="vi-VN"/>
        </w:rPr>
        <w:t xml:space="preserve"> những người hoạt động không chuyên trách ở cấp xã</w:t>
      </w:r>
      <w:r w:rsidR="00D277B8" w:rsidRPr="001D41CC">
        <w:rPr>
          <w:lang w:val="es-ES_tradnl"/>
        </w:rPr>
        <w:t>, ở</w:t>
      </w:r>
      <w:r w:rsidR="00D277B8">
        <w:rPr>
          <w:lang w:val="es-ES_tradnl"/>
        </w:rPr>
        <w:t xml:space="preserve"> </w:t>
      </w:r>
      <w:r w:rsidR="00D277B8" w:rsidRPr="004F5A4C">
        <w:rPr>
          <w:lang w:val="es-ES_tradnl"/>
        </w:rPr>
        <w:t>thôn, tổ dân phố và những người thực hiện nhiệm vụ khác ở thôn, tổ dân phố</w:t>
      </w:r>
      <w:r w:rsidR="00D277B8" w:rsidRPr="00E301EF">
        <w:rPr>
          <w:lang w:val="es-ES_tradnl"/>
        </w:rPr>
        <w:t xml:space="preserve"> </w:t>
      </w:r>
      <w:r w:rsidR="00D277B8">
        <w:rPr>
          <w:lang w:val="es-ES_tradnl"/>
        </w:rPr>
        <w:t xml:space="preserve">theo quy định tại </w:t>
      </w:r>
      <w:r w:rsidR="00297E11">
        <w:rPr>
          <w:lang w:val="es-ES_tradnl"/>
        </w:rPr>
        <w:t>Mục</w:t>
      </w:r>
      <w:r w:rsidR="00D277B8">
        <w:rPr>
          <w:lang w:val="es-ES_tradnl"/>
        </w:rPr>
        <w:t xml:space="preserve"> 1</w:t>
      </w:r>
      <w:r w:rsidR="00297E11">
        <w:rPr>
          <w:lang w:val="es-ES_tradnl"/>
        </w:rPr>
        <w:t>, 2 nêu trên</w:t>
      </w:r>
      <w:r w:rsidR="00D277B8">
        <w:rPr>
          <w:lang w:val="es-ES_tradnl"/>
        </w:rPr>
        <w:t xml:space="preserve"> trước </w:t>
      </w:r>
      <w:r w:rsidR="00C5458E">
        <w:rPr>
          <w:lang w:val="es-ES_tradnl"/>
        </w:rPr>
        <w:t xml:space="preserve">ngày </w:t>
      </w:r>
      <w:r w:rsidR="00D277B8">
        <w:rPr>
          <w:lang w:val="es-ES_tradnl"/>
        </w:rPr>
        <w:t>01/8/2019.</w:t>
      </w:r>
    </w:p>
    <w:p w:rsidR="003C2D1A" w:rsidRPr="00C5458E" w:rsidRDefault="003C2D1A" w:rsidP="009A5FB0">
      <w:pPr>
        <w:spacing w:before="120" w:after="0" w:line="240" w:lineRule="auto"/>
        <w:ind w:firstLine="720"/>
        <w:jc w:val="both"/>
        <w:rPr>
          <w:b/>
          <w:sz w:val="26"/>
          <w:lang w:val="es-ES_tradnl"/>
        </w:rPr>
      </w:pPr>
      <w:r w:rsidRPr="00C5458E">
        <w:rPr>
          <w:b/>
          <w:sz w:val="26"/>
          <w:lang w:val="es-ES_tradnl"/>
        </w:rPr>
        <w:t xml:space="preserve">III. </w:t>
      </w:r>
      <w:r w:rsidR="00C5458E" w:rsidRPr="00C5458E">
        <w:rPr>
          <w:b/>
          <w:sz w:val="26"/>
          <w:lang w:val="es-ES_tradnl"/>
        </w:rPr>
        <w:t>ĐÁNH GIÁ HIỆU QUẢ</w:t>
      </w:r>
    </w:p>
    <w:p w:rsidR="003C2D1A" w:rsidRPr="00986C56" w:rsidRDefault="003C2D1A" w:rsidP="009A5FB0">
      <w:pPr>
        <w:spacing w:before="120" w:after="0" w:line="240" w:lineRule="auto"/>
        <w:ind w:firstLine="720"/>
        <w:jc w:val="both"/>
        <w:rPr>
          <w:lang w:val="es-ES_tradnl"/>
        </w:rPr>
      </w:pPr>
      <w:r w:rsidRPr="00986C56">
        <w:rPr>
          <w:lang w:val="es-ES_tradnl"/>
        </w:rPr>
        <w:t xml:space="preserve">- Thực hiện được chủ trương khoán chi phụ cấp cho những người hoạt động không chuyên trách ở cấp xã và ở thôn, tổ dân phố, những người thực hiện nhiệm vụ khác ở thôn, tổ dân phố; giảm số lượng những người hoạt động không chuyên trách ở cấp xã và ở thôn, tổ dân phố, những người thực hiện nhiệm vụ khác ở thôn, tổ dân phố theo đúng tinh thần tại Nghị quyết </w:t>
      </w:r>
      <w:r w:rsidR="00706572">
        <w:rPr>
          <w:lang w:val="es-ES_tradnl"/>
        </w:rPr>
        <w:t xml:space="preserve">số </w:t>
      </w:r>
      <w:r w:rsidRPr="00986C56">
        <w:rPr>
          <w:lang w:val="es-ES_tradnl"/>
        </w:rPr>
        <w:t>18/NQ-TW của Hội nghị lần thứ sáu Ban Chấp hành Trung ương Đả</w:t>
      </w:r>
      <w:r w:rsidR="00C5458E">
        <w:rPr>
          <w:lang w:val="es-ES_tradnl"/>
        </w:rPr>
        <w:t>ng K</w:t>
      </w:r>
      <w:r w:rsidRPr="00986C56">
        <w:rPr>
          <w:lang w:val="es-ES_tradnl"/>
        </w:rPr>
        <w:t>hóa XII.</w:t>
      </w:r>
    </w:p>
    <w:p w:rsidR="003C2D1A" w:rsidRDefault="003C2D1A" w:rsidP="009A5FB0">
      <w:pPr>
        <w:spacing w:before="120" w:after="0" w:line="240" w:lineRule="auto"/>
        <w:ind w:firstLine="720"/>
        <w:jc w:val="both"/>
        <w:rPr>
          <w:lang w:val="es-ES_tradnl"/>
        </w:rPr>
      </w:pPr>
      <w:r w:rsidRPr="003C2D1A">
        <w:rPr>
          <w:lang w:val="es-ES_tradnl"/>
        </w:rPr>
        <w:t xml:space="preserve">- Sử dụng nguồn kinh phí hiện đã cân đối từ khi HĐND tỉnh ban hành Nghị quyết số 165/2015/NQ-HĐND để tiếp tục triển khai thực hiện, không phát sinh thêm ngân sách tỉnh; </w:t>
      </w:r>
      <w:r w:rsidR="00706572">
        <w:rPr>
          <w:lang w:val="es-ES_tradnl"/>
        </w:rPr>
        <w:t>mặt khác</w:t>
      </w:r>
      <w:r w:rsidRPr="003C2D1A">
        <w:rPr>
          <w:lang w:val="es-ES_tradnl"/>
        </w:rPr>
        <w:t xml:space="preserve"> quy định giảm số lượng những người hoạt động không chuyên trách ở cấp xã và ở thôn, tổ dân phố, những người thực hiện nhiệm vụ khác ở thôn, tổ dân phố nên phụ cấp cho đội ngũ này sẽ tăng lên.</w:t>
      </w:r>
    </w:p>
    <w:p w:rsidR="003C2D1A" w:rsidRPr="00284A29" w:rsidRDefault="003C2D1A" w:rsidP="009A5FB0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3C2D1A">
        <w:rPr>
          <w:szCs w:val="28"/>
          <w:lang w:val="es-ES_tradnl"/>
        </w:rPr>
        <w:t>Ủy ban nhân dân tỉnh kính trình Hội đồng nhân dân tỉnh thông qua</w:t>
      </w:r>
      <w:r w:rsidRPr="00284A29">
        <w:rPr>
          <w:szCs w:val="28"/>
          <w:lang w:val="vi-VN"/>
        </w:rPr>
        <w:t>./.</w:t>
      </w:r>
    </w:p>
    <w:p w:rsidR="00284A29" w:rsidRDefault="00284A29" w:rsidP="009A5FB0">
      <w:pPr>
        <w:spacing w:before="120" w:after="0" w:line="240" w:lineRule="auto"/>
        <w:ind w:firstLine="720"/>
        <w:jc w:val="center"/>
        <w:rPr>
          <w:i/>
          <w:szCs w:val="28"/>
          <w:lang w:val="es-ES_tradnl"/>
        </w:rPr>
      </w:pPr>
      <w:r w:rsidRPr="00284A29">
        <w:rPr>
          <w:i/>
          <w:szCs w:val="28"/>
          <w:lang w:val="vi-VN"/>
        </w:rPr>
        <w:t>(</w:t>
      </w:r>
      <w:r w:rsidRPr="003C2D1A">
        <w:rPr>
          <w:i/>
          <w:szCs w:val="28"/>
          <w:lang w:val="es-ES_tradnl"/>
        </w:rPr>
        <w:t>Xin gửi kèm D</w:t>
      </w:r>
      <w:r w:rsidRPr="00284A29">
        <w:rPr>
          <w:i/>
          <w:szCs w:val="28"/>
          <w:lang w:val="vi-VN"/>
        </w:rPr>
        <w:t>ự thảo Nghị quyết</w:t>
      </w:r>
      <w:r w:rsidRPr="003C2D1A">
        <w:rPr>
          <w:i/>
          <w:szCs w:val="28"/>
          <w:lang w:val="es-ES_tradnl"/>
        </w:rPr>
        <w:t xml:space="preserve"> của HĐND tỉnh</w:t>
      </w:r>
      <w:r w:rsidR="003B0219">
        <w:rPr>
          <w:i/>
          <w:szCs w:val="28"/>
          <w:lang w:val="es-ES_tradnl"/>
        </w:rPr>
        <w:t>)</w:t>
      </w:r>
      <w:r w:rsidRPr="003C2D1A">
        <w:rPr>
          <w:i/>
          <w:szCs w:val="28"/>
          <w:lang w:val="es-ES_tradnl"/>
        </w:rPr>
        <w:t>.</w:t>
      </w:r>
    </w:p>
    <w:p w:rsidR="00C5458E" w:rsidRPr="00C5458E" w:rsidRDefault="00C5458E" w:rsidP="009A5FB0">
      <w:pPr>
        <w:spacing w:before="120" w:after="0" w:line="240" w:lineRule="auto"/>
        <w:ind w:firstLine="720"/>
        <w:jc w:val="center"/>
        <w:rPr>
          <w:sz w:val="16"/>
          <w:szCs w:val="28"/>
          <w:lang w:val="es-ES_tradnl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29"/>
        <w:gridCol w:w="4729"/>
      </w:tblGrid>
      <w:tr w:rsidR="005626D0" w:rsidRPr="00D53D8A" w:rsidTr="00D53D8A">
        <w:tc>
          <w:tcPr>
            <w:tcW w:w="4729" w:type="dxa"/>
            <w:shd w:val="clear" w:color="auto" w:fill="auto"/>
            <w:hideMark/>
          </w:tcPr>
          <w:p w:rsidR="0083470E" w:rsidRPr="00C5458E" w:rsidRDefault="0083470E" w:rsidP="00D53D8A">
            <w:pPr>
              <w:spacing w:after="0" w:line="240" w:lineRule="auto"/>
              <w:rPr>
                <w:rFonts w:eastAsia="Times New Roman"/>
                <w:b/>
                <w:i/>
                <w:sz w:val="2"/>
                <w:szCs w:val="24"/>
                <w:lang w:val="vi-VN"/>
              </w:rPr>
            </w:pPr>
          </w:p>
          <w:p w:rsidR="005626D0" w:rsidRPr="00D53D8A" w:rsidRDefault="005626D0" w:rsidP="00D53D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3D8A">
              <w:rPr>
                <w:rFonts w:eastAsia="Times New Roman"/>
                <w:b/>
                <w:i/>
                <w:sz w:val="24"/>
                <w:szCs w:val="24"/>
              </w:rPr>
              <w:t>Nơi nhận</w:t>
            </w:r>
            <w:r w:rsidRPr="00D53D8A">
              <w:rPr>
                <w:rFonts w:eastAsia="Times New Roman"/>
                <w:sz w:val="24"/>
                <w:szCs w:val="24"/>
              </w:rPr>
              <w:t>:</w:t>
            </w:r>
          </w:p>
          <w:p w:rsidR="00C5458E" w:rsidRDefault="005626D0" w:rsidP="00D53D8A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</w:t>
            </w:r>
            <w:r w:rsidR="00C5458E">
              <w:rPr>
                <w:rFonts w:eastAsia="Times New Roman"/>
                <w:sz w:val="22"/>
                <w:szCs w:val="20"/>
              </w:rPr>
              <w:t>- Như trên;</w:t>
            </w:r>
          </w:p>
          <w:p w:rsidR="005626D0" w:rsidRPr="00D53D8A" w:rsidRDefault="00C5458E" w:rsidP="00D53D8A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 </w:t>
            </w:r>
            <w:r w:rsidR="005626D0" w:rsidRPr="00D53D8A">
              <w:rPr>
                <w:rFonts w:eastAsia="Times New Roman"/>
                <w:sz w:val="22"/>
                <w:szCs w:val="20"/>
              </w:rPr>
              <w:t>- TT HĐND tỉnh;</w:t>
            </w:r>
          </w:p>
          <w:p w:rsidR="005626D0" w:rsidRPr="00D53D8A" w:rsidRDefault="005626D0" w:rsidP="00D53D8A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- Chủ tịch, các PCT UBND tỉnh;</w:t>
            </w:r>
          </w:p>
          <w:p w:rsidR="005626D0" w:rsidRPr="00D53D8A" w:rsidRDefault="005626D0" w:rsidP="00D53D8A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- Đại biểu HĐND tỉnh;</w:t>
            </w:r>
          </w:p>
          <w:p w:rsidR="005626D0" w:rsidRPr="00D53D8A" w:rsidRDefault="005626D0" w:rsidP="00D53D8A">
            <w:pPr>
              <w:spacing w:after="0" w:line="240" w:lineRule="auto"/>
              <w:rPr>
                <w:rFonts w:eastAsia="Times New Roman"/>
                <w:b/>
                <w:sz w:val="24"/>
                <w:szCs w:val="28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- Các Ban HĐND tỉnh;</w:t>
            </w:r>
          </w:p>
          <w:p w:rsidR="005626D0" w:rsidRPr="00D53D8A" w:rsidRDefault="005626D0" w:rsidP="00D53D8A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- Chánh VP, Phó Văn phòng UBND tỉnh;</w:t>
            </w:r>
          </w:p>
          <w:p w:rsidR="005626D0" w:rsidRPr="00D53D8A" w:rsidRDefault="005626D0" w:rsidP="00C5458E">
            <w:pPr>
              <w:spacing w:after="0" w:line="240" w:lineRule="auto"/>
              <w:rPr>
                <w:rFonts w:eastAsia="Times New Roman"/>
                <w:sz w:val="22"/>
                <w:szCs w:val="20"/>
              </w:rPr>
            </w:pPr>
            <w:r w:rsidRPr="00D53D8A">
              <w:rPr>
                <w:rFonts w:eastAsia="Times New Roman"/>
                <w:sz w:val="22"/>
                <w:szCs w:val="20"/>
              </w:rPr>
              <w:t xml:space="preserve"> - Lưu: VT, TH, </w:t>
            </w:r>
            <w:r w:rsidR="00C5458E">
              <w:rPr>
                <w:rFonts w:eastAsia="Times New Roman"/>
                <w:sz w:val="22"/>
                <w:szCs w:val="20"/>
              </w:rPr>
              <w:t>NC</w:t>
            </w:r>
            <w:r w:rsidR="00C5458E">
              <w:rPr>
                <w:rFonts w:eastAsia="Times New Roman"/>
                <w:sz w:val="22"/>
                <w:szCs w:val="20"/>
                <w:vertAlign w:val="subscript"/>
              </w:rPr>
              <w:t>1</w:t>
            </w:r>
            <w:r w:rsidRPr="00D53D8A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4729" w:type="dxa"/>
            <w:shd w:val="clear" w:color="auto" w:fill="auto"/>
          </w:tcPr>
          <w:p w:rsidR="0083470E" w:rsidRPr="00C5458E" w:rsidRDefault="0083470E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szCs w:val="28"/>
              </w:rPr>
            </w:pPr>
          </w:p>
          <w:p w:rsidR="005626D0" w:rsidRPr="00C5458E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C5458E">
              <w:rPr>
                <w:rFonts w:eastAsia="Times New Roman"/>
                <w:b/>
                <w:sz w:val="26"/>
                <w:szCs w:val="28"/>
              </w:rPr>
              <w:t>TM. ỦY BAN NHÂN DÂN</w:t>
            </w:r>
          </w:p>
          <w:p w:rsidR="005626D0" w:rsidRDefault="00C5458E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  <w:r>
              <w:rPr>
                <w:rFonts w:eastAsia="Times New Roman"/>
                <w:b/>
                <w:sz w:val="26"/>
                <w:szCs w:val="28"/>
              </w:rPr>
              <w:t xml:space="preserve">KT. </w:t>
            </w:r>
            <w:r w:rsidR="005626D0" w:rsidRPr="00C5458E">
              <w:rPr>
                <w:rFonts w:eastAsia="Times New Roman"/>
                <w:b/>
                <w:sz w:val="26"/>
                <w:szCs w:val="28"/>
              </w:rPr>
              <w:t>CHỦ TỊCH</w:t>
            </w:r>
          </w:p>
          <w:p w:rsidR="00C5458E" w:rsidRPr="00C5458E" w:rsidRDefault="00C5458E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6"/>
                <w:szCs w:val="28"/>
              </w:rPr>
              <w:t>PHÓ CHỦ TỊCH</w:t>
            </w:r>
          </w:p>
          <w:p w:rsidR="005626D0" w:rsidRPr="00D53D8A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</w:rPr>
            </w:pPr>
          </w:p>
          <w:p w:rsidR="005626D0" w:rsidRPr="00D53D8A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  <w:p w:rsidR="005626D0" w:rsidRPr="00993E1C" w:rsidRDefault="00993E1C" w:rsidP="00D53D8A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  <w:bookmarkStart w:id="0" w:name="_GoBack"/>
            <w:r w:rsidRPr="00993E1C">
              <w:rPr>
                <w:rFonts w:eastAsia="Times New Roman"/>
                <w:b/>
                <w:i/>
                <w:szCs w:val="28"/>
              </w:rPr>
              <w:t>(đã ký)</w:t>
            </w:r>
          </w:p>
          <w:p w:rsidR="005626D0" w:rsidRPr="00993E1C" w:rsidRDefault="005626D0" w:rsidP="00D53D8A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</w:rPr>
            </w:pPr>
          </w:p>
          <w:bookmarkEnd w:id="0"/>
          <w:p w:rsidR="00852653" w:rsidRPr="00706572" w:rsidRDefault="00852653" w:rsidP="00D53D8A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28"/>
              </w:rPr>
            </w:pPr>
          </w:p>
          <w:p w:rsidR="005626D0" w:rsidRPr="00D53D8A" w:rsidRDefault="005626D0" w:rsidP="00C5458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D53D8A">
              <w:rPr>
                <w:rFonts w:eastAsia="Times New Roman"/>
                <w:b/>
                <w:szCs w:val="28"/>
              </w:rPr>
              <w:t xml:space="preserve">    </w:t>
            </w:r>
            <w:r w:rsidR="00706572">
              <w:rPr>
                <w:rFonts w:eastAsia="Times New Roman"/>
                <w:b/>
                <w:szCs w:val="28"/>
              </w:rPr>
              <w:t xml:space="preserve">   </w:t>
            </w:r>
            <w:r w:rsidRPr="00D53D8A">
              <w:rPr>
                <w:rFonts w:eastAsia="Times New Roman"/>
                <w:b/>
                <w:szCs w:val="28"/>
              </w:rPr>
              <w:t xml:space="preserve">Đặng </w:t>
            </w:r>
            <w:r w:rsidR="00C5458E">
              <w:rPr>
                <w:rFonts w:eastAsia="Times New Roman"/>
                <w:b/>
                <w:szCs w:val="28"/>
              </w:rPr>
              <w:t xml:space="preserve"> </w:t>
            </w:r>
            <w:r w:rsidRPr="00D53D8A">
              <w:rPr>
                <w:rFonts w:eastAsia="Times New Roman"/>
                <w:b/>
                <w:szCs w:val="28"/>
              </w:rPr>
              <w:t xml:space="preserve">Quốc </w:t>
            </w:r>
            <w:r w:rsidR="00C5458E">
              <w:rPr>
                <w:rFonts w:eastAsia="Times New Roman"/>
                <w:b/>
                <w:szCs w:val="28"/>
              </w:rPr>
              <w:t xml:space="preserve"> Vinh</w:t>
            </w:r>
          </w:p>
        </w:tc>
      </w:tr>
    </w:tbl>
    <w:p w:rsidR="005626D0" w:rsidRDefault="005626D0"/>
    <w:sectPr w:rsidR="005626D0" w:rsidSect="00691B0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76" w:rsidRDefault="005C5076" w:rsidP="00823EA1">
      <w:pPr>
        <w:spacing w:after="0" w:line="240" w:lineRule="auto"/>
      </w:pPr>
      <w:r>
        <w:separator/>
      </w:r>
    </w:p>
  </w:endnote>
  <w:endnote w:type="continuationSeparator" w:id="0">
    <w:p w:rsidR="005C5076" w:rsidRDefault="005C5076" w:rsidP="008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76" w:rsidRDefault="005C5076" w:rsidP="00823EA1">
      <w:pPr>
        <w:spacing w:after="0" w:line="240" w:lineRule="auto"/>
      </w:pPr>
      <w:r>
        <w:separator/>
      </w:r>
    </w:p>
  </w:footnote>
  <w:footnote w:type="continuationSeparator" w:id="0">
    <w:p w:rsidR="005C5076" w:rsidRDefault="005C5076" w:rsidP="00823EA1">
      <w:pPr>
        <w:spacing w:after="0" w:line="240" w:lineRule="auto"/>
      </w:pPr>
      <w:r>
        <w:continuationSeparator/>
      </w:r>
    </w:p>
  </w:footnote>
  <w:footnote w:id="1">
    <w:p w:rsidR="00524803" w:rsidRPr="00710F52" w:rsidRDefault="00524803" w:rsidP="00524803">
      <w:pPr>
        <w:spacing w:line="280" w:lineRule="exact"/>
        <w:ind w:firstLine="720"/>
        <w:jc w:val="both"/>
        <w:rPr>
          <w:sz w:val="20"/>
          <w:szCs w:val="20"/>
          <w:lang w:val="nl-NL"/>
        </w:rPr>
      </w:pPr>
      <w:r w:rsidRPr="00710F52">
        <w:rPr>
          <w:rStyle w:val="FootnoteReference"/>
          <w:color w:val="FF0000"/>
          <w:sz w:val="20"/>
          <w:szCs w:val="20"/>
        </w:rPr>
        <w:footnoteRef/>
      </w:r>
      <w:r w:rsidRPr="00710F52">
        <w:rPr>
          <w:sz w:val="20"/>
          <w:szCs w:val="20"/>
          <w:lang w:val="nl-NL"/>
        </w:rPr>
        <w:t xml:space="preserve"> Hiện tại Nghị định 29/2013/NĐ-CP</w:t>
      </w:r>
      <w:r>
        <w:rPr>
          <w:sz w:val="20"/>
          <w:szCs w:val="20"/>
          <w:lang w:val="nl-NL"/>
        </w:rPr>
        <w:t xml:space="preserve"> quy định</w:t>
      </w:r>
      <w:r w:rsidRPr="00710F52">
        <w:rPr>
          <w:sz w:val="20"/>
          <w:szCs w:val="20"/>
          <w:lang w:val="nl-NL"/>
        </w:rPr>
        <w:t xml:space="preserve">: </w:t>
      </w:r>
      <w:r w:rsidRPr="00710F52">
        <w:rPr>
          <w:sz w:val="20"/>
          <w:szCs w:val="20"/>
        </w:rPr>
        <w:t>Cấp xã loại 1 được khoán quỹ phụ cấp bằng 20,3 tháng lương cơ sở;</w:t>
      </w:r>
      <w:r w:rsidR="00CA438F">
        <w:rPr>
          <w:sz w:val="20"/>
          <w:szCs w:val="20"/>
        </w:rPr>
        <w:t xml:space="preserve"> </w:t>
      </w:r>
      <w:r w:rsidRPr="00710F52">
        <w:rPr>
          <w:sz w:val="20"/>
          <w:szCs w:val="20"/>
        </w:rPr>
        <w:t>Cấp xã loại 2 được khoán quỹ phụ cấp bằng 18,6 tháng lương cơ sở; Cấp xã loại 3 được khoán quỹ phụ cấp bằng 17,6 tháng lương cơ sở.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530E"/>
    <w:multiLevelType w:val="hybridMultilevel"/>
    <w:tmpl w:val="52420116"/>
    <w:lvl w:ilvl="0" w:tplc="3D4632D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E"/>
    <w:rsid w:val="00000E2F"/>
    <w:rsid w:val="0000525F"/>
    <w:rsid w:val="00053BDA"/>
    <w:rsid w:val="0006513B"/>
    <w:rsid w:val="00094D29"/>
    <w:rsid w:val="000C79B4"/>
    <w:rsid w:val="000F4051"/>
    <w:rsid w:val="001420DE"/>
    <w:rsid w:val="00142BDF"/>
    <w:rsid w:val="00181F4F"/>
    <w:rsid w:val="001A1CCF"/>
    <w:rsid w:val="001C2691"/>
    <w:rsid w:val="001D4DA2"/>
    <w:rsid w:val="001E01A8"/>
    <w:rsid w:val="001E7423"/>
    <w:rsid w:val="002348FF"/>
    <w:rsid w:val="00244AAC"/>
    <w:rsid w:val="00284A29"/>
    <w:rsid w:val="002953B0"/>
    <w:rsid w:val="00297E11"/>
    <w:rsid w:val="002A7389"/>
    <w:rsid w:val="00303E49"/>
    <w:rsid w:val="00344836"/>
    <w:rsid w:val="003523D7"/>
    <w:rsid w:val="00354196"/>
    <w:rsid w:val="003737B1"/>
    <w:rsid w:val="00382017"/>
    <w:rsid w:val="00395C96"/>
    <w:rsid w:val="003B0219"/>
    <w:rsid w:val="003B0CE2"/>
    <w:rsid w:val="003C2D1A"/>
    <w:rsid w:val="003E31B9"/>
    <w:rsid w:val="004103DD"/>
    <w:rsid w:val="00431250"/>
    <w:rsid w:val="00462B26"/>
    <w:rsid w:val="0047723D"/>
    <w:rsid w:val="004815F9"/>
    <w:rsid w:val="00490C7D"/>
    <w:rsid w:val="004B6BA8"/>
    <w:rsid w:val="004E1E17"/>
    <w:rsid w:val="004E2E4E"/>
    <w:rsid w:val="00506BED"/>
    <w:rsid w:val="005170E1"/>
    <w:rsid w:val="0052142D"/>
    <w:rsid w:val="00524803"/>
    <w:rsid w:val="005626D0"/>
    <w:rsid w:val="00576910"/>
    <w:rsid w:val="00583119"/>
    <w:rsid w:val="00591B24"/>
    <w:rsid w:val="00597ABC"/>
    <w:rsid w:val="005C25D8"/>
    <w:rsid w:val="005C5076"/>
    <w:rsid w:val="005D663C"/>
    <w:rsid w:val="005E228C"/>
    <w:rsid w:val="00670102"/>
    <w:rsid w:val="0067167E"/>
    <w:rsid w:val="00691B0D"/>
    <w:rsid w:val="006C38B6"/>
    <w:rsid w:val="006C56BE"/>
    <w:rsid w:val="006D361B"/>
    <w:rsid w:val="006E2444"/>
    <w:rsid w:val="006F5377"/>
    <w:rsid w:val="0070632D"/>
    <w:rsid w:val="00706572"/>
    <w:rsid w:val="00711EE0"/>
    <w:rsid w:val="0072582A"/>
    <w:rsid w:val="007370CB"/>
    <w:rsid w:val="00747ABD"/>
    <w:rsid w:val="00752F14"/>
    <w:rsid w:val="007E4212"/>
    <w:rsid w:val="007E435B"/>
    <w:rsid w:val="00802547"/>
    <w:rsid w:val="00805A40"/>
    <w:rsid w:val="00813C6D"/>
    <w:rsid w:val="00823EA1"/>
    <w:rsid w:val="0083470E"/>
    <w:rsid w:val="00852653"/>
    <w:rsid w:val="00870765"/>
    <w:rsid w:val="008958AF"/>
    <w:rsid w:val="008A139B"/>
    <w:rsid w:val="008A5410"/>
    <w:rsid w:val="008A58A8"/>
    <w:rsid w:val="008B49CD"/>
    <w:rsid w:val="008F20AE"/>
    <w:rsid w:val="009301D8"/>
    <w:rsid w:val="0096692E"/>
    <w:rsid w:val="00977985"/>
    <w:rsid w:val="00993E1C"/>
    <w:rsid w:val="009A5FB0"/>
    <w:rsid w:val="009D71DD"/>
    <w:rsid w:val="009D7464"/>
    <w:rsid w:val="00A03670"/>
    <w:rsid w:val="00A07F35"/>
    <w:rsid w:val="00A1536E"/>
    <w:rsid w:val="00A30E33"/>
    <w:rsid w:val="00A330EF"/>
    <w:rsid w:val="00A57015"/>
    <w:rsid w:val="00A84127"/>
    <w:rsid w:val="00AB5B96"/>
    <w:rsid w:val="00AC2D02"/>
    <w:rsid w:val="00AE1326"/>
    <w:rsid w:val="00AE1394"/>
    <w:rsid w:val="00B01B9C"/>
    <w:rsid w:val="00B01F0E"/>
    <w:rsid w:val="00B21260"/>
    <w:rsid w:val="00B76606"/>
    <w:rsid w:val="00B85274"/>
    <w:rsid w:val="00BE2156"/>
    <w:rsid w:val="00C24871"/>
    <w:rsid w:val="00C2581A"/>
    <w:rsid w:val="00C4540D"/>
    <w:rsid w:val="00C5458E"/>
    <w:rsid w:val="00C7483B"/>
    <w:rsid w:val="00CA1D25"/>
    <w:rsid w:val="00CA438F"/>
    <w:rsid w:val="00CA44B4"/>
    <w:rsid w:val="00CB1B49"/>
    <w:rsid w:val="00CB388B"/>
    <w:rsid w:val="00CB771B"/>
    <w:rsid w:val="00CC1E66"/>
    <w:rsid w:val="00D1004D"/>
    <w:rsid w:val="00D148B4"/>
    <w:rsid w:val="00D277B8"/>
    <w:rsid w:val="00D536AD"/>
    <w:rsid w:val="00D53D8A"/>
    <w:rsid w:val="00D9622C"/>
    <w:rsid w:val="00DA503A"/>
    <w:rsid w:val="00DB5477"/>
    <w:rsid w:val="00DC290E"/>
    <w:rsid w:val="00DE7226"/>
    <w:rsid w:val="00DF1F4D"/>
    <w:rsid w:val="00E0478C"/>
    <w:rsid w:val="00E120F2"/>
    <w:rsid w:val="00E3741F"/>
    <w:rsid w:val="00E50F6C"/>
    <w:rsid w:val="00E53E82"/>
    <w:rsid w:val="00E72168"/>
    <w:rsid w:val="00E95F4F"/>
    <w:rsid w:val="00EB2F24"/>
    <w:rsid w:val="00EC1948"/>
    <w:rsid w:val="00ED21CE"/>
    <w:rsid w:val="00F4175D"/>
    <w:rsid w:val="00F476E6"/>
    <w:rsid w:val="00F83B04"/>
    <w:rsid w:val="00F948D1"/>
    <w:rsid w:val="00FB4742"/>
    <w:rsid w:val="00FD048F"/>
    <w:rsid w:val="00FE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CE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1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6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6D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91B2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Strong">
    <w:name w:val="Strong"/>
    <w:uiPriority w:val="22"/>
    <w:qFormat/>
    <w:rsid w:val="00591B24"/>
    <w:rPr>
      <w:b/>
      <w:bCs/>
    </w:rPr>
  </w:style>
  <w:style w:type="paragraph" w:styleId="BodyTextIndent">
    <w:name w:val="Body Text Indent"/>
    <w:basedOn w:val="Normal"/>
    <w:link w:val="BodyTextIndentChar"/>
    <w:rsid w:val="00181F4F"/>
    <w:pPr>
      <w:spacing w:before="120" w:after="120" w:line="360" w:lineRule="auto"/>
      <w:ind w:firstLine="720"/>
      <w:jc w:val="both"/>
    </w:pPr>
    <w:rPr>
      <w:rFonts w:eastAsia="Times New Roman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81F4F"/>
    <w:rPr>
      <w:rFonts w:eastAsia="Times New Roman"/>
      <w:sz w:val="28"/>
      <w:szCs w:val="28"/>
      <w:lang w:val="x-none" w:eastAsia="x-none"/>
    </w:rPr>
  </w:style>
  <w:style w:type="character" w:styleId="PageNumber">
    <w:name w:val="page number"/>
    <w:uiPriority w:val="99"/>
    <w:rsid w:val="00181F4F"/>
    <w:rPr>
      <w:lang w:val="ar-SA" w:bidi="ar-SA"/>
    </w:rPr>
  </w:style>
  <w:style w:type="character" w:styleId="FootnoteReference">
    <w:name w:val="footnote reference"/>
    <w:rsid w:val="00823E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CE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1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6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6D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91B24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Strong">
    <w:name w:val="Strong"/>
    <w:uiPriority w:val="22"/>
    <w:qFormat/>
    <w:rsid w:val="00591B24"/>
    <w:rPr>
      <w:b/>
      <w:bCs/>
    </w:rPr>
  </w:style>
  <w:style w:type="paragraph" w:styleId="BodyTextIndent">
    <w:name w:val="Body Text Indent"/>
    <w:basedOn w:val="Normal"/>
    <w:link w:val="BodyTextIndentChar"/>
    <w:rsid w:val="00181F4F"/>
    <w:pPr>
      <w:spacing w:before="120" w:after="120" w:line="360" w:lineRule="auto"/>
      <w:ind w:firstLine="720"/>
      <w:jc w:val="both"/>
    </w:pPr>
    <w:rPr>
      <w:rFonts w:eastAsia="Times New Roman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81F4F"/>
    <w:rPr>
      <w:rFonts w:eastAsia="Times New Roman"/>
      <w:sz w:val="28"/>
      <w:szCs w:val="28"/>
      <w:lang w:val="x-none" w:eastAsia="x-none"/>
    </w:rPr>
  </w:style>
  <w:style w:type="character" w:styleId="PageNumber">
    <w:name w:val="page number"/>
    <w:uiPriority w:val="99"/>
    <w:rsid w:val="00181F4F"/>
    <w:rPr>
      <w:lang w:val="ar-SA" w:bidi="ar-SA"/>
    </w:rPr>
  </w:style>
  <w:style w:type="character" w:styleId="FootnoteReference">
    <w:name w:val="footnote reference"/>
    <w:rsid w:val="00823E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Vaio</cp:lastModifiedBy>
  <cp:revision>4</cp:revision>
  <cp:lastPrinted>2018-12-06T09:20:00Z</cp:lastPrinted>
  <dcterms:created xsi:type="dcterms:W3CDTF">2018-12-06T08:49:00Z</dcterms:created>
  <dcterms:modified xsi:type="dcterms:W3CDTF">2018-12-07T01:38:00Z</dcterms:modified>
</cp:coreProperties>
</file>