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468"/>
        <w:gridCol w:w="5820"/>
      </w:tblGrid>
      <w:tr>
        <w:trPr>
          <w:trHeight w:val="1258"/>
        </w:trPr>
        <w:tc>
          <w:tcPr>
            <w:tcW w:w="1867" w:type="pct"/>
          </w:tcPr>
          <w:p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HỘI ĐỒNG NHÂN DÂN</w:t>
            </w:r>
          </w:p>
          <w:p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TỈNH HÀ TĨNH</w:t>
            </w:r>
          </w:p>
          <w:p>
            <w:pPr>
              <w:jc w:val="center"/>
              <w:rPr>
                <w:szCs w:val="28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14604</wp:posOffset>
                      </wp:positionV>
                      <wp:extent cx="5524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45pt,1.15pt" to="9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nz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5m02wGHaSDKyH5kGes85+57lAwCiyFCqqRnJyenQ88&#10;SD6EhGOlt0LK2HmpUF/g5Ww6iwlOS8GCM4Q52xxKadGJhNmJXywKPI9hVh8Vi2AtJ2xzsz0R8mrD&#10;5VIFPKgE6Nys63D8WE6Wm8VmkY2y6XwzyiZVNfq0LbPRfJt+nFUfqrKs0p+BWprlrWCMq8BuGNQ0&#10;+7tBuD2Z64jdR/UuQ/IWPeoFZId/JB1bGbp3nYODZpedHVoMsxmDb+8oDP/jHuzH177+BQAA//8D&#10;AFBLAwQUAAYACAAAACEAEjdwUdkAAAAHAQAADwAAAGRycy9kb3ducmV2LnhtbEyOwU7DMBBE70j8&#10;g7VIXKrWIRWoDXEqBOTGhQLqdRsvSUS8TmO3DXw9217g+DSjmZevRtepAw2h9WzgZpaAIq68bbk2&#10;8P5WThegQkS22HkmA98UYFVcXuSYWX/kVzqsY61khEOGBpoY+0zrUDXkMMx8TyzZpx8cRsGh1nbA&#10;o4y7TqdJcqcdtiwPDfb02FD1td47A6H8oF35M6kmyWZee0p3Ty/PaMz11fhwDyrSGP/KcNIXdSjE&#10;aev3bIPqhJPFUqoG0jmoU768Fd6eWRe5/u9f/AIAAP//AwBQSwECLQAUAAYACAAAACEAtoM4kv4A&#10;AADhAQAAEwAAAAAAAAAAAAAAAAAAAAAAW0NvbnRlbnRfVHlwZXNdLnhtbFBLAQItABQABgAIAAAA&#10;IQA4/SH/1gAAAJQBAAALAAAAAAAAAAAAAAAAAC8BAABfcmVscy8ucmVsc1BLAQItABQABgAIAAAA&#10;IQBk6gnzGwIAADUEAAAOAAAAAAAAAAAAAAAAAC4CAABkcnMvZTJvRG9jLnhtbFBLAQItABQABgAI&#10;AAAAIQASN3BR2QAAAAcBAAAPAAAAAAAAAAAAAAAAAHUEAABkcnMvZG93bnJldi54bWxQSwUGAAAA&#10;AAQABADzAAAAewUAAAAA&#10;"/>
                  </w:pict>
                </mc:Fallback>
              </mc:AlternateContent>
            </w:r>
          </w:p>
          <w:p>
            <w:pPr>
              <w:jc w:val="center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Số: 54/BC-HĐND</w:t>
            </w:r>
          </w:p>
        </w:tc>
        <w:tc>
          <w:tcPr>
            <w:tcW w:w="3133" w:type="pct"/>
          </w:tcPr>
          <w:p>
            <w:pPr>
              <w:ind w:hanging="108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CỘNG HÒA XÃ HỘI CHỦ NGHĨA VIỆT NAM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Độc lập </w:t>
            </w: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Tự do</w:t>
            </w:r>
            <w:r>
              <w:rPr>
                <w:bCs/>
                <w:sz w:val="28"/>
                <w:szCs w:val="28"/>
              </w:rPr>
              <w:t xml:space="preserve"> -</w:t>
            </w:r>
            <w:r>
              <w:rPr>
                <w:b/>
                <w:bCs/>
                <w:sz w:val="28"/>
                <w:szCs w:val="28"/>
              </w:rPr>
              <w:t xml:space="preserve"> Hạnh phúc</w:t>
            </w:r>
          </w:p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817599</wp:posOffset>
                      </wp:positionH>
                      <wp:positionV relativeFrom="paragraph">
                        <wp:posOffset>36697</wp:posOffset>
                      </wp:positionV>
                      <wp:extent cx="1947708" cy="0"/>
                      <wp:effectExtent l="0" t="0" r="336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77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4pt,2.9pt" to="217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D0HQIAADY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IxRop0&#10;MKKtt0TsW48qrRQ0UFs0Dn3qjSsgvFIbGyqlJ7U1L5p+d0jpqiVqzyPft7MBkCxkJO9SwsYZuG3X&#10;f9EMYsjB69i0U2O7AAntQKc4m/N9NvzkEYXDbJ4/PaWgJnrzJaS4JRrr/GeuOxSMEkuhQttIQY4v&#10;zgcipLiFhGOl10LKOHqpUF/i+WQ0iQlOS8GCM4Q5u99V0qIjCeKJX6wKPI9hVh8Ui2AtJ2x1tT0R&#10;8mLD5VIFPCgF6Fytizp+zNP5araa5YN8NF0N8rSuB5/WVT6YrrOnST2uq6rOfgZqWV60gjGuArub&#10;UrP875RwfTMXjd21em9D8h499gvI3v6RdJxlGN9FCDvNzht7mzGIMwZfH1JQ/+Me7MfnvvwFAAD/&#10;/wMAUEsDBBQABgAIAAAAIQC3UJy32gAAAAcBAAAPAAAAZHJzL2Rvd25yZXYueG1sTI7BTsMwEETv&#10;SPyDtUhcKuqQkqoKcSoE5MaFQsV1Gy9JRLxOY7cNfD0LFzitnmY0+4r15Hp1pDF0ng1czxNQxLW3&#10;HTcGXl+qqxWoEJEt9p7JwCcFWJfnZwXm1p/4mY6b2CgZ4ZCjgTbGIdc61C05DHM/EEv27keHUXBs&#10;tB3xJOOu12mSLLXDjuVDiwPdt1R/bA7OQKi2tK++ZvUseVs0ntL9w9MjGnN5Md3dgoo0xb8y/OiL&#10;OpTitPMHtkH1wulK1KOBTI7kN4ssA7X7ZV0W+r9/+Q0AAP//AwBQSwECLQAUAAYACAAAACEAtoM4&#10;kv4AAADhAQAAEwAAAAAAAAAAAAAAAAAAAAAAW0NvbnRlbnRfVHlwZXNdLnhtbFBLAQItABQABgAI&#10;AAAAIQA4/SH/1gAAAJQBAAALAAAAAAAAAAAAAAAAAC8BAABfcmVscy8ucmVsc1BLAQItABQABgAI&#10;AAAAIQDQYSD0HQIAADYEAAAOAAAAAAAAAAAAAAAAAC4CAABkcnMvZTJvRG9jLnhtbFBLAQItABQA&#10;BgAIAAAAIQC3UJy32gAAAAcBAAAPAAAAAAAAAAAAAAAAAHcEAABkcnMvZG93bnJldi54bWxQSwUG&#10;AAAAAAQABADzAAAAfgUAAAAA&#10;"/>
                  </w:pict>
                </mc:Fallback>
              </mc:AlternateContent>
            </w:r>
          </w:p>
          <w:p>
            <w:pPr>
              <w:jc w:val="center"/>
              <w:rPr>
                <w:szCs w:val="28"/>
              </w:rPr>
            </w:pPr>
            <w:r>
              <w:rPr>
                <w:i/>
                <w:sz w:val="28"/>
                <w:szCs w:val="28"/>
              </w:rPr>
              <w:t>Hà Tĩnh, ngày 22 tháng 01 năm 2025</w:t>
            </w:r>
          </w:p>
          <w:p>
            <w:pPr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BÁO CÁO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Thẩm tra Tờ trình và Dự thảo Nghị quyết Sửa đổi nội dung về giao </w:t>
      </w:r>
      <w:r>
        <w:rPr>
          <w:b/>
          <w:spacing w:val="-2"/>
          <w:sz w:val="28"/>
          <w:szCs w:val="28"/>
        </w:rPr>
        <w:t>số lượng người làm việc trong các đơn vị sự nghiệp công lập giáo dục và đào tạo</w:t>
      </w:r>
      <w:r>
        <w:rPr>
          <w:b/>
          <w:sz w:val="28"/>
          <w:szCs w:val="28"/>
        </w:rPr>
        <w:t xml:space="preserve"> năm học 2024-2025 tại Nghị quyết số 150/NQ-HĐND ngày 08/12/2023 của Hội đồng nhân dân tỉnh</w:t>
      </w:r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(Trình Kỳ họp thứ 24, HĐND tỉnh Khóa XVIII)</w:t>
      </w:r>
    </w:p>
    <w:p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2204932</wp:posOffset>
                </wp:positionH>
                <wp:positionV relativeFrom="paragraph">
                  <wp:posOffset>35772</wp:posOffset>
                </wp:positionV>
                <wp:extent cx="14351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pt,2.8pt" to="286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0UswEAALcDAAAOAAAAZHJzL2Uyb0RvYy54bWysU9uO0zAQfUfiHyy/0yTLRShqug9dwQuC&#10;imU/wOuMGwvbY41N0/49Y7fNIkAIIV4cX86ZmXNmsr49eicOQMliGGS3aqWAoHG0YT/Ihy/vXryV&#10;ImUVRuUwwCBPkOTt5vmz9Rx7uMEJ3QgkOEhI/RwHOeUc+6ZJegKv0gojBH40SF5lPtK+GUnNHN27&#10;5qZt3zQz0hgJNaTEt3fnR7mp8Y0BnT8ZkyALN0iuLdeV6vpY1mazVv2eVJysvpSh/qEKr2zgpEuo&#10;O5WV+Eb2l1DeasKEJq80+gaNsRqqBlbTtT+puZ9UhKqFzUlxsSn9v7D642FHwo7cOymC8tyi+0zK&#10;7qcsthgCG4gkuuLTHFPP8G3Y0eWU4o6K6KMhX74sRxyrt6fFWzhmofmye/XydddyC/T1rXkiRkr5&#10;PaAXZTNIZ0ORrXp1+JAyJ2PoFcKHUsg5dd3lk4MCduEzGJZSklV2HSLYOhIHxe0fv1YZHKsiC8VY&#10;5xZS+2fSBVtoUAfrb4kLumbEkBeitwHpd1nz8VqqOeOvqs9ai+xHHE+1EdUOno7q0mWSy/j9eK70&#10;p/9t8x0AAP//AwBQSwMEFAAGAAgAAAAhAJd7dj7bAAAABwEAAA8AAABkcnMvZG93bnJldi54bWxM&#10;jsFOwzAQRO9I/IO1SNyoQ0ubKsSpqgInOKSBA0c3XpKo8TqK3STw9Sy90OPTjGZeuplsKwbsfeNI&#10;wf0sAoFUOtNQpeDj/eVuDcIHTUa3jlDBN3rYZNdXqU6MG2mPQxEqwSPkE62gDqFLpPRljVb7meuQ&#10;OPtyvdWBsa+k6fXI47aV8yhaSasb4odad7irsTwWJ6sgfn4t8m58evvJZSzzfHBhffxU6vZm2j6C&#10;CDiF/zL86bM6ZOx0cCcyXrQKFg/xnKsKlisQnC/jBfPhzDJL5aV/9gsAAP//AwBQSwECLQAUAAYA&#10;CAAAACEAtoM4kv4AAADhAQAAEwAAAAAAAAAAAAAAAAAAAAAAW0NvbnRlbnRfVHlwZXNdLnhtbFBL&#10;AQItABQABgAIAAAAIQA4/SH/1gAAAJQBAAALAAAAAAAAAAAAAAAAAC8BAABfcmVscy8ucmVsc1BL&#10;AQItABQABgAIAAAAIQB+d80UswEAALcDAAAOAAAAAAAAAAAAAAAAAC4CAABkcnMvZTJvRG9jLnht&#10;bFBLAQItABQABgAIAAAAIQCXe3Y+2wAAAAc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34290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7pt,2.7pt" to="286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PvRljrbAAAABwEAAA8AAABkcnMvZG93bnJldi54bWxMjsFOwzAQRO9I&#10;/IO1SFyq1qGhBUKcCgG59UIBcd3GSxIRr9PYbQNfz8IFTjujGc2+fDW6Th1oCK1nAxezBBRx5W3L&#10;tYGX53J6DSpEZIudZzLwSQFWxelJjpn1R36iwybWSkY4ZGigibHPtA5VQw7DzPfEkr37wWEUO9Ta&#10;DniUcdfpeZIstcOW5UODPd03VH1s9s5AKF9pV35Nqknyltae5ruH9SMac3423t2CijTGvzL84As6&#10;FMK09Xu2QXUG0vTmUqoGFnIkX1ylIra/Xhe5/s9ffAMAAP//AwBQSwECLQAUAAYACAAAACEAtoM4&#10;kv4AAADhAQAAEwAAAAAAAAAAAAAAAAAAAAAAW0NvbnRlbnRfVHlwZXNdLnhtbFBLAQItABQABgAI&#10;AAAAIQA4/SH/1gAAAJQBAAALAAAAAAAAAAAAAAAAAC8BAABfcmVscy8ucmVsc1BLAQItABQABgAI&#10;AAAAIQAakZpUHAIAADYEAAAOAAAAAAAAAAAAAAAAAC4CAABkcnMvZTJvRG9jLnhtbFBLAQItABQA&#10;BgAIAAAAIQD70ZY62wAAAAcBAAAPAAAAAAAAAAAAAAAAAHYEAABkcnMvZG93bnJldi54bWxQSwUG&#10;AAAAAAQABADzAAAAfgUAAAAA&#10;"/>
            </w:pict>
          </mc:Fallback>
        </mc:AlternateContent>
      </w:r>
    </w:p>
    <w:p>
      <w:pPr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phân công của Thường trực </w:t>
      </w:r>
      <w:r>
        <w:rPr>
          <w:spacing w:val="-3"/>
          <w:sz w:val="28"/>
          <w:szCs w:val="28"/>
        </w:rPr>
        <w:t>Hội đồng nhân dân</w:t>
      </w:r>
      <w:r>
        <w:rPr>
          <w:sz w:val="28"/>
          <w:szCs w:val="28"/>
        </w:rPr>
        <w:t xml:space="preserve"> tỉnh, Ban Pháp chế đã tổ chức phiên họp thẩm tra </w:t>
      </w:r>
      <w:r>
        <w:rPr>
          <w:sz w:val="28"/>
          <w:szCs w:val="28"/>
          <w:lang w:val="nl-NL"/>
        </w:rPr>
        <w:t xml:space="preserve">dự thảo Nghị quyết </w:t>
      </w:r>
      <w:r>
        <w:rPr>
          <w:sz w:val="28"/>
          <w:szCs w:val="28"/>
        </w:rPr>
        <w:t xml:space="preserve">sửa đổi nội dung về giao </w:t>
      </w:r>
      <w:r>
        <w:rPr>
          <w:spacing w:val="-2"/>
          <w:sz w:val="28"/>
          <w:szCs w:val="28"/>
        </w:rPr>
        <w:t>số lượng người làm việc trong các đơn vị sự nghiệp công lập giáo dục và đào tạo</w:t>
      </w:r>
      <w:r>
        <w:rPr>
          <w:sz w:val="28"/>
          <w:szCs w:val="28"/>
        </w:rPr>
        <w:t xml:space="preserve"> năm học </w:t>
      </w:r>
      <w:bookmarkStart w:id="0" w:name="_GoBack"/>
      <w:bookmarkEnd w:id="0"/>
      <w:r>
        <w:rPr>
          <w:sz w:val="28"/>
          <w:szCs w:val="28"/>
        </w:rPr>
        <w:t xml:space="preserve">2024-2025 tại Nghị quyết số 150/NQ-HĐND ngày 08/12/2023 của HĐND tỉnh </w:t>
      </w:r>
      <w:r>
        <w:rPr>
          <w:i/>
          <w:sz w:val="28"/>
          <w:szCs w:val="28"/>
        </w:rPr>
        <w:t xml:space="preserve">(kèm theo Tờ trình số 21/TTr-UBND ngày 22/01/2025 </w:t>
      </w:r>
      <w:r>
        <w:rPr>
          <w:i/>
          <w:spacing w:val="-3"/>
          <w:sz w:val="28"/>
          <w:szCs w:val="28"/>
        </w:rPr>
        <w:t>của UBND tỉnh).</w:t>
      </w:r>
      <w:r>
        <w:rPr>
          <w:spacing w:val="-3"/>
          <w:sz w:val="28"/>
          <w:szCs w:val="28"/>
        </w:rPr>
        <w:t xml:space="preserve"> Ban Pháp chế kính trình HĐND tỉnh kết quả thẩm tra như sau: </w:t>
      </w:r>
    </w:p>
    <w:p>
      <w:pPr>
        <w:spacing w:before="120" w:after="120"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Sự cần thiết ban hành Nghị quyết</w:t>
      </w:r>
    </w:p>
    <w:p>
      <w:pPr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Nghị quyết 150/NQ-HĐND ngày 08/12/2023 của Hội đồng nhân dân tỉnh giao kế hoạch biên chế công chức trong các cơ quan, tổ chức hành chính; số lượng người làm việc trong các đơn vị sự nghiệp công lập, tổ chức hội năm 2024, trong đó có quy định giao biên chế giáo viên năm học 2024-2025; hiện nay năm học này vẫn chưa kết thúc.</w:t>
      </w:r>
    </w:p>
    <w:p>
      <w:pPr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Mặt khác, thực hiện </w:t>
      </w:r>
      <w:r>
        <w:rPr>
          <w:bCs/>
          <w:sz w:val="28"/>
          <w:szCs w:val="28"/>
        </w:rPr>
        <w:t>Nghị quyết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số 1283/NQ-UBTVQH15 của Ủy ban Thường vụ Quốc hội về việc sắp xếp đơn vị hành chính cấp huyện, cấp xã của tỉnh Hà Tĩnh giai đoạn 2023-2025. Do vậy, cần thiết sửa đổi nội dung về giao </w:t>
      </w:r>
      <w:r>
        <w:rPr>
          <w:spacing w:val="-2"/>
          <w:sz w:val="28"/>
          <w:szCs w:val="28"/>
        </w:rPr>
        <w:t>số lượng người làm việc trong các đơn vị sự nghiệp công lập giáo dục - đào tạo</w:t>
      </w:r>
      <w:r>
        <w:rPr>
          <w:sz w:val="28"/>
          <w:szCs w:val="28"/>
        </w:rPr>
        <w:t xml:space="preserve"> năm học 2024-2025 tại Nghị quyết số 150/NQ-HĐND (không giao biên chế sự nghiệp giáo dục và đào tạo đối với huyện Lộc Hà; điều chỉnh biên chế sự nghiệp giáo dục và đào tạo tại thành phố Hà Tĩnh, huyện Thạch Hà, huyện Cẩm Xuyên; điều chuyển biên chế gắn với chuyển công tác giáo viên tại một số đơn vị từ năm học 2024-2025) để đảm bảo phù hợp và đúng quy định.</w:t>
      </w:r>
    </w:p>
    <w:p>
      <w:pPr>
        <w:spacing w:before="120" w:after="120" w:line="264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222222"/>
          <w:sz w:val="28"/>
          <w:szCs w:val="28"/>
          <w:shd w:val="clear" w:color="auto" w:fill="FFFFFF"/>
        </w:rPr>
        <w:t xml:space="preserve">2. </w:t>
      </w:r>
      <w:r>
        <w:rPr>
          <w:b/>
          <w:sz w:val="28"/>
          <w:szCs w:val="28"/>
        </w:rPr>
        <w:t>Về nội dung dự thảo Nghị quyết</w:t>
      </w:r>
    </w:p>
    <w:p>
      <w:pPr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Ban Pháp chế thống nhất với nội dung dự thảo Nghị quyết sửa đổi nội dung về giao </w:t>
      </w:r>
      <w:r>
        <w:rPr>
          <w:spacing w:val="-2"/>
          <w:sz w:val="28"/>
          <w:szCs w:val="28"/>
        </w:rPr>
        <w:t>số lượng người làm việc trong các đơn vị sự nghiệp công lập giáo dục và đào tạo</w:t>
      </w:r>
      <w:r>
        <w:rPr>
          <w:sz w:val="28"/>
          <w:szCs w:val="28"/>
        </w:rPr>
        <w:t xml:space="preserve"> năm học 2024-2025 tại Nghị quyết số 150/NQ-HĐND ngày </w:t>
      </w:r>
      <w:r>
        <w:rPr>
          <w:sz w:val="28"/>
          <w:szCs w:val="28"/>
        </w:rPr>
        <w:lastRenderedPageBreak/>
        <w:t xml:space="preserve">08/12/2023 của Hội đồng nhân dân tỉnh do Ủy ban nhân dân tỉnh trình. Trên cơ sở đó, </w:t>
      </w:r>
      <w:r>
        <w:rPr>
          <w:sz w:val="28"/>
          <w:szCs w:val="28"/>
          <w:lang w:val="sq-AL"/>
        </w:rPr>
        <w:t xml:space="preserve">đề nghị </w:t>
      </w:r>
      <w:r>
        <w:rPr>
          <w:sz w:val="28"/>
          <w:szCs w:val="28"/>
        </w:rPr>
        <w:t>Hội đồng nhân dân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lang w:val="sq-AL"/>
        </w:rPr>
        <w:t>tỉnh thông qua Nghị quyết này.</w:t>
      </w:r>
    </w:p>
    <w:p>
      <w:pPr>
        <w:spacing w:before="120" w:after="12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q-AL"/>
        </w:rPr>
        <w:t>Ban Pháp chế kính trình Hội đồng nhân dân tỉnh xem xét, thảo luận và quyết định./.</w:t>
      </w:r>
    </w:p>
    <w:p>
      <w:pPr>
        <w:spacing w:before="60"/>
        <w:ind w:firstLine="709"/>
        <w:jc w:val="both"/>
        <w:rPr>
          <w:sz w:val="8"/>
          <w:szCs w:val="8"/>
          <w:lang w:val="sq-AL"/>
        </w:rPr>
      </w:pPr>
    </w:p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4575"/>
        <w:gridCol w:w="4819"/>
      </w:tblGrid>
      <w:tr>
        <w:trPr>
          <w:trHeight w:val="1539"/>
        </w:trPr>
        <w:tc>
          <w:tcPr>
            <w:tcW w:w="4575" w:type="dxa"/>
          </w:tcPr>
          <w:p>
            <w:pPr>
              <w:jc w:val="both"/>
              <w:rPr>
                <w:b/>
                <w:i/>
                <w:lang w:val="nb-NO"/>
              </w:rPr>
            </w:pPr>
            <w:r>
              <w:rPr>
                <w:b/>
                <w:i/>
                <w:lang w:val="nb-NO"/>
              </w:rPr>
              <w:t>Nơi nhận:</w:t>
            </w:r>
          </w:p>
          <w:p>
            <w:pPr>
              <w:jc w:val="both"/>
              <w:rPr>
                <w:b/>
                <w:i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- TT HĐND tỉnh;</w:t>
            </w:r>
          </w:p>
          <w:p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- UBND tỉnh;</w:t>
            </w:r>
          </w:p>
          <w:p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- Đoàn ĐBQH tỉnh;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  <w:lang w:val="nb-NO"/>
              </w:rPr>
              <w:t>- Đại biểu HĐND tỉnh</w:t>
            </w:r>
            <w:r>
              <w:rPr>
                <w:sz w:val="22"/>
                <w:lang w:val="vi-VN"/>
              </w:rPr>
              <w:t>;</w:t>
            </w:r>
          </w:p>
          <w:p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</w:t>
            </w:r>
            <w:r>
              <w:rPr>
                <w:sz w:val="22"/>
                <w:lang w:val="nb-NO"/>
              </w:rPr>
              <w:t>ại biểu tham dự kỳ họp thứ 24</w:t>
            </w:r>
          </w:p>
          <w:p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nb-NO"/>
              </w:rPr>
              <w:t xml:space="preserve"> HĐND tỉnh khóa XVIII;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  <w:lang w:val="vi-VN"/>
              </w:rPr>
              <w:t>- Lãnh đạo VP; các phòng chuyên môn thuộc</w:t>
            </w:r>
          </w:p>
          <w:p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 Văn phòng Đoàn ĐBQH-HĐND tỉnh;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VT, HĐ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.</w:t>
            </w:r>
          </w:p>
          <w:p>
            <w:pPr>
              <w:jc w:val="both"/>
              <w:rPr>
                <w:sz w:val="22"/>
              </w:rPr>
            </w:pPr>
          </w:p>
          <w:p>
            <w:pPr>
              <w:jc w:val="both"/>
              <w:rPr>
                <w:b/>
                <w:i/>
              </w:rPr>
            </w:pPr>
          </w:p>
          <w:p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TM. BAN PHÁP CHẾ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TRƯỞNG BAN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Cs w:val="26"/>
              </w:rPr>
            </w:pPr>
            <w:r>
              <w:rPr>
                <w:b/>
                <w:sz w:val="28"/>
                <w:szCs w:val="28"/>
              </w:rPr>
              <w:t>Nguyễn Thị Nhuần</w:t>
            </w:r>
          </w:p>
        </w:tc>
      </w:tr>
    </w:tbl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701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end"/>
    </w:r>
  </w:p>
  <w:p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74634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>
        <w:pPr>
          <w:pStyle w:val="Head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  <w:noProof/>
          </w:rPr>
          <w:fldChar w:fldCharType="end"/>
        </w:r>
      </w:p>
    </w:sdtContent>
  </w:sdt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cent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visionView w:markup="0"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A8D13-A025-4312-BB63-1297D1A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  <w:rPr>
      <w:rFonts w:eastAsia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Pr>
      <w:rFonts w:ascii="Cambria" w:eastAsia="Times New Roman" w:hAnsi="Cambria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4">
    <w:name w:val="Style4"/>
    <w:basedOn w:val="Normal"/>
    <w:pPr>
      <w:ind w:left="-67" w:firstLine="469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4"/>
    </w:rPr>
  </w:style>
  <w:style w:type="paragraph" w:customStyle="1" w:styleId="Vnbnnidung3">
    <w:name w:val="Văn bản nội dung (3)"/>
    <w:basedOn w:val="Normal"/>
    <w:qFormat/>
    <w:pPr>
      <w:shd w:val="clear" w:color="auto" w:fill="FFFFFF"/>
      <w:spacing w:after="240" w:line="0" w:lineRule="atLeast"/>
      <w:jc w:val="both"/>
    </w:pPr>
    <w:rPr>
      <w:i/>
      <w:iCs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">
    <w:name w:val="Footnote_"/>
    <w:basedOn w:val="DefaultParagraphFont"/>
    <w:link w:val="Footnote0"/>
    <w:locked/>
    <w:rPr>
      <w:rFonts w:eastAsia="Times New Roman"/>
      <w:sz w:val="20"/>
      <w:szCs w:val="20"/>
    </w:rPr>
  </w:style>
  <w:style w:type="paragraph" w:customStyle="1" w:styleId="Footnote0">
    <w:name w:val="Footnote"/>
    <w:basedOn w:val="Normal"/>
    <w:link w:val="Footnote"/>
    <w:pPr>
      <w:widowControl w:val="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ormalWeb">
    <w:name w:val="Normal (Web)"/>
    <w:aliases w:val=" Char Char Char,Char Char Char"/>
    <w:basedOn w:val="Normal"/>
    <w:link w:val="NormalWebChar"/>
    <w:uiPriority w:val="99"/>
    <w:qFormat/>
    <w:pPr>
      <w:spacing w:before="100" w:after="100"/>
    </w:pPr>
    <w:rPr>
      <w:szCs w:val="20"/>
    </w:rPr>
  </w:style>
  <w:style w:type="character" w:customStyle="1" w:styleId="NormalWebChar">
    <w:name w:val="Normal (Web) Char"/>
    <w:aliases w:val=" Char Char Char Char,Char Char Char Char1"/>
    <w:link w:val="NormalWeb"/>
    <w:uiPriority w:val="99"/>
    <w:qFormat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E923-B051-4AEE-80FF-021BBD32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DANG NAM</cp:lastModifiedBy>
  <cp:revision>7</cp:revision>
  <dcterms:created xsi:type="dcterms:W3CDTF">2025-01-20T08:49:00Z</dcterms:created>
  <dcterms:modified xsi:type="dcterms:W3CDTF">2025-01-22T06:49:00Z</dcterms:modified>
</cp:coreProperties>
</file>