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456" w:rsidRPr="000624CC" w:rsidRDefault="00430456" w:rsidP="00430456">
      <w:pPr>
        <w:rPr>
          <w:b/>
          <w:sz w:val="24"/>
          <w:szCs w:val="24"/>
        </w:rPr>
      </w:pPr>
      <w:r w:rsidRPr="000624CC">
        <w:rPr>
          <w:b/>
          <w:sz w:val="24"/>
          <w:szCs w:val="24"/>
        </w:rPr>
        <w:t>Phụ lục</w:t>
      </w:r>
      <w:r>
        <w:rPr>
          <w:b/>
          <w:sz w:val="24"/>
          <w:szCs w:val="24"/>
        </w:rPr>
        <w:t xml:space="preserve"> 01</w:t>
      </w:r>
      <w:r w:rsidRPr="000624CC">
        <w:rPr>
          <w:b/>
          <w:sz w:val="24"/>
          <w:szCs w:val="24"/>
        </w:rPr>
        <w:t>:</w:t>
      </w:r>
    </w:p>
    <w:p w:rsidR="00430456" w:rsidRPr="000624CC" w:rsidRDefault="00430456" w:rsidP="00430456">
      <w:pPr>
        <w:jc w:val="center"/>
        <w:rPr>
          <w:b/>
          <w:sz w:val="24"/>
          <w:szCs w:val="24"/>
        </w:rPr>
      </w:pPr>
      <w:r w:rsidRPr="000624CC">
        <w:rPr>
          <w:b/>
          <w:sz w:val="24"/>
          <w:szCs w:val="24"/>
        </w:rPr>
        <w:t xml:space="preserve">TỔNG HỢP KẾT QUẢ </w:t>
      </w:r>
      <w:r>
        <w:rPr>
          <w:b/>
          <w:sz w:val="24"/>
          <w:szCs w:val="24"/>
        </w:rPr>
        <w:t>CÁC KNCT ĐƯỢC</w:t>
      </w:r>
      <w:r w:rsidRPr="000624CC">
        <w:rPr>
          <w:b/>
          <w:sz w:val="24"/>
          <w:szCs w:val="24"/>
        </w:rPr>
        <w:t xml:space="preserve"> </w:t>
      </w:r>
      <w:r>
        <w:rPr>
          <w:b/>
          <w:sz w:val="24"/>
          <w:szCs w:val="24"/>
        </w:rPr>
        <w:t>GIẢI TRÌNH, CUNG CẤP THÔNG TIN</w:t>
      </w:r>
    </w:p>
    <w:p w:rsidR="00430456" w:rsidRPr="000624CC" w:rsidRDefault="00430456" w:rsidP="00430456">
      <w:pPr>
        <w:jc w:val="center"/>
        <w:rPr>
          <w:i/>
          <w:sz w:val="24"/>
          <w:szCs w:val="24"/>
        </w:rPr>
      </w:pPr>
      <w:r w:rsidRPr="000624CC">
        <w:rPr>
          <w:i/>
          <w:sz w:val="24"/>
          <w:szCs w:val="24"/>
        </w:rPr>
        <w:t>(Ban hành kèm theo Báo cáo số</w:t>
      </w:r>
      <w:r>
        <w:rPr>
          <w:i/>
          <w:sz w:val="24"/>
          <w:szCs w:val="24"/>
        </w:rPr>
        <w:t>:</w:t>
      </w:r>
      <w:r w:rsidR="00CB4812">
        <w:rPr>
          <w:i/>
          <w:sz w:val="24"/>
          <w:szCs w:val="24"/>
        </w:rPr>
        <w:t xml:space="preserve"> 533</w:t>
      </w:r>
      <w:r w:rsidRPr="000624CC">
        <w:rPr>
          <w:i/>
          <w:sz w:val="24"/>
          <w:szCs w:val="24"/>
        </w:rPr>
        <w:t>/</w:t>
      </w:r>
      <w:r>
        <w:rPr>
          <w:i/>
          <w:sz w:val="24"/>
          <w:szCs w:val="24"/>
        </w:rPr>
        <w:t>BC-HĐND</w:t>
      </w:r>
      <w:r w:rsidR="00CB4812">
        <w:rPr>
          <w:i/>
          <w:sz w:val="24"/>
          <w:szCs w:val="24"/>
        </w:rPr>
        <w:t xml:space="preserve"> ngày 14/12</w:t>
      </w:r>
      <w:bookmarkStart w:id="0" w:name="_GoBack"/>
      <w:bookmarkEnd w:id="0"/>
      <w:r w:rsidRPr="000624CC">
        <w:rPr>
          <w:i/>
          <w:sz w:val="24"/>
          <w:szCs w:val="24"/>
        </w:rPr>
        <w:t xml:space="preserve">/2021 của </w:t>
      </w:r>
      <w:r>
        <w:rPr>
          <w:i/>
          <w:sz w:val="24"/>
          <w:szCs w:val="24"/>
        </w:rPr>
        <w:t>Đoàn Giám sát</w:t>
      </w:r>
      <w:r w:rsidRPr="000624CC">
        <w:rPr>
          <w:i/>
          <w:sz w:val="24"/>
          <w:szCs w:val="24"/>
        </w:rPr>
        <w:t>)</w:t>
      </w:r>
    </w:p>
    <w:p w:rsidR="00430456" w:rsidRDefault="00430456" w:rsidP="00430456">
      <w:pPr>
        <w:jc w:val="center"/>
        <w:rPr>
          <w:b/>
        </w:rPr>
      </w:pPr>
    </w:p>
    <w:p w:rsidR="00430456" w:rsidRDefault="00430456" w:rsidP="00430456">
      <w:pPr>
        <w:jc w:val="center"/>
        <w:rPr>
          <w:b/>
        </w:rPr>
      </w:pPr>
    </w:p>
    <w:tbl>
      <w:tblPr>
        <w:tblStyle w:val="TableGrid"/>
        <w:tblW w:w="14879" w:type="dxa"/>
        <w:tblLayout w:type="fixed"/>
        <w:tblLook w:val="04A0" w:firstRow="1" w:lastRow="0" w:firstColumn="1" w:lastColumn="0" w:noHBand="0" w:noVBand="1"/>
      </w:tblPr>
      <w:tblGrid>
        <w:gridCol w:w="562"/>
        <w:gridCol w:w="4111"/>
        <w:gridCol w:w="10206"/>
      </w:tblGrid>
      <w:tr w:rsidR="00430456" w:rsidRPr="00430456" w:rsidTr="0087350C">
        <w:trPr>
          <w:trHeight w:val="639"/>
        </w:trPr>
        <w:tc>
          <w:tcPr>
            <w:tcW w:w="562" w:type="dxa"/>
            <w:vAlign w:val="center"/>
          </w:tcPr>
          <w:p w:rsidR="00430456" w:rsidRPr="00430456" w:rsidRDefault="00430456" w:rsidP="00430456">
            <w:pPr>
              <w:jc w:val="center"/>
              <w:rPr>
                <w:b/>
                <w:sz w:val="24"/>
                <w:szCs w:val="24"/>
              </w:rPr>
            </w:pPr>
            <w:r w:rsidRPr="00430456">
              <w:rPr>
                <w:b/>
                <w:sz w:val="24"/>
                <w:szCs w:val="24"/>
              </w:rPr>
              <w:t>TT</w:t>
            </w:r>
          </w:p>
        </w:tc>
        <w:tc>
          <w:tcPr>
            <w:tcW w:w="4111" w:type="dxa"/>
            <w:vAlign w:val="center"/>
          </w:tcPr>
          <w:p w:rsidR="00430456" w:rsidRPr="00430456" w:rsidRDefault="00430456" w:rsidP="00430456">
            <w:pPr>
              <w:jc w:val="center"/>
              <w:rPr>
                <w:b/>
                <w:sz w:val="24"/>
                <w:szCs w:val="24"/>
              </w:rPr>
            </w:pPr>
            <w:r>
              <w:rPr>
                <w:b/>
                <w:sz w:val="24"/>
                <w:szCs w:val="24"/>
              </w:rPr>
              <w:t>KIẾN NGHỊ CỬ TRI</w:t>
            </w:r>
          </w:p>
        </w:tc>
        <w:tc>
          <w:tcPr>
            <w:tcW w:w="10206" w:type="dxa"/>
            <w:vAlign w:val="center"/>
          </w:tcPr>
          <w:p w:rsidR="00430456" w:rsidRPr="00430456" w:rsidRDefault="00430456" w:rsidP="00430456">
            <w:pPr>
              <w:jc w:val="center"/>
              <w:rPr>
                <w:b/>
                <w:sz w:val="24"/>
                <w:szCs w:val="24"/>
              </w:rPr>
            </w:pPr>
            <w:r w:rsidRPr="00430456">
              <w:rPr>
                <w:b/>
                <w:sz w:val="24"/>
                <w:szCs w:val="24"/>
              </w:rPr>
              <w:t>KẾT QUẢ GIẢI QUYẾT</w:t>
            </w:r>
          </w:p>
        </w:tc>
      </w:tr>
      <w:tr w:rsidR="00430456" w:rsidRPr="00430456" w:rsidTr="0087350C">
        <w:trPr>
          <w:trHeight w:val="279"/>
        </w:trPr>
        <w:tc>
          <w:tcPr>
            <w:tcW w:w="562" w:type="dxa"/>
            <w:vAlign w:val="center"/>
          </w:tcPr>
          <w:p w:rsidR="00430456" w:rsidRPr="000624CC" w:rsidRDefault="00430456" w:rsidP="00430456">
            <w:pPr>
              <w:jc w:val="center"/>
              <w:rPr>
                <w:sz w:val="24"/>
                <w:szCs w:val="24"/>
              </w:rPr>
            </w:pPr>
            <w:r w:rsidRPr="000624CC">
              <w:rPr>
                <w:sz w:val="24"/>
                <w:szCs w:val="24"/>
              </w:rPr>
              <w:t>(1)</w:t>
            </w:r>
          </w:p>
        </w:tc>
        <w:tc>
          <w:tcPr>
            <w:tcW w:w="4111" w:type="dxa"/>
            <w:vAlign w:val="center"/>
          </w:tcPr>
          <w:p w:rsidR="00430456" w:rsidRPr="000624CC" w:rsidRDefault="00430456" w:rsidP="00430456">
            <w:pPr>
              <w:jc w:val="center"/>
              <w:rPr>
                <w:sz w:val="24"/>
                <w:szCs w:val="24"/>
              </w:rPr>
            </w:pPr>
            <w:r w:rsidRPr="000624CC">
              <w:rPr>
                <w:sz w:val="24"/>
                <w:szCs w:val="24"/>
              </w:rPr>
              <w:t>(2)</w:t>
            </w:r>
          </w:p>
        </w:tc>
        <w:tc>
          <w:tcPr>
            <w:tcW w:w="10206" w:type="dxa"/>
            <w:vAlign w:val="center"/>
          </w:tcPr>
          <w:p w:rsidR="00430456" w:rsidRPr="000624CC" w:rsidRDefault="00430456" w:rsidP="00430456">
            <w:pPr>
              <w:jc w:val="center"/>
              <w:rPr>
                <w:sz w:val="24"/>
                <w:szCs w:val="24"/>
              </w:rPr>
            </w:pPr>
            <w:r w:rsidRPr="000624CC">
              <w:rPr>
                <w:sz w:val="24"/>
                <w:szCs w:val="24"/>
              </w:rPr>
              <w:t>(3)</w:t>
            </w:r>
          </w:p>
        </w:tc>
      </w:tr>
      <w:tr w:rsidR="00430456" w:rsidRPr="00430456" w:rsidTr="002A300C">
        <w:trPr>
          <w:trHeight w:val="279"/>
        </w:trPr>
        <w:tc>
          <w:tcPr>
            <w:tcW w:w="562" w:type="dxa"/>
            <w:vAlign w:val="center"/>
          </w:tcPr>
          <w:p w:rsidR="00430456" w:rsidRPr="00430456" w:rsidRDefault="00430456" w:rsidP="00430456">
            <w:pPr>
              <w:jc w:val="center"/>
              <w:rPr>
                <w:b/>
                <w:sz w:val="22"/>
                <w:szCs w:val="22"/>
              </w:rPr>
            </w:pPr>
            <w:r w:rsidRPr="00430456">
              <w:rPr>
                <w:b/>
                <w:sz w:val="22"/>
                <w:szCs w:val="22"/>
              </w:rPr>
              <w:t>I</w:t>
            </w:r>
          </w:p>
        </w:tc>
        <w:tc>
          <w:tcPr>
            <w:tcW w:w="14317" w:type="dxa"/>
            <w:gridSpan w:val="2"/>
            <w:vAlign w:val="center"/>
          </w:tcPr>
          <w:p w:rsidR="00430456" w:rsidRPr="00430456" w:rsidRDefault="00430456" w:rsidP="00430456">
            <w:pPr>
              <w:jc w:val="center"/>
              <w:rPr>
                <w:b/>
                <w:sz w:val="22"/>
                <w:szCs w:val="22"/>
              </w:rPr>
            </w:pPr>
            <w:r w:rsidRPr="00430456">
              <w:rPr>
                <w:b/>
                <w:sz w:val="22"/>
                <w:szCs w:val="22"/>
              </w:rPr>
              <w:t>LĨNH VỰC KINH TẾ, NÔNG NGHIỆP NÔNG THÔN VÀ ĐÔ THỊ</w:t>
            </w:r>
          </w:p>
        </w:tc>
      </w:tr>
      <w:tr w:rsidR="00430456" w:rsidRPr="00430456" w:rsidTr="0087350C">
        <w:tc>
          <w:tcPr>
            <w:tcW w:w="562" w:type="dxa"/>
            <w:vAlign w:val="center"/>
          </w:tcPr>
          <w:p w:rsidR="00430456" w:rsidRPr="00430456" w:rsidRDefault="00430456" w:rsidP="00430456">
            <w:pPr>
              <w:pStyle w:val="ListParagraph"/>
              <w:numPr>
                <w:ilvl w:val="0"/>
                <w:numId w:val="1"/>
              </w:numPr>
              <w:jc w:val="center"/>
              <w:rPr>
                <w:b/>
                <w:sz w:val="24"/>
                <w:szCs w:val="24"/>
              </w:rPr>
            </w:pPr>
          </w:p>
        </w:tc>
        <w:tc>
          <w:tcPr>
            <w:tcW w:w="4111" w:type="dxa"/>
            <w:vAlign w:val="center"/>
          </w:tcPr>
          <w:p w:rsidR="00430456" w:rsidRPr="00430456" w:rsidRDefault="00430456" w:rsidP="0087350C">
            <w:pPr>
              <w:spacing w:before="60" w:after="60"/>
              <w:jc w:val="both"/>
              <w:rPr>
                <w:sz w:val="22"/>
                <w:szCs w:val="22"/>
              </w:rPr>
            </w:pPr>
            <w:r w:rsidRPr="00430456">
              <w:rPr>
                <w:sz w:val="22"/>
                <w:szCs w:val="22"/>
              </w:rPr>
              <w:t xml:space="preserve">Xem xét cho huyện Can Lộc, huyện Hương Sơn tiếp tục được hưởng các cơ chế, chính sách tạo nguồn lực xây dựng huyện đạt chuẩn nông thôn mới theo quy định tại Nghị quyết số 115/2018/NQ-HĐND và Nghị quyết số 173/2019/NQ-HĐND của HĐND tỉnh; quan tâm hỗ trợ nguồn lực cho huyện Hương Khê tổ chức thực hiện xây dựng huyện đạt chuẩn nông thôn mới, thị trấn đạt tiêu chí đô thị văn minh giai đoạn 2021-2024 </w:t>
            </w:r>
          </w:p>
        </w:tc>
        <w:tc>
          <w:tcPr>
            <w:tcW w:w="10206" w:type="dxa"/>
            <w:vAlign w:val="center"/>
          </w:tcPr>
          <w:p w:rsidR="00430456" w:rsidRPr="00430456" w:rsidRDefault="00430456" w:rsidP="00430456">
            <w:pPr>
              <w:spacing w:before="60" w:after="60"/>
              <w:ind w:firstLine="170"/>
              <w:jc w:val="both"/>
              <w:rPr>
                <w:sz w:val="22"/>
                <w:szCs w:val="22"/>
              </w:rPr>
            </w:pPr>
            <w:r w:rsidRPr="00430456">
              <w:rPr>
                <w:sz w:val="22"/>
                <w:szCs w:val="22"/>
              </w:rPr>
              <w:t>- Đối với huyện Can Lộc: đã được hưởng cơ chế, chính sách tạo nguồn lực xây dựng huyện đạt chuẩn nông thôn mới theo Nghị quyết số 115/2018/NQ-HĐND ngày 13/12/2018 của HĐND tỉnh trong năm 2019-2020. Theo đó, huyện Can Lộc đã được công nhận đạt chuẩn vào năm 2019 theo Quyết định số 1405/QĐ-TTg ngày 17/10/2019 của Thủ tướng Chính phủ. Trong thời gian tới, khi xây dựng cơ chế, chính sách tỉnh đạt chuẩn nông thôn mới giai đoạn 2021-2025 sẽ xem xét bố trí nguồn lực trong đề án xây dựng tỉnh nông thôn mới.</w:t>
            </w:r>
          </w:p>
          <w:p w:rsidR="00430456" w:rsidRPr="00430456" w:rsidRDefault="00430456" w:rsidP="00430456">
            <w:pPr>
              <w:spacing w:before="60" w:after="60"/>
              <w:ind w:firstLine="170"/>
              <w:jc w:val="both"/>
              <w:rPr>
                <w:sz w:val="22"/>
                <w:szCs w:val="22"/>
              </w:rPr>
            </w:pPr>
            <w:r w:rsidRPr="00430456">
              <w:rPr>
                <w:sz w:val="22"/>
                <w:szCs w:val="22"/>
              </w:rPr>
              <w:t>- Đối với huyện Hương Sơn: hiện nay vẫn đang được hưởng cơ chế, chính sách tạo nguồn lực xây dựng huyện đạt chuẩn nông thôn mới theo Nghị quyết số 173/2019/NQ-HĐND ngày 15/12/2019 của HĐND tỉnh đến hết năm 2021.</w:t>
            </w:r>
          </w:p>
          <w:p w:rsidR="00430456" w:rsidRPr="00430456" w:rsidRDefault="00430456" w:rsidP="00430456">
            <w:pPr>
              <w:spacing w:before="60" w:after="60"/>
              <w:ind w:firstLine="170"/>
              <w:jc w:val="both"/>
              <w:rPr>
                <w:sz w:val="22"/>
                <w:szCs w:val="22"/>
              </w:rPr>
            </w:pPr>
            <w:r w:rsidRPr="00430456">
              <w:rPr>
                <w:sz w:val="22"/>
                <w:szCs w:val="22"/>
              </w:rPr>
              <w:t>- Đối với huyện Hương Khê: sẽ nằm trong tổng thể cơ chế xây dựng tỉnh đạt chuẩn nông thôn mới, dự kiến ban hành trong năm 2021. Trước mắt, tỉnh sẽ ưu tiên khi phân bổ vốn hỗ trợ thực hiện Chương trình nông thôn mới năm 2021 và lồng ghép các nguồn hợp pháp khác.</w:t>
            </w:r>
          </w:p>
        </w:tc>
      </w:tr>
      <w:tr w:rsidR="00430456" w:rsidRPr="00430456" w:rsidTr="0087350C">
        <w:tc>
          <w:tcPr>
            <w:tcW w:w="562" w:type="dxa"/>
            <w:vAlign w:val="center"/>
          </w:tcPr>
          <w:p w:rsidR="00430456" w:rsidRPr="00430456" w:rsidRDefault="00430456" w:rsidP="00430456">
            <w:pPr>
              <w:pStyle w:val="ListParagraph"/>
              <w:numPr>
                <w:ilvl w:val="0"/>
                <w:numId w:val="1"/>
              </w:numPr>
              <w:jc w:val="center"/>
              <w:rPr>
                <w:b/>
                <w:sz w:val="24"/>
                <w:szCs w:val="24"/>
              </w:rPr>
            </w:pPr>
          </w:p>
        </w:tc>
        <w:tc>
          <w:tcPr>
            <w:tcW w:w="4111" w:type="dxa"/>
            <w:vAlign w:val="center"/>
          </w:tcPr>
          <w:p w:rsidR="00430456" w:rsidRPr="00133E9F" w:rsidRDefault="00430456" w:rsidP="00133E9F">
            <w:pPr>
              <w:spacing w:before="60" w:after="60"/>
              <w:jc w:val="both"/>
              <w:rPr>
                <w:i/>
                <w:sz w:val="22"/>
                <w:szCs w:val="22"/>
              </w:rPr>
            </w:pPr>
            <w:r w:rsidRPr="00133E9F">
              <w:rPr>
                <w:sz w:val="22"/>
                <w:szCs w:val="22"/>
              </w:rPr>
              <w:t>Tăng mức hỗ trợ các khu dân cư kiểu mẫu đạt chuẩn và giảm các thủ tục, hồ sơ về xây dựng các tiêu chí đạt chuẩn nông thôn mới</w:t>
            </w:r>
            <w:r w:rsidR="00133E9F" w:rsidRPr="00133E9F">
              <w:rPr>
                <w:sz w:val="22"/>
                <w:szCs w:val="22"/>
              </w:rPr>
              <w:t>.</w:t>
            </w:r>
          </w:p>
          <w:p w:rsidR="00430456" w:rsidRPr="00133E9F" w:rsidRDefault="00430456" w:rsidP="00430456">
            <w:pPr>
              <w:spacing w:before="60" w:after="60"/>
              <w:ind w:firstLine="170"/>
              <w:jc w:val="both"/>
              <w:rPr>
                <w:sz w:val="22"/>
                <w:szCs w:val="22"/>
              </w:rPr>
            </w:pPr>
          </w:p>
        </w:tc>
        <w:tc>
          <w:tcPr>
            <w:tcW w:w="10206" w:type="dxa"/>
          </w:tcPr>
          <w:p w:rsidR="00430456" w:rsidRPr="00133E9F" w:rsidRDefault="00133E9F" w:rsidP="00133E9F">
            <w:pPr>
              <w:spacing w:before="60" w:after="60"/>
              <w:jc w:val="both"/>
              <w:rPr>
                <w:sz w:val="22"/>
                <w:szCs w:val="22"/>
              </w:rPr>
            </w:pPr>
            <w:r w:rsidRPr="00133E9F">
              <w:rPr>
                <w:sz w:val="22"/>
                <w:szCs w:val="22"/>
              </w:rPr>
              <w:t xml:space="preserve">Chính </w:t>
            </w:r>
            <w:r w:rsidR="00430456" w:rsidRPr="00133E9F">
              <w:rPr>
                <w:sz w:val="22"/>
                <w:szCs w:val="22"/>
              </w:rPr>
              <w:t>sách hỗ trợ các khu dân cư kiểu mẫu đạt chuẩn tiếp tục thực hiện theo NQ 123 của HĐND tỉnh và kéo dài đến hết năm 2021 để xem xét, đánh giá và xây dựng chính sách mới. UBND tỉnh đã báo cáo phương hướng xây dựng chính sách giai đoạn 2021-2025 và được Ban Chấp hành Đảng bộ tỉnh thông qua tại Kết luận số 23-KL/TU ngày 21/6/2021; theo đó, UBND tỉnh đã giao Sở Nông nghiệp và PTNT, Văn phòng điều phối Nông thôn mới tỉnh rà soát, xây dựng Cơ chế, chính sách khuyến khích phát triển nông nghiệp, nông thôn giai đoạn 2021-2025 gắn với xây dựng tỉnh đạt chuẩn nông thôn mới đảm bảo thiết thực, hiệu quả, trình HĐND tỉnh tại kỳ họp cuối năm 2021.</w:t>
            </w:r>
          </w:p>
        </w:tc>
      </w:tr>
      <w:tr w:rsidR="00133E9F" w:rsidRPr="00430456" w:rsidTr="0087350C">
        <w:tc>
          <w:tcPr>
            <w:tcW w:w="562" w:type="dxa"/>
            <w:vAlign w:val="center"/>
          </w:tcPr>
          <w:p w:rsidR="00133E9F" w:rsidRPr="00430456" w:rsidRDefault="00133E9F" w:rsidP="00430456">
            <w:pPr>
              <w:pStyle w:val="ListParagraph"/>
              <w:numPr>
                <w:ilvl w:val="0"/>
                <w:numId w:val="1"/>
              </w:numPr>
              <w:jc w:val="center"/>
              <w:rPr>
                <w:b/>
                <w:sz w:val="24"/>
                <w:szCs w:val="24"/>
              </w:rPr>
            </w:pPr>
          </w:p>
        </w:tc>
        <w:tc>
          <w:tcPr>
            <w:tcW w:w="4111" w:type="dxa"/>
            <w:vAlign w:val="center"/>
          </w:tcPr>
          <w:p w:rsidR="00133E9F" w:rsidRPr="00133E9F" w:rsidRDefault="00133E9F" w:rsidP="00133E9F">
            <w:pPr>
              <w:spacing w:before="60" w:after="60"/>
              <w:jc w:val="both"/>
              <w:rPr>
                <w:sz w:val="22"/>
                <w:szCs w:val="22"/>
              </w:rPr>
            </w:pPr>
            <w:r w:rsidRPr="00133E9F">
              <w:rPr>
                <w:sz w:val="22"/>
                <w:szCs w:val="22"/>
              </w:rPr>
              <w:t xml:space="preserve">Có chính sách hỗ trợ các mô hình sản xuất tập trung, mua máy sản xuất nông nghiệp, xây dựng kho bảo quản sản phẩm sau thu hoạch </w:t>
            </w:r>
          </w:p>
        </w:tc>
        <w:tc>
          <w:tcPr>
            <w:tcW w:w="10206" w:type="dxa"/>
          </w:tcPr>
          <w:p w:rsidR="00133E9F" w:rsidRPr="00133E9F" w:rsidRDefault="00133E9F" w:rsidP="00133E9F">
            <w:pPr>
              <w:spacing w:before="60" w:after="60"/>
              <w:jc w:val="both"/>
              <w:rPr>
                <w:sz w:val="22"/>
                <w:szCs w:val="22"/>
              </w:rPr>
            </w:pPr>
            <w:r w:rsidRPr="00133E9F">
              <w:rPr>
                <w:sz w:val="22"/>
                <w:szCs w:val="22"/>
              </w:rPr>
              <w:t>Chính sách hỗ trợ các mô hình sản xuất tập trung, mua máy sản xuất nông nghiệp, xây dựng kho bảo quản sản phẩm sau thu hoạch đã được UBND tỉnh ban hành và thực hiện các năm trước đây, hiện nay có Nghị quyết 123. Những chính sách hỗ trợ đã phát huy hiệu quả, đạt mục tiêu thì tỉnh đã tạm dừng để ưu tiên nguồn lực cho các chính sách khác cần hỗ trợ hơn.</w:t>
            </w:r>
          </w:p>
        </w:tc>
      </w:tr>
      <w:tr w:rsidR="00430456" w:rsidRPr="00430456" w:rsidTr="0087350C">
        <w:tc>
          <w:tcPr>
            <w:tcW w:w="562" w:type="dxa"/>
            <w:vAlign w:val="center"/>
          </w:tcPr>
          <w:p w:rsidR="00430456" w:rsidRPr="00430456" w:rsidRDefault="00430456" w:rsidP="00430456">
            <w:pPr>
              <w:pStyle w:val="ListParagraph"/>
              <w:numPr>
                <w:ilvl w:val="0"/>
                <w:numId w:val="1"/>
              </w:numPr>
              <w:jc w:val="center"/>
              <w:rPr>
                <w:b/>
                <w:sz w:val="24"/>
                <w:szCs w:val="24"/>
              </w:rPr>
            </w:pPr>
          </w:p>
        </w:tc>
        <w:tc>
          <w:tcPr>
            <w:tcW w:w="4111" w:type="dxa"/>
          </w:tcPr>
          <w:p w:rsidR="00430456" w:rsidRPr="00133E9F" w:rsidRDefault="00430456" w:rsidP="00133E9F">
            <w:pPr>
              <w:jc w:val="both"/>
              <w:rPr>
                <w:b/>
                <w:sz w:val="22"/>
                <w:szCs w:val="22"/>
              </w:rPr>
            </w:pPr>
            <w:r w:rsidRPr="00133E9F">
              <w:rPr>
                <w:sz w:val="22"/>
                <w:szCs w:val="22"/>
              </w:rPr>
              <w:t xml:space="preserve">Có chính sách hỗ trợ cho nhân dân trồng cây ăn </w:t>
            </w:r>
            <w:r w:rsidR="00133E9F">
              <w:rPr>
                <w:sz w:val="22"/>
                <w:szCs w:val="22"/>
              </w:rPr>
              <w:t>quả vùng Trà Sơn, huyện Can Lộc</w:t>
            </w:r>
          </w:p>
        </w:tc>
        <w:tc>
          <w:tcPr>
            <w:tcW w:w="10206" w:type="dxa"/>
          </w:tcPr>
          <w:p w:rsidR="00430456" w:rsidRPr="00133E9F" w:rsidRDefault="00133E9F" w:rsidP="00133E9F">
            <w:pPr>
              <w:jc w:val="both"/>
              <w:rPr>
                <w:b/>
                <w:sz w:val="22"/>
                <w:szCs w:val="22"/>
              </w:rPr>
            </w:pPr>
            <w:r>
              <w:rPr>
                <w:sz w:val="22"/>
                <w:szCs w:val="22"/>
              </w:rPr>
              <w:t>H</w:t>
            </w:r>
            <w:r w:rsidRPr="00133E9F">
              <w:rPr>
                <w:sz w:val="22"/>
                <w:szCs w:val="22"/>
              </w:rPr>
              <w:t>uyện Can Lộc cũng đã có nhiều chính sách riêng của địa phương để hỗ trợ sản xuất nông nghiệp cho người dân, nhất là vùng Trà Sơn như Nghị quyết 40, QĐ 2418.</w:t>
            </w:r>
          </w:p>
        </w:tc>
      </w:tr>
      <w:tr w:rsidR="00430456" w:rsidRPr="00430456" w:rsidTr="0087350C">
        <w:tc>
          <w:tcPr>
            <w:tcW w:w="562" w:type="dxa"/>
            <w:vAlign w:val="center"/>
          </w:tcPr>
          <w:p w:rsidR="00430456" w:rsidRPr="00430456" w:rsidRDefault="00430456" w:rsidP="00430456">
            <w:pPr>
              <w:pStyle w:val="ListParagraph"/>
              <w:numPr>
                <w:ilvl w:val="0"/>
                <w:numId w:val="1"/>
              </w:numPr>
              <w:jc w:val="center"/>
              <w:rPr>
                <w:b/>
                <w:sz w:val="24"/>
                <w:szCs w:val="24"/>
              </w:rPr>
            </w:pPr>
          </w:p>
        </w:tc>
        <w:tc>
          <w:tcPr>
            <w:tcW w:w="4111" w:type="dxa"/>
            <w:vAlign w:val="center"/>
          </w:tcPr>
          <w:p w:rsidR="00430456" w:rsidRPr="00133E9F" w:rsidRDefault="00133E9F" w:rsidP="00133E9F">
            <w:pPr>
              <w:jc w:val="both"/>
              <w:rPr>
                <w:b/>
                <w:sz w:val="22"/>
                <w:szCs w:val="22"/>
              </w:rPr>
            </w:pPr>
            <w:r w:rsidRPr="00133E9F">
              <w:rPr>
                <w:sz w:val="22"/>
                <w:szCs w:val="22"/>
              </w:rPr>
              <w:t xml:space="preserve">Có chính sách hỗ trợ xây dựng tổ dân phố văn minh kiểu </w:t>
            </w:r>
            <w:r w:rsidR="00137A38">
              <w:rPr>
                <w:sz w:val="22"/>
                <w:szCs w:val="22"/>
              </w:rPr>
              <w:t>mẫu và xây dựng đô thị văn minh trên địa bàn thành phố Hà Tĩnh</w:t>
            </w:r>
          </w:p>
        </w:tc>
        <w:tc>
          <w:tcPr>
            <w:tcW w:w="10206" w:type="dxa"/>
          </w:tcPr>
          <w:p w:rsidR="00430456" w:rsidRPr="00137A38" w:rsidRDefault="00133E9F" w:rsidP="00137A38">
            <w:pPr>
              <w:spacing w:before="60" w:after="60"/>
              <w:ind w:hanging="50"/>
              <w:jc w:val="both"/>
              <w:rPr>
                <w:sz w:val="22"/>
                <w:szCs w:val="22"/>
              </w:rPr>
            </w:pPr>
            <w:r w:rsidRPr="00133E9F">
              <w:rPr>
                <w:sz w:val="22"/>
                <w:szCs w:val="22"/>
              </w:rPr>
              <w:t xml:space="preserve">Hiện nay trên địa bàn tỉnh, các địa phương đã và đang chỉ đạo xây dựng danh hiệu “Phường đạt chuẩn văn minh đô thị”, “Tổ dân phố mẫu”. Nhiều địa phương làm tốt trong việc chỉ đạo xây dựng, thực hiện các tiêu chí và đã ban hành cơ chế hỗ trợ xây dựng “Phường đạt chuẩn văn minh đô thị”, “Tổ dân phố mẫu”. Các cơ chế này đã hỗ trợ hiệu quả cho các phường trong quá trình xây dựng “Phường đạt chuẩn văn minh đô thị”, “Tổ dân phố mẫu”. Nhiều địa phương đã ban hành chính sách để thực hiện nội dung trên (HĐND thành phố Hà Tĩnh có Nghị quyết số 42/NQ-HĐND ngày 27/12/2018). Tại thành phố Hà Tĩnh, đến nay sau gần 06 năm triển khai xây dựng “Phường </w:t>
            </w:r>
            <w:r w:rsidRPr="00133E9F">
              <w:rPr>
                <w:sz w:val="22"/>
                <w:szCs w:val="22"/>
              </w:rPr>
              <w:lastRenderedPageBreak/>
              <w:t>đạt chuẩn văn minh đô thị”, gần 03 năm xây dựng “Tổ dân phố mẫu”, Thành phố đã công nhận 10/10 phường đạt “Phường đạt chuẩn văn minh đô thị”; 16 tổ dân phố đạt “Tổ dân phố mẫu”, 28 nhà văn hóa đạt “Nhà văn hóa mẫu”.</w:t>
            </w:r>
            <w:r w:rsidR="00137A38">
              <w:rPr>
                <w:sz w:val="22"/>
                <w:szCs w:val="22"/>
              </w:rPr>
              <w:t xml:space="preserve"> </w:t>
            </w:r>
            <w:r w:rsidRPr="00133E9F">
              <w:rPr>
                <w:sz w:val="22"/>
                <w:szCs w:val="22"/>
              </w:rPr>
              <w:t>Tiếp thu ý kiến, kiến nghị của cử tri, UBND tỉnh tiếp tục chỉ đạo các địa phương có chính sách hỗ trợ và đẩy mạnh thực hiện nội dung trên trong thời gian tới.</w:t>
            </w:r>
          </w:p>
        </w:tc>
      </w:tr>
      <w:tr w:rsidR="00133E9F" w:rsidRPr="00430456" w:rsidTr="0087350C">
        <w:tc>
          <w:tcPr>
            <w:tcW w:w="562" w:type="dxa"/>
            <w:vAlign w:val="center"/>
          </w:tcPr>
          <w:p w:rsidR="00133E9F" w:rsidRPr="00430456" w:rsidRDefault="00133E9F" w:rsidP="00133E9F">
            <w:pPr>
              <w:pStyle w:val="ListParagraph"/>
              <w:numPr>
                <w:ilvl w:val="0"/>
                <w:numId w:val="1"/>
              </w:numPr>
              <w:jc w:val="center"/>
              <w:rPr>
                <w:b/>
                <w:sz w:val="24"/>
                <w:szCs w:val="24"/>
              </w:rPr>
            </w:pPr>
          </w:p>
        </w:tc>
        <w:tc>
          <w:tcPr>
            <w:tcW w:w="4111" w:type="dxa"/>
            <w:vAlign w:val="center"/>
          </w:tcPr>
          <w:p w:rsidR="00133E9F" w:rsidRPr="00133E9F" w:rsidRDefault="00133E9F" w:rsidP="00137A38">
            <w:pPr>
              <w:jc w:val="both"/>
              <w:rPr>
                <w:b/>
                <w:sz w:val="22"/>
                <w:szCs w:val="22"/>
              </w:rPr>
            </w:pPr>
            <w:r w:rsidRPr="00133E9F">
              <w:rPr>
                <w:sz w:val="22"/>
                <w:szCs w:val="22"/>
              </w:rPr>
              <w:t>Đối với chính sách hỗ trợ xi măng làm giao thông nông thôn, đề nghị điều chỉnh hỗ trợ theo quy mô thực tế thay vì quy định mức hỗ trợ theo quy mô tối thiểu như hiện nay</w:t>
            </w:r>
          </w:p>
        </w:tc>
        <w:tc>
          <w:tcPr>
            <w:tcW w:w="10206" w:type="dxa"/>
            <w:vAlign w:val="center"/>
          </w:tcPr>
          <w:p w:rsidR="00133E9F" w:rsidRPr="00133E9F" w:rsidRDefault="00133E9F" w:rsidP="00133E9F">
            <w:pPr>
              <w:jc w:val="both"/>
              <w:rPr>
                <w:sz w:val="22"/>
                <w:szCs w:val="22"/>
              </w:rPr>
            </w:pPr>
            <w:r w:rsidRPr="00133E9F">
              <w:rPr>
                <w:sz w:val="22"/>
                <w:szCs w:val="22"/>
              </w:rPr>
              <w:t>Qua thời gian triển khai thực tế, để đáp ứng nhu cầu phát triển kinh tế xã hội, xu hướng xây dựng NTM nâng cao, NTM kiểu mẫu nên nhiều địa phương đã hướng dẫn, khuyến khích Nhân dân xây dựng đường GTNT có quy mô lớn hơn quy mô tối thiểu được quy định (trục xã rộng 5m, trục thôn 3,5m, ngõ xóm 3,0m), trong khi đó ngân sách cấp tỉnh chỉ hỗ trợ quy mô tối thiểu. Do đó nhiều địa phương, trong đó có huyện Thạch Hà đã kiến nghị, đề xuất Ngân sách cấp tỉnh hỗ trợ theo quy mô xây dựng thực tế để giảm bớt gánh nặng đóng góp của Nhân dân.</w:t>
            </w:r>
            <w:r>
              <w:rPr>
                <w:sz w:val="22"/>
                <w:szCs w:val="22"/>
              </w:rPr>
              <w:t xml:space="preserve"> </w:t>
            </w:r>
            <w:r w:rsidRPr="00133E9F">
              <w:rPr>
                <w:sz w:val="22"/>
                <w:szCs w:val="22"/>
              </w:rPr>
              <w:t>Nội dung này UBND tỉnh giao Sở Giao thông vận tải phối hợp với Sở Nông nghiệp và PTNT, Văn phòng Điều phối Nông thôn mới tỉnh, Sở Tài chính nghiên cứu, rà soát cụ thể, đề xuất trong quá trình tham mưu xây dựng cơ chế, chính sách xây dựng tỉnh nông thôn mới để trình HĐND tỉnh vào kỳ họp cuối năm 2021 đảm bảo thiết thực, hiệu quả.</w:t>
            </w:r>
          </w:p>
        </w:tc>
      </w:tr>
      <w:tr w:rsidR="00133E9F" w:rsidRPr="00430456" w:rsidTr="0087350C">
        <w:tc>
          <w:tcPr>
            <w:tcW w:w="562" w:type="dxa"/>
            <w:vAlign w:val="center"/>
          </w:tcPr>
          <w:p w:rsidR="00133E9F" w:rsidRPr="00430456" w:rsidRDefault="00133E9F" w:rsidP="00133E9F">
            <w:pPr>
              <w:pStyle w:val="ListParagraph"/>
              <w:numPr>
                <w:ilvl w:val="0"/>
                <w:numId w:val="1"/>
              </w:numPr>
              <w:jc w:val="center"/>
              <w:rPr>
                <w:b/>
                <w:sz w:val="24"/>
                <w:szCs w:val="24"/>
              </w:rPr>
            </w:pPr>
          </w:p>
        </w:tc>
        <w:tc>
          <w:tcPr>
            <w:tcW w:w="4111" w:type="dxa"/>
            <w:vAlign w:val="center"/>
          </w:tcPr>
          <w:p w:rsidR="00133E9F" w:rsidRPr="00133E9F" w:rsidRDefault="00133E9F" w:rsidP="00133E9F">
            <w:pPr>
              <w:spacing w:before="60" w:after="60"/>
              <w:jc w:val="both"/>
              <w:rPr>
                <w:sz w:val="22"/>
                <w:szCs w:val="22"/>
              </w:rPr>
            </w:pPr>
            <w:r w:rsidRPr="00133E9F">
              <w:rPr>
                <w:sz w:val="22"/>
                <w:szCs w:val="22"/>
              </w:rPr>
              <w:t>Đề nghị tỉnh sớm phân bổ vốn đầu tư công, nguồn vốn xây dựng nông thôn mới để các địa phương chủ động trong việc triển khai</w:t>
            </w:r>
            <w:r>
              <w:rPr>
                <w:sz w:val="22"/>
                <w:szCs w:val="22"/>
              </w:rPr>
              <w:t xml:space="preserve"> thực hiện các nhiệm vụ ở cơ sở</w:t>
            </w:r>
          </w:p>
        </w:tc>
        <w:tc>
          <w:tcPr>
            <w:tcW w:w="10206" w:type="dxa"/>
          </w:tcPr>
          <w:p w:rsidR="00133E9F" w:rsidRPr="00133E9F" w:rsidRDefault="00133E9F" w:rsidP="00133E9F">
            <w:pPr>
              <w:spacing w:before="60" w:after="60"/>
              <w:jc w:val="both"/>
              <w:rPr>
                <w:sz w:val="22"/>
                <w:szCs w:val="22"/>
              </w:rPr>
            </w:pPr>
            <w:r w:rsidRPr="00133E9F">
              <w:rPr>
                <w:sz w:val="22"/>
                <w:szCs w:val="22"/>
              </w:rPr>
              <w:t>Kế hoạch vốn đầu tư công năm 2021 đã được HĐND tỉnh thông qua phương án phân bổ chi tiết tại Nghị quyết số 247/NQ-HĐND ngày 08/12/2020; UBND tỉnh đã ban hành Quyết định giao chi tiết cho các dự án đúng thời gian quy định (tại Quyết định số 4586/QĐ-UBND ngày 31/12/2020).</w:t>
            </w:r>
            <w:r>
              <w:rPr>
                <w:sz w:val="22"/>
                <w:szCs w:val="22"/>
              </w:rPr>
              <w:t xml:space="preserve"> </w:t>
            </w:r>
            <w:r w:rsidRPr="00133E9F">
              <w:rPr>
                <w:sz w:val="22"/>
                <w:szCs w:val="22"/>
              </w:rPr>
              <w:t xml:space="preserve">Riêng đối với nguồn vốn xây dựng nông thôn mới: đến nay Quốc hội vẫn chưa thông qua Chủ trương đầu tư của Chương trình, Bộ Kế hoạch và </w:t>
            </w:r>
            <w:r w:rsidRPr="00133E9F">
              <w:rPr>
                <w:rFonts w:hint="eastAsia"/>
                <w:sz w:val="22"/>
                <w:szCs w:val="22"/>
              </w:rPr>
              <w:t>Đ</w:t>
            </w:r>
            <w:r w:rsidRPr="00133E9F">
              <w:rPr>
                <w:sz w:val="22"/>
                <w:szCs w:val="22"/>
              </w:rPr>
              <w:t>ầu t</w:t>
            </w:r>
            <w:r w:rsidRPr="00133E9F">
              <w:rPr>
                <w:rFonts w:hint="eastAsia"/>
                <w:sz w:val="22"/>
                <w:szCs w:val="22"/>
              </w:rPr>
              <w:t>ư</w:t>
            </w:r>
            <w:r w:rsidRPr="00133E9F">
              <w:rPr>
                <w:sz w:val="22"/>
                <w:szCs w:val="22"/>
              </w:rPr>
              <w:t xml:space="preserve"> ch</w:t>
            </w:r>
            <w:r w:rsidRPr="00133E9F">
              <w:rPr>
                <w:rFonts w:hint="eastAsia"/>
                <w:sz w:val="22"/>
                <w:szCs w:val="22"/>
              </w:rPr>
              <w:t>ư</w:t>
            </w:r>
            <w:r w:rsidRPr="00133E9F">
              <w:rPr>
                <w:sz w:val="22"/>
                <w:szCs w:val="22"/>
              </w:rPr>
              <w:t>a thông báo số vốn thực hiện Ch</w:t>
            </w:r>
            <w:r w:rsidRPr="00133E9F">
              <w:rPr>
                <w:rFonts w:hint="eastAsia"/>
                <w:sz w:val="22"/>
                <w:szCs w:val="22"/>
              </w:rPr>
              <w:t>ươ</w:t>
            </w:r>
            <w:r w:rsidRPr="00133E9F">
              <w:rPr>
                <w:sz w:val="22"/>
                <w:szCs w:val="22"/>
              </w:rPr>
              <w:t>ng trình MTQG xây dựng NTM n</w:t>
            </w:r>
            <w:r w:rsidRPr="00133E9F">
              <w:rPr>
                <w:rFonts w:hint="eastAsia"/>
                <w:sz w:val="22"/>
                <w:szCs w:val="22"/>
              </w:rPr>
              <w:t>ă</w:t>
            </w:r>
            <w:r w:rsidRPr="00133E9F">
              <w:rPr>
                <w:sz w:val="22"/>
                <w:szCs w:val="22"/>
              </w:rPr>
              <w:t>m 2021 cho tỉnh; các Bộ, ngành liên quan ch</w:t>
            </w:r>
            <w:r w:rsidRPr="00133E9F">
              <w:rPr>
                <w:rFonts w:hint="eastAsia"/>
                <w:sz w:val="22"/>
                <w:szCs w:val="22"/>
              </w:rPr>
              <w:t>ư</w:t>
            </w:r>
            <w:r w:rsidRPr="00133E9F">
              <w:rPr>
                <w:sz w:val="22"/>
                <w:szCs w:val="22"/>
              </w:rPr>
              <w:t>a có h</w:t>
            </w:r>
            <w:r w:rsidRPr="00133E9F">
              <w:rPr>
                <w:rFonts w:hint="eastAsia"/>
                <w:sz w:val="22"/>
                <w:szCs w:val="22"/>
              </w:rPr>
              <w:t>ư</w:t>
            </w:r>
            <w:r w:rsidRPr="00133E9F">
              <w:rPr>
                <w:sz w:val="22"/>
                <w:szCs w:val="22"/>
              </w:rPr>
              <w:t>ớng dẫn về nguyên tắc, tiêu chí, định mức phân bổ nên chưa có cơ sở xây dựng phương án phân bổ chi tiết kế hoạch vốn năm 2021 trình HĐND tỉnh. Ngay sau khi có thông báo vốn của Bộ Kế hoạch và Đầu tư và hướng dẫn của các Bộ, ngành liên quan, UBND tỉnh sẽ giao các đơn vị liên quan kịp thời tham mưu phân bổ nguồn vốn này theo đúng quy định.</w:t>
            </w:r>
          </w:p>
        </w:tc>
      </w:tr>
      <w:tr w:rsidR="00BD0D10" w:rsidRPr="00430456" w:rsidTr="0087350C">
        <w:tc>
          <w:tcPr>
            <w:tcW w:w="562" w:type="dxa"/>
            <w:vAlign w:val="center"/>
          </w:tcPr>
          <w:p w:rsidR="00BD0D10" w:rsidRPr="00430456" w:rsidRDefault="00BD0D10" w:rsidP="00133E9F">
            <w:pPr>
              <w:pStyle w:val="ListParagraph"/>
              <w:numPr>
                <w:ilvl w:val="0"/>
                <w:numId w:val="1"/>
              </w:numPr>
              <w:jc w:val="center"/>
              <w:rPr>
                <w:b/>
                <w:sz w:val="24"/>
                <w:szCs w:val="24"/>
              </w:rPr>
            </w:pPr>
          </w:p>
        </w:tc>
        <w:tc>
          <w:tcPr>
            <w:tcW w:w="4111" w:type="dxa"/>
            <w:vAlign w:val="center"/>
          </w:tcPr>
          <w:p w:rsidR="00BD0D10" w:rsidRPr="00BD0D10" w:rsidRDefault="00BD0D10" w:rsidP="00BD0D10">
            <w:pPr>
              <w:spacing w:before="60" w:after="60"/>
              <w:jc w:val="both"/>
              <w:rPr>
                <w:sz w:val="22"/>
                <w:szCs w:val="22"/>
              </w:rPr>
            </w:pPr>
            <w:r w:rsidRPr="00BD0D10">
              <w:rPr>
                <w:sz w:val="22"/>
                <w:szCs w:val="22"/>
              </w:rPr>
              <w:t>Đề nghị tỉnh chỉ đạo các cơ quan chức năng có hướng dẫn việc lắp đặt, sử dụng Camera an ninh, đồng thời lập bản đồ quy hoạch, bố trí hệ thống camera tại từng địa phương để việc xã hội hóa được đồng bộ, thống nhất</w:t>
            </w:r>
          </w:p>
        </w:tc>
        <w:tc>
          <w:tcPr>
            <w:tcW w:w="10206" w:type="dxa"/>
          </w:tcPr>
          <w:p w:rsidR="00BD0D10" w:rsidRPr="00133E9F" w:rsidRDefault="00BD0D10" w:rsidP="00BD0D10">
            <w:pPr>
              <w:spacing w:before="60" w:after="60"/>
              <w:ind w:firstLine="30"/>
              <w:jc w:val="both"/>
              <w:rPr>
                <w:sz w:val="22"/>
                <w:szCs w:val="22"/>
              </w:rPr>
            </w:pPr>
            <w:r w:rsidRPr="00BD0D10">
              <w:rPr>
                <w:sz w:val="22"/>
                <w:szCs w:val="22"/>
              </w:rPr>
              <w:t>Camera an ninh thuộc công nghệ thông tin, tính năng cải tiến năm sau cao hơn năm trước (độ phân giải, có dây và không dây), giá năm sau thấp hơn năm trước nên Chủ đầu tư dựa vào khả năng huy động nguồn lực, mật độ dân cư, giá tại thời điểm để quyết định đầu tư và chọn công nghệ, hãng sản xuất và đặt máy chủ tại Công an phường và công an xã. Do vậy, nếu cơ quan chức năng ban hành hướng dẫn việc lắp đặt, sử dụng Camera an ninh sẽ không phù hợp với thực tế từng thời điểm, từng địa phương. Các địa phương chủ động lựa chọn các vị trí phù hợp lắp đặt hệ thống camera tại các ngã ba, ngã tư, các điểm thường xuyên mất an ninh trật tự và vứt rác không đúng nơi quy định để phục vụ công tác giám sát, theo dõi, đảm bản an ninh trật tự. Riêng Thành phố Hà Tĩnh, UBND thành phố đã triển khai dự án “Xây dựng hệ thống giám sát trật tự đô thị và ATGT tại thành phố Hà Tĩnh". Hệ thống được xây dựng với 82 điểm lắp đặt camera giám sát trật tự, 13 điểm xử phạt nguội giao thông trên các tuyến đường trục chính của thành phố Hà Tĩnh với tổng mức đầu tư hơn 131 tỷ đồng. Các dữ liệu về tình hình trật tự xã hội, ATGT trên các tuyến đường, được truyền dẫn về trung tâm điều hành đặt tại trụ sở Công an thành phố Hà Tĩnh. Bên cạnh đó, trên địa bàn thành phố Hà Tĩnh đã xây dựng thành công mô hình “camera giám sát an ninh trật tự” tại 15/15 phường, xã với hơn 600 mắt camera tập trung kết nối hình ảnh về đầu thu tại công an phường, xã với kinh phí xã hội hoá hơn 3 tỷ đồng. Vận động lắp mới và chỉnh hướng hơn 900 mắt camera tại các nhà dân, cơ quan, doanh nghiệp, lắp mới 116 mắt camera tại các khu nhà trọ phục vụ giám sát ANTT.</w:t>
            </w:r>
          </w:p>
        </w:tc>
      </w:tr>
      <w:tr w:rsidR="00DA10C0" w:rsidRPr="00430456" w:rsidTr="0087350C">
        <w:tc>
          <w:tcPr>
            <w:tcW w:w="562" w:type="dxa"/>
            <w:vAlign w:val="center"/>
          </w:tcPr>
          <w:p w:rsidR="00DA10C0" w:rsidRPr="00430456" w:rsidRDefault="00DA10C0" w:rsidP="00DA10C0">
            <w:pPr>
              <w:pStyle w:val="ListParagraph"/>
              <w:numPr>
                <w:ilvl w:val="0"/>
                <w:numId w:val="1"/>
              </w:numPr>
              <w:jc w:val="center"/>
              <w:rPr>
                <w:b/>
                <w:sz w:val="24"/>
                <w:szCs w:val="24"/>
              </w:rPr>
            </w:pPr>
          </w:p>
        </w:tc>
        <w:tc>
          <w:tcPr>
            <w:tcW w:w="4111" w:type="dxa"/>
            <w:vAlign w:val="center"/>
          </w:tcPr>
          <w:p w:rsidR="00DA10C0" w:rsidRPr="00DA10C0" w:rsidRDefault="00DA10C0" w:rsidP="00DA10C0">
            <w:pPr>
              <w:spacing w:before="60" w:after="60"/>
              <w:ind w:firstLine="29"/>
              <w:jc w:val="both"/>
              <w:rPr>
                <w:sz w:val="22"/>
                <w:szCs w:val="22"/>
              </w:rPr>
            </w:pPr>
            <w:r w:rsidRPr="00DA10C0">
              <w:rPr>
                <w:sz w:val="22"/>
                <w:szCs w:val="22"/>
              </w:rPr>
              <w:t xml:space="preserve">Đối với việc điều chỉnh quy định tỷ lệ % phân chia nguồn thu tiền sử dụng đất giữa các cấp ngân sách năm 2021, đề nghị tỉnh giữ nguyên tỷ lệ điều tiết theo Quyết định số </w:t>
            </w:r>
            <w:r w:rsidRPr="00DA10C0">
              <w:rPr>
                <w:sz w:val="22"/>
                <w:szCs w:val="22"/>
              </w:rPr>
              <w:lastRenderedPageBreak/>
              <w:t>58/2016/QĐ-UBN</w:t>
            </w:r>
            <w:r>
              <w:rPr>
                <w:sz w:val="22"/>
                <w:szCs w:val="22"/>
              </w:rPr>
              <w:t>D ngày 29/12/2016 của UBND tỉnh.</w:t>
            </w:r>
          </w:p>
        </w:tc>
        <w:tc>
          <w:tcPr>
            <w:tcW w:w="10206" w:type="dxa"/>
          </w:tcPr>
          <w:p w:rsidR="00DA10C0" w:rsidRPr="00DA10C0" w:rsidRDefault="00DA10C0" w:rsidP="00DA10C0">
            <w:pPr>
              <w:spacing w:before="60" w:after="60"/>
              <w:jc w:val="both"/>
              <w:rPr>
                <w:sz w:val="22"/>
                <w:szCs w:val="22"/>
              </w:rPr>
            </w:pPr>
            <w:r w:rsidRPr="00DA10C0">
              <w:rPr>
                <w:sz w:val="22"/>
                <w:szCs w:val="22"/>
              </w:rPr>
              <w:lastRenderedPageBreak/>
              <w:t>Thực hiện Nghị quyết số 122/2020/QH14 ngày 19/6/2020 của Quốc hội về kỳ họp thứ 9, Quốc hội khóa XIV; Thông tư số 71/2020/TT-BTC ngày 30/7/2020 của Bộ Tài chính về hướng dẫn xây dựng dự toán ngân sách nhà nước năm 2021; trong đó quy định, “Kéo dài thời kỳ ổn định ngân sách nhà nước giai đoạn 2017-2020 sang năm 2021”. Theo đó, tỉnh tiếp tục giữ nguyên tỷ lệ % phân chia tiền sử dụng đất theo Quyết định số 58/2016/QĐ-UBND ngày 29/12/2016 của UBND tỉnh đến hết năm 2021.</w:t>
            </w:r>
          </w:p>
        </w:tc>
      </w:tr>
      <w:tr w:rsidR="00DA10C0" w:rsidRPr="00430456" w:rsidTr="0087350C">
        <w:tc>
          <w:tcPr>
            <w:tcW w:w="562" w:type="dxa"/>
            <w:vAlign w:val="center"/>
          </w:tcPr>
          <w:p w:rsidR="00DA10C0" w:rsidRPr="00430456" w:rsidRDefault="00DA10C0" w:rsidP="00DA10C0">
            <w:pPr>
              <w:pStyle w:val="ListParagraph"/>
              <w:numPr>
                <w:ilvl w:val="0"/>
                <w:numId w:val="1"/>
              </w:numPr>
              <w:jc w:val="center"/>
              <w:rPr>
                <w:b/>
                <w:sz w:val="24"/>
                <w:szCs w:val="24"/>
              </w:rPr>
            </w:pPr>
          </w:p>
        </w:tc>
        <w:tc>
          <w:tcPr>
            <w:tcW w:w="4111" w:type="dxa"/>
            <w:vAlign w:val="center"/>
          </w:tcPr>
          <w:p w:rsidR="00DA10C0" w:rsidRPr="00DA10C0" w:rsidRDefault="00DA10C0" w:rsidP="00DA10C0">
            <w:pPr>
              <w:spacing w:before="60" w:after="60"/>
              <w:jc w:val="both"/>
              <w:rPr>
                <w:sz w:val="22"/>
                <w:szCs w:val="22"/>
              </w:rPr>
            </w:pPr>
            <w:r w:rsidRPr="00DA10C0">
              <w:rPr>
                <w:sz w:val="22"/>
                <w:szCs w:val="22"/>
              </w:rPr>
              <w:t>Quyết định số 37/2019/QĐ-UBND ngày 26/6/2019 của UBND tỉnh về việc quản lý khoản đóng góp tự nguyện của Nhân dân còn bất cập, hiệu quả không cao. Một số quy định về mua sắm cơ sở vật chất không được đề cập trong văn bản; tổ chức huy động không khả thi; đối tượng dự họp không chặt chẽ... Đề nghị tỉnh rà soát, bổ sung nội dung quyết định cho phù hợp như thêm mục “mua sắm cơ sở vật chất; đối tượng huy động là trực tiếp phụ huynh; bổ sung chế tài để thực hiện”.</w:t>
            </w:r>
          </w:p>
        </w:tc>
        <w:tc>
          <w:tcPr>
            <w:tcW w:w="10206" w:type="dxa"/>
          </w:tcPr>
          <w:p w:rsidR="00DA10C0" w:rsidRPr="00DA10C0" w:rsidRDefault="00DA10C0" w:rsidP="00DA10C0">
            <w:pPr>
              <w:spacing w:before="60" w:after="60"/>
              <w:jc w:val="both"/>
              <w:rPr>
                <w:sz w:val="22"/>
                <w:szCs w:val="22"/>
              </w:rPr>
            </w:pPr>
            <w:r w:rsidRPr="00DA10C0">
              <w:rPr>
                <w:sz w:val="22"/>
                <w:szCs w:val="22"/>
              </w:rPr>
              <w:t>Quyết định số 37/2019/QĐ-UBND đã được căn cứ, bám sát các quy định của Luật Ngân sách nhà nước; Nghị định số 24/1999/NĐ-CP ngày 16/4/1999 của Chính phủ về quy chế tổ chức huy động, quản lý và sử dụng các khoản đóng góp tự nguyện của nhân dân để xây dựng cơ sở hạ tầng ở xã, phường, thị trấn; Pháp lệnh số 34/2007/PL-UBTVQH11 ngày 20/4/2007 của Ủy ban Thường vụ Quốc hội về thực hiện dân chủ ở xã, phường, thị trấn; Thông tư số 85/1999/TT-BTC ngày 07/7/1999 và Thông tư số 344/2016/TT-BTC ngày 30/12/2016 của Bộ Tài chính quy định, hướng dẫn về việc thực hiện quy chế tổ chức huy động, quản lý và sử dụng các khoản đóng góp tự nguyện của nhân dân để xây dựng cơ sở hạ tầng ở xã, phường, thị trấn, quản lý ngân sách và các hoạt động tài chính khác của xã, phường, thị trấn. Quá trình soạn thảo đã được thảo luận, lấy ý kiến rộng rãi của các sở, ngành, các tổ chức chính trị - xã hội, các địa phương và có sự tham gia phản biện trực tiếp của Ban Dân vận Tỉnh ủy. Hiện tại, việc tổ chức thực hiện tại các địa phương khác rất tốt, đảm bảo dân chủ cơ sở, tạo sự đồng thuận trong Nhân dân, góp phần tăng cường cơ sở hạ tầng ở các xã, phường, thị trấn, đặc biệt trong huy động đóng góp tăng cường cơ sở vật chất trường học và xây dựng nông thôn mới, đô thị văn minh.</w:t>
            </w:r>
            <w:r>
              <w:rPr>
                <w:sz w:val="22"/>
                <w:szCs w:val="22"/>
              </w:rPr>
              <w:t xml:space="preserve"> </w:t>
            </w:r>
            <w:r w:rsidRPr="00DA10C0">
              <w:rPr>
                <w:sz w:val="22"/>
                <w:szCs w:val="22"/>
              </w:rPr>
              <w:t xml:space="preserve">UBND tỉnh đã chỉ đạo UBND thành phố Hà Tĩnh đã triển khai họp đánh giá tổng kết việc huy động đóng góp của Nhân dân theo Quyết định số 37/2019/QĐ-UBND ngày 26/6/2019 của UBND tỉnh; theo đó UBND thành phố đã ban hành Văn bản chỉ đạo số 1456/UBND-TCKH-GDĐT ngày 25/6/2021 về việc tập trung triển khai công tác huy </w:t>
            </w:r>
            <w:r w:rsidRPr="00DA10C0">
              <w:rPr>
                <w:rFonts w:hint="eastAsia"/>
                <w:sz w:val="22"/>
                <w:szCs w:val="22"/>
              </w:rPr>
              <w:t>đ</w:t>
            </w:r>
            <w:r w:rsidRPr="00DA10C0">
              <w:rPr>
                <w:sz w:val="22"/>
                <w:szCs w:val="22"/>
              </w:rPr>
              <w:t>ộng nguồn lực xã hội hóa, t</w:t>
            </w:r>
            <w:r w:rsidRPr="00DA10C0">
              <w:rPr>
                <w:rFonts w:hint="eastAsia"/>
                <w:sz w:val="22"/>
                <w:szCs w:val="22"/>
              </w:rPr>
              <w:t>ă</w:t>
            </w:r>
            <w:r w:rsidRPr="00DA10C0">
              <w:rPr>
                <w:sz w:val="22"/>
                <w:szCs w:val="22"/>
              </w:rPr>
              <w:t>ng c</w:t>
            </w:r>
            <w:r w:rsidRPr="00DA10C0">
              <w:rPr>
                <w:rFonts w:hint="eastAsia"/>
                <w:sz w:val="22"/>
                <w:szCs w:val="22"/>
              </w:rPr>
              <w:t>ư</w:t>
            </w:r>
            <w:r w:rsidRPr="00DA10C0">
              <w:rPr>
                <w:sz w:val="22"/>
                <w:szCs w:val="22"/>
              </w:rPr>
              <w:t>ờng c</w:t>
            </w:r>
            <w:r w:rsidRPr="00DA10C0">
              <w:rPr>
                <w:rFonts w:hint="eastAsia"/>
                <w:sz w:val="22"/>
                <w:szCs w:val="22"/>
              </w:rPr>
              <w:t>ơ</w:t>
            </w:r>
            <w:r w:rsidRPr="00DA10C0">
              <w:rPr>
                <w:sz w:val="22"/>
                <w:szCs w:val="22"/>
              </w:rPr>
              <w:t xml:space="preserve"> sở vật chất tại các c</w:t>
            </w:r>
            <w:r w:rsidRPr="00DA10C0">
              <w:rPr>
                <w:rFonts w:hint="eastAsia"/>
                <w:sz w:val="22"/>
                <w:szCs w:val="22"/>
              </w:rPr>
              <w:t>ơ</w:t>
            </w:r>
            <w:r w:rsidRPr="00DA10C0">
              <w:rPr>
                <w:sz w:val="22"/>
                <w:szCs w:val="22"/>
              </w:rPr>
              <w:t xml:space="preserve"> sở giáo dục trên </w:t>
            </w:r>
            <w:r w:rsidRPr="00DA10C0">
              <w:rPr>
                <w:rFonts w:hint="eastAsia"/>
                <w:sz w:val="22"/>
                <w:szCs w:val="22"/>
              </w:rPr>
              <w:t>đ</w:t>
            </w:r>
            <w:r w:rsidRPr="00DA10C0">
              <w:rPr>
                <w:sz w:val="22"/>
                <w:szCs w:val="22"/>
              </w:rPr>
              <w:t>ịa bàn thành phố để các xã, phường, các cơ sở giáo dục triển khai thực hiện.</w:t>
            </w:r>
          </w:p>
        </w:tc>
      </w:tr>
      <w:tr w:rsidR="00DA10C0" w:rsidRPr="00430456" w:rsidTr="0087350C">
        <w:tc>
          <w:tcPr>
            <w:tcW w:w="562" w:type="dxa"/>
            <w:vAlign w:val="center"/>
          </w:tcPr>
          <w:p w:rsidR="00DA10C0" w:rsidRPr="00430456" w:rsidRDefault="00DA10C0" w:rsidP="00DA10C0">
            <w:pPr>
              <w:pStyle w:val="ListParagraph"/>
              <w:numPr>
                <w:ilvl w:val="0"/>
                <w:numId w:val="1"/>
              </w:numPr>
              <w:jc w:val="center"/>
              <w:rPr>
                <w:b/>
                <w:sz w:val="24"/>
                <w:szCs w:val="24"/>
              </w:rPr>
            </w:pPr>
          </w:p>
        </w:tc>
        <w:tc>
          <w:tcPr>
            <w:tcW w:w="4111" w:type="dxa"/>
            <w:vAlign w:val="center"/>
          </w:tcPr>
          <w:p w:rsidR="00DA10C0" w:rsidRPr="00DA10C0" w:rsidRDefault="00DA10C0" w:rsidP="00DA10C0">
            <w:pPr>
              <w:spacing w:before="60" w:after="60"/>
              <w:jc w:val="both"/>
              <w:rPr>
                <w:sz w:val="22"/>
                <w:szCs w:val="22"/>
              </w:rPr>
            </w:pPr>
            <w:r w:rsidRPr="00DA10C0">
              <w:rPr>
                <w:sz w:val="22"/>
                <w:szCs w:val="22"/>
              </w:rPr>
              <w:t>Xem xét điều chỉnh quy hoạch các nhà văn hóa tổ dân phố để đảm bảo diện tích xây dựng tổ dân phố mẫu, nhà văn hóa mẫu</w:t>
            </w:r>
            <w:r w:rsidR="00137A38">
              <w:rPr>
                <w:sz w:val="22"/>
                <w:szCs w:val="22"/>
              </w:rPr>
              <w:t xml:space="preserve"> trên địa bàn thành phố Hà Tĩnh</w:t>
            </w:r>
          </w:p>
        </w:tc>
        <w:tc>
          <w:tcPr>
            <w:tcW w:w="10206" w:type="dxa"/>
          </w:tcPr>
          <w:p w:rsidR="00DA10C0" w:rsidRPr="00DA10C0" w:rsidRDefault="00DA10C0" w:rsidP="00DA10C0">
            <w:pPr>
              <w:spacing w:before="60" w:after="60"/>
              <w:jc w:val="both"/>
              <w:rPr>
                <w:sz w:val="22"/>
                <w:szCs w:val="22"/>
              </w:rPr>
            </w:pPr>
            <w:r w:rsidRPr="00DA10C0">
              <w:rPr>
                <w:sz w:val="22"/>
                <w:szCs w:val="22"/>
              </w:rPr>
              <w:t>Đến nay sau gần 3 năm xây dựng “Tổ dân phố mẫu”, “Nhà văn hóa mẫu”, Thành phố đã công nhận 16 tổ dân phố đạt “Tổ dân phố mẫu”, 28 nhà văn hóa đạt “Nhà văn hóa mẫu”. Những năm qua, trong quá trình nâng cấp cải tạo hoặc làm mới, lập quy hoạch mặt bằng sử dụng đất UBND thành phố đã quan tâm và thực hiện đảm bảo diện tích xây dựng tổ dân phố mẫu, nhà văn hóa mẫu. Theo đó đã điều chỉnh quy hoạch, chuyển vị trí, mở rộng khuôn viên 8 nhà văn hóa để đảm bảo diện tích xây dựng tổ dân phố mẫu, nhà văn hóa mẫu. Tiếp thu ý kiến, kiến nghị của cử tri, UBND tỉnh chỉ đạo UBND thành phố tiếp tục rà soát điều chỉnh quy hoạch hoặc quy hoạch vị trí mới các Tổ dân phố còn quỹ đất.</w:t>
            </w:r>
          </w:p>
        </w:tc>
      </w:tr>
      <w:tr w:rsidR="00EC248E" w:rsidRPr="00430456" w:rsidTr="0087350C">
        <w:tc>
          <w:tcPr>
            <w:tcW w:w="562" w:type="dxa"/>
            <w:vAlign w:val="center"/>
          </w:tcPr>
          <w:p w:rsidR="00EC248E" w:rsidRPr="00430456" w:rsidRDefault="00EC248E" w:rsidP="00DA10C0">
            <w:pPr>
              <w:pStyle w:val="ListParagraph"/>
              <w:numPr>
                <w:ilvl w:val="0"/>
                <w:numId w:val="1"/>
              </w:numPr>
              <w:jc w:val="center"/>
              <w:rPr>
                <w:b/>
                <w:sz w:val="24"/>
                <w:szCs w:val="24"/>
              </w:rPr>
            </w:pPr>
          </w:p>
        </w:tc>
        <w:tc>
          <w:tcPr>
            <w:tcW w:w="4111" w:type="dxa"/>
            <w:vAlign w:val="center"/>
          </w:tcPr>
          <w:p w:rsidR="00EC248E" w:rsidRPr="002A300C" w:rsidRDefault="00EC248E" w:rsidP="002A300C">
            <w:pPr>
              <w:spacing w:before="60" w:after="60"/>
              <w:jc w:val="both"/>
              <w:rPr>
                <w:sz w:val="22"/>
                <w:szCs w:val="22"/>
              </w:rPr>
            </w:pPr>
            <w:r w:rsidRPr="002A300C">
              <w:rPr>
                <w:sz w:val="22"/>
                <w:szCs w:val="22"/>
              </w:rPr>
              <w:t xml:space="preserve">Có chính sách xây dựng mô hình nuôi cá lồng bè trên lòng hồ Ngàn Trươi và hỗ trợ kinh phí triển khai thực hiện mô hình liên kết trồng cây dược liệu trên địa bàn huyện Vũ Quang </w:t>
            </w:r>
          </w:p>
        </w:tc>
        <w:tc>
          <w:tcPr>
            <w:tcW w:w="10206" w:type="dxa"/>
          </w:tcPr>
          <w:p w:rsidR="00EC248E" w:rsidRPr="008201DB" w:rsidRDefault="002A300C" w:rsidP="00DA10C0">
            <w:pPr>
              <w:spacing w:before="60" w:after="60"/>
              <w:jc w:val="both"/>
              <w:rPr>
                <w:sz w:val="22"/>
                <w:szCs w:val="22"/>
              </w:rPr>
            </w:pPr>
            <w:r>
              <w:rPr>
                <w:sz w:val="22"/>
                <w:szCs w:val="22"/>
              </w:rPr>
              <w:t xml:space="preserve">- </w:t>
            </w:r>
            <w:r w:rsidR="00EC248E" w:rsidRPr="008201DB">
              <w:rPr>
                <w:sz w:val="22"/>
                <w:szCs w:val="22"/>
              </w:rPr>
              <w:t>Việc nuôi thí điểm cá lồng tại hồ Ngàn Trươi đã được Bộ Nông nghiệp và PTNT có ý kiến tại Văn bản số 4064/BNN-TCTL ngày 16/6/2020, theo đó yêu cầu hoạt động nuôi cá lồng bè không làm ảnh hưởng đến công tác vận hành, an toàn công trình và chất lượng nước hồ Ngàn Trươi. Hiện nay UBND huyện Vũ Quang đã xây dựng 01 mô hình nuôi thí điểm quy mô 10 lồng với đối tượng nuôi chính là cá Lăng, cá Leo, cá Trắm giòn, cá Chép giòn,… và báo cáo kết quả thực hiện mô hình thí điểm nuôi cá lồng trên hồ Ngàn Trươi (Văn bản số 151/BC-UBND ngày 12/5/2021); UBND tỉnh đã có Văn bản số 4620/UBND-NL ngày 21/7/2021 báo cáo, đề xuất Bộ Nông nghiệp và PTNT, Ban Quản lý đầu tư và xây dựng Thủy lợi 4 cho mở rộng nuôi cá lồng ở hồ Ngàn trươi nhằm phát huy, khai thác tiềm năng, lợi thế lòng hồ Ngàn Trươi phục vụ nuôi trồng thuỷ sản, phát triển kinh tế, xã hội tại địa phương.</w:t>
            </w:r>
          </w:p>
          <w:p w:rsidR="00EC248E" w:rsidRPr="008201DB" w:rsidRDefault="008201DB" w:rsidP="00DA10C0">
            <w:pPr>
              <w:spacing w:before="60" w:after="60"/>
              <w:jc w:val="both"/>
              <w:rPr>
                <w:sz w:val="22"/>
                <w:szCs w:val="22"/>
              </w:rPr>
            </w:pPr>
            <w:r w:rsidRPr="008201DB">
              <w:rPr>
                <w:sz w:val="22"/>
                <w:szCs w:val="22"/>
              </w:rPr>
              <w:t xml:space="preserve">- Chính sách hỗ trợ kinh phí triển khai thực hiện mô hình liên kết trồng cây dược liệu đã được quy định tại Nghị quyết số 123/2018/NQ-HĐND ngày 13/12/2018 của HĐND tỉnh về một số chính sách khuyến khích phát triển nông nghiệp, nông thôn và cơ chế xây dựng NTM, đô thị tỉnh Hà Tĩnh giai đoạn 2019-2020; trong đó tại Khoản 3 Điều 7 </w:t>
            </w:r>
            <w:r>
              <w:rPr>
                <w:sz w:val="22"/>
                <w:szCs w:val="22"/>
              </w:rPr>
              <w:t>Nghị quyết 123/2018/NQ-HĐND đa quy định phát triển cây dược liệu, lâm sản ngoài gỗ trên đất lâm nghiệp</w:t>
            </w:r>
            <w:r w:rsidRPr="008201DB">
              <w:rPr>
                <w:sz w:val="22"/>
                <w:szCs w:val="22"/>
              </w:rPr>
              <w:t>, cụ thể: Hỗ trợ 100% kinh phí mua cây giống (Mộc hoa trắng, Hoằng đẳng, Hương bài, Mây nếp, Khôi tía và danh mục cây dược liệu hiện hành của Bộ Y tế ban hành).</w:t>
            </w:r>
            <w:r>
              <w:rPr>
                <w:sz w:val="22"/>
                <w:szCs w:val="22"/>
              </w:rPr>
              <w:t xml:space="preserve"> Đồng thời, không thấy huyện Vũ Quang</w:t>
            </w:r>
            <w:r w:rsidRPr="008201DB">
              <w:rPr>
                <w:sz w:val="22"/>
                <w:szCs w:val="22"/>
              </w:rPr>
              <w:t xml:space="preserve"> đăng ký </w:t>
            </w:r>
            <w:r>
              <w:rPr>
                <w:sz w:val="22"/>
                <w:szCs w:val="22"/>
              </w:rPr>
              <w:t>nội dung này trong thực hiện</w:t>
            </w:r>
            <w:r w:rsidRPr="008201DB">
              <w:rPr>
                <w:sz w:val="22"/>
                <w:szCs w:val="22"/>
              </w:rPr>
              <w:t xml:space="preserve"> rà soát đăng ký kế hoạch thực hiện chính sách năm 2021. Để đề xuất xây dựng chính </w:t>
            </w:r>
            <w:r w:rsidRPr="008201DB">
              <w:rPr>
                <w:sz w:val="22"/>
                <w:szCs w:val="22"/>
              </w:rPr>
              <w:lastRenderedPageBreak/>
              <w:t>sách nông nghiệp nông, thôn giai đoạn 2022 - 2025, Sở Nông nghiệp và Phát triển nông thôn đã ban hành Văn bản số 1045/SNN-PTNT ngày 20/5/2021 đề nghị UBND các huyện, thành phố, thị xã báo cáo tình hình thực hiện chính sách và đề xuất xây dựng chính sách giai đoạn 2022 -2025; qua rà soát tổng hợp chỉ có 02 huyện (Vũ Quang và Hương Khê)</w:t>
            </w:r>
          </w:p>
        </w:tc>
      </w:tr>
      <w:tr w:rsidR="002A300C" w:rsidRPr="00430456" w:rsidTr="0087350C">
        <w:tc>
          <w:tcPr>
            <w:tcW w:w="562" w:type="dxa"/>
            <w:vAlign w:val="center"/>
          </w:tcPr>
          <w:p w:rsidR="002A300C" w:rsidRPr="00430456" w:rsidRDefault="002A300C" w:rsidP="00DA10C0">
            <w:pPr>
              <w:pStyle w:val="ListParagraph"/>
              <w:numPr>
                <w:ilvl w:val="0"/>
                <w:numId w:val="1"/>
              </w:numPr>
              <w:jc w:val="center"/>
              <w:rPr>
                <w:b/>
                <w:sz w:val="24"/>
                <w:szCs w:val="24"/>
              </w:rPr>
            </w:pPr>
          </w:p>
        </w:tc>
        <w:tc>
          <w:tcPr>
            <w:tcW w:w="4111" w:type="dxa"/>
            <w:vAlign w:val="center"/>
          </w:tcPr>
          <w:p w:rsidR="002A300C" w:rsidRPr="002A300C" w:rsidRDefault="002A300C" w:rsidP="002A300C">
            <w:pPr>
              <w:spacing w:before="60" w:after="60"/>
              <w:jc w:val="both"/>
              <w:rPr>
                <w:sz w:val="22"/>
                <w:szCs w:val="22"/>
              </w:rPr>
            </w:pPr>
            <w:r w:rsidRPr="002A300C">
              <w:rPr>
                <w:sz w:val="22"/>
                <w:szCs w:val="22"/>
              </w:rPr>
              <w:t>Hiện nay, diện tích đất rừng thuộc dự án 661 tại xã Kỳ Xuân, huyện Kỳ Anh đang chủ yếu trồng keo tràm, chu kỳ khai thác nhanh, đây là một trong những nguyên nhân dẫn đến sạt lở đất. Đề nghị tỉnh kiểm tra và có giải pháp hỗ trợ chuyển phần diện tích này sang trồng các loại cây lấy gỗ có chu kỳ sinh trưởng dài hơn</w:t>
            </w:r>
          </w:p>
        </w:tc>
        <w:tc>
          <w:tcPr>
            <w:tcW w:w="10206" w:type="dxa"/>
          </w:tcPr>
          <w:p w:rsidR="002A300C" w:rsidRPr="002A300C" w:rsidRDefault="002A300C" w:rsidP="002A300C">
            <w:pPr>
              <w:spacing w:before="60" w:after="60"/>
              <w:jc w:val="both"/>
              <w:rPr>
                <w:sz w:val="22"/>
                <w:szCs w:val="22"/>
              </w:rPr>
            </w:pPr>
            <w:r w:rsidRPr="002A300C">
              <w:rPr>
                <w:sz w:val="22"/>
                <w:szCs w:val="22"/>
              </w:rPr>
              <w:t>Diện tích rừng và đất lâm nghiệp trên địa bàn xã Kỳ Xuân do Ban QLRPH Nam Hà Tĩnh đang quản lý, sử dụng là 734,1 ha (theo quy hoạch, đối tượng rừng phòng hộ). Trong đó: Rừng tự nhiên: 26,4ha; rừng trồng: 578,3ha; Đất trống: 129,4ha. Diện tích rừng trồng đầu tư bằng nguồn vốn ngân sách Nhà nước theo chương trình 661 và Chương trình mục tiêu phát triển lâm nghiệp bền vững: 445,6ha, trong đó: Thuần loài Keo: 233,3ha;  Hỗn giao Keo + cây bản địa Lim xanh: 3,4ha; Thuần loài Lim xanh: 208,9ha. Sau khi có chỉ tiêu kế hoạch của UBND tỉnh giao, UBND huyện đã chỉ đạo đơn vị tiến hành khảo sát, thiết kế; căn cứ vào điều kiện lập địa, thổ nhưỡng, khí hậu để đề xuất cơ cấu cây trồng phù hợp với chức năng phòng hộ và đặc tính sinh thái của loài cây trồng. Hồ sơ thiết kế đã được Sở Nông nghiệp và PTNT thẩm định, trình UBND tỉnh phê duyệt vùng trồng và các loài cây trồng.</w:t>
            </w:r>
            <w:r>
              <w:rPr>
                <w:sz w:val="22"/>
                <w:szCs w:val="22"/>
              </w:rPr>
              <w:t xml:space="preserve"> </w:t>
            </w:r>
            <w:r w:rsidRPr="002A300C">
              <w:rPr>
                <w:sz w:val="22"/>
                <w:szCs w:val="22"/>
              </w:rPr>
              <w:t>Diện tích rừng Keo trồng thuần loài được bố trí trồng chủ yếu trên diện tích có điều lập địa hết sức cực đoan, đá nổi chiếm diện tích lớn, độ che phủ của thảm thực bì thấp, đất đai đã bị thoái hóa nên cần được cải tạo bằng những loài cây mọc nhanh có tác dụng cải tạo đất tốt. Do vậy, dự án 661 đưa cây Keo là loài cây mọc nhanh, có tác dụng cải tạo đất vào trồng, sau một chu kỳ sẽ trồng thay thế bằng loài cây bản địa có tác dụng phòng hộ lâu dài như: Lim, Re hương…. Diện tích có tầng đất dày, ít đá lộ đầu, độ ẩm cao, qua kiểm tra khảo sát lập địa phù hợp với một số cây bản địa thì đơn vị bố trí trồng thuần loài Lim xanh và hỗn giao Keo + Lim xanh.</w:t>
            </w:r>
            <w:r>
              <w:rPr>
                <w:sz w:val="22"/>
                <w:szCs w:val="22"/>
              </w:rPr>
              <w:t xml:space="preserve"> </w:t>
            </w:r>
            <w:r w:rsidRPr="002A300C">
              <w:rPr>
                <w:sz w:val="22"/>
                <w:szCs w:val="22"/>
              </w:rPr>
              <w:t>Diện tích 132,7ha rừng do hộ dân tự bỏ vốn trồng các loài cây Keo, Bạch đàn, Phi lao trên đất của đơn vị quản lý, sử dụng. UBND huyện đã chỉ đạo Ban QLRPH Nam Hà Tĩnh tiến hành rà soát những diện tích này để tổng hợp và làm hồ sơ, hợp đồng giao khoán cho các hộ theo đúng quy định.</w:t>
            </w:r>
          </w:p>
        </w:tc>
      </w:tr>
      <w:tr w:rsidR="002A300C" w:rsidRPr="00430456" w:rsidTr="00137A38">
        <w:trPr>
          <w:trHeight w:val="545"/>
        </w:trPr>
        <w:tc>
          <w:tcPr>
            <w:tcW w:w="562" w:type="dxa"/>
          </w:tcPr>
          <w:p w:rsidR="002A300C" w:rsidRPr="002A300C" w:rsidRDefault="002A300C" w:rsidP="002A300C">
            <w:pPr>
              <w:tabs>
                <w:tab w:val="center" w:pos="244"/>
              </w:tabs>
              <w:ind w:left="142"/>
              <w:rPr>
                <w:b/>
                <w:sz w:val="24"/>
                <w:szCs w:val="24"/>
              </w:rPr>
            </w:pPr>
            <w:r>
              <w:rPr>
                <w:b/>
                <w:sz w:val="24"/>
                <w:szCs w:val="24"/>
              </w:rPr>
              <w:tab/>
              <w:t>II</w:t>
            </w:r>
          </w:p>
        </w:tc>
        <w:tc>
          <w:tcPr>
            <w:tcW w:w="14317" w:type="dxa"/>
            <w:gridSpan w:val="2"/>
            <w:vAlign w:val="center"/>
          </w:tcPr>
          <w:p w:rsidR="002A300C" w:rsidRPr="002A300C" w:rsidRDefault="002A300C" w:rsidP="002A300C">
            <w:pPr>
              <w:jc w:val="center"/>
              <w:rPr>
                <w:b/>
                <w:sz w:val="22"/>
                <w:szCs w:val="22"/>
              </w:rPr>
            </w:pPr>
            <w:r w:rsidRPr="002A300C">
              <w:rPr>
                <w:b/>
                <w:sz w:val="22"/>
                <w:szCs w:val="22"/>
              </w:rPr>
              <w:t>LĨNH VỰC ĐẦU TƯ, GIAO THÔNG, XÂY DỰNG VÀ CÁC CHƯƠNG TRÌNH DỰ ÁN</w:t>
            </w:r>
          </w:p>
        </w:tc>
      </w:tr>
      <w:tr w:rsidR="002A300C" w:rsidRPr="00430456" w:rsidTr="0087350C">
        <w:tc>
          <w:tcPr>
            <w:tcW w:w="562" w:type="dxa"/>
            <w:vAlign w:val="center"/>
          </w:tcPr>
          <w:p w:rsidR="002A300C" w:rsidRPr="00430456" w:rsidRDefault="002A300C" w:rsidP="00137A38">
            <w:pPr>
              <w:pStyle w:val="ListParagraph"/>
              <w:numPr>
                <w:ilvl w:val="0"/>
                <w:numId w:val="1"/>
              </w:numPr>
              <w:jc w:val="center"/>
              <w:rPr>
                <w:b/>
                <w:sz w:val="24"/>
                <w:szCs w:val="24"/>
              </w:rPr>
            </w:pPr>
          </w:p>
        </w:tc>
        <w:tc>
          <w:tcPr>
            <w:tcW w:w="4111" w:type="dxa"/>
            <w:vAlign w:val="center"/>
          </w:tcPr>
          <w:p w:rsidR="002A300C" w:rsidRDefault="002A300C" w:rsidP="002A300C">
            <w:pPr>
              <w:jc w:val="both"/>
              <w:rPr>
                <w:sz w:val="22"/>
                <w:szCs w:val="22"/>
              </w:rPr>
            </w:pPr>
            <w:r w:rsidRPr="002A300C">
              <w:rPr>
                <w:sz w:val="22"/>
                <w:szCs w:val="22"/>
              </w:rPr>
              <w:t>Đề nghị tỉnh xem xét sửa đổi quy định “Đối với các dự án do UBND các xã, thị trấn làm chủ đầu tư, chủ đầu tư được sử dụng tư cách pháp nhân của mình và bộ máy chuyên môn trực thuộc có đủ điều kiện năng lực để trực tiếp quản lý đối với những dự án cải tạo, sửa chữa, nâng cấp công trình xây dựng quy mô nhỏ có tổng mức đầu tư dưới 05 tỷ đồng và các dự án có sự tham gia của cộn</w:t>
            </w:r>
          </w:p>
          <w:p w:rsidR="002A300C" w:rsidRPr="002A300C" w:rsidRDefault="002A300C" w:rsidP="002A300C">
            <w:pPr>
              <w:jc w:val="both"/>
              <w:rPr>
                <w:b/>
                <w:sz w:val="22"/>
                <w:szCs w:val="22"/>
              </w:rPr>
            </w:pPr>
            <w:r w:rsidRPr="002A300C">
              <w:rPr>
                <w:sz w:val="22"/>
                <w:szCs w:val="22"/>
              </w:rPr>
              <w:t>g đồng” để tạo điều kiện thuận lợi trong việc quản lý dự án ở địa phương</w:t>
            </w:r>
          </w:p>
        </w:tc>
        <w:tc>
          <w:tcPr>
            <w:tcW w:w="10206" w:type="dxa"/>
          </w:tcPr>
          <w:p w:rsidR="002A300C" w:rsidRPr="002A300C" w:rsidRDefault="002A300C" w:rsidP="002A300C">
            <w:pPr>
              <w:spacing w:before="60" w:after="60"/>
              <w:ind w:firstLine="92"/>
              <w:jc w:val="both"/>
              <w:rPr>
                <w:sz w:val="22"/>
                <w:szCs w:val="22"/>
              </w:rPr>
            </w:pPr>
            <w:r w:rsidRPr="002A300C">
              <w:rPr>
                <w:sz w:val="22"/>
                <w:szCs w:val="22"/>
              </w:rPr>
              <w:t>Việc quản lý dự án tại địa phương đã được quy định tại Mục b, Khoản 1, Điều 20, Nghị định số 15/2021/NĐ-CP ngày 03/3/2021 của Chính phủ với nội dung “Trong trường hợp không áp dụng hình thức quản lý dự án theo điểm a khoản này, người quyết định đầu tư quyết định áp dụng hình thức Ban Quản lý dự án đầu tư xây dựng một dự án hoặc Chủ đầu tư tổ chức thực hiện quản lý dự án hoặc thuê tư vấn quản lý dự án”.Như vậy, quy định về việc tổ chức quản lý dự án được điều chỉnh theo quy định tại Nghị định số 15/2021/NĐ-CP ngày 03/3/2021 của Chính phủ, tạo thuận lợi trong việc quản lý dự án ở địa phương.</w:t>
            </w:r>
          </w:p>
        </w:tc>
      </w:tr>
      <w:tr w:rsidR="00DA4476" w:rsidRPr="00430456" w:rsidTr="0087350C">
        <w:tc>
          <w:tcPr>
            <w:tcW w:w="562" w:type="dxa"/>
            <w:vAlign w:val="center"/>
          </w:tcPr>
          <w:p w:rsidR="00DA4476" w:rsidRPr="00430456" w:rsidRDefault="00DA4476" w:rsidP="00DA4476">
            <w:pPr>
              <w:pStyle w:val="ListParagraph"/>
              <w:numPr>
                <w:ilvl w:val="0"/>
                <w:numId w:val="1"/>
              </w:numPr>
              <w:jc w:val="center"/>
              <w:rPr>
                <w:b/>
                <w:sz w:val="24"/>
                <w:szCs w:val="24"/>
              </w:rPr>
            </w:pPr>
          </w:p>
        </w:tc>
        <w:tc>
          <w:tcPr>
            <w:tcW w:w="4111" w:type="dxa"/>
            <w:vAlign w:val="center"/>
          </w:tcPr>
          <w:p w:rsidR="00DA4476" w:rsidRPr="001F0165" w:rsidRDefault="00DA4476" w:rsidP="00DA4476">
            <w:pPr>
              <w:jc w:val="both"/>
              <w:rPr>
                <w:sz w:val="22"/>
                <w:szCs w:val="22"/>
              </w:rPr>
            </w:pPr>
            <w:r w:rsidRPr="001F0165">
              <w:rPr>
                <w:sz w:val="22"/>
                <w:szCs w:val="22"/>
              </w:rPr>
              <w:t>Đề nghị tỉnh quan tâm hỗ trợ nguồn kinh phí khuyến công và nguồn vốn hỗ trợ hạ tầng cụm công nghiệp giai đoạn 2016-2020 để hoàn thiện hạ tầng Cụm Công nghiệp huyện Vũ Quang</w:t>
            </w:r>
          </w:p>
        </w:tc>
        <w:tc>
          <w:tcPr>
            <w:tcW w:w="10206" w:type="dxa"/>
            <w:vAlign w:val="center"/>
          </w:tcPr>
          <w:p w:rsidR="00DA4476" w:rsidRPr="001F0165" w:rsidRDefault="00DA4476" w:rsidP="00DA4476">
            <w:pPr>
              <w:widowControl w:val="0"/>
              <w:spacing w:before="60" w:after="60"/>
              <w:ind w:firstLine="92"/>
              <w:jc w:val="both"/>
              <w:rPr>
                <w:sz w:val="22"/>
                <w:szCs w:val="22"/>
              </w:rPr>
            </w:pPr>
            <w:r w:rsidRPr="001F0165">
              <w:rPr>
                <w:sz w:val="22"/>
                <w:szCs w:val="22"/>
              </w:rPr>
              <w:t>- Về kinh phí khuyến công: Giai đoạn 2016-2020, UBND huyện Vũ Quang chỉ đăng ký hỗ trợ 01 cuộc tập huấn từ nguồn kinh phí khuyến công. Sở Công Thương đã bố trí kinh phí và tổ chức tập huấn cho 240 người trong đó 217 người đến từ các cơ sở SXKD trên địa bàn huyện. Do vậy, đề nghị UBND huyện Vũ Quang rà soát, nếu có đối tượng phù hợp, đảm bảo điều kiện hỗ trợ khuyến công, đề xuất gửi Sở Công Thương để được hướng dẫn hồ sơ thủ tục đề nghị hỗ trợ theo chính sách trong giai đoạn tiếp theo.</w:t>
            </w:r>
          </w:p>
          <w:p w:rsidR="00DA4476" w:rsidRPr="001F0165" w:rsidRDefault="00DA4476" w:rsidP="00DA4476">
            <w:pPr>
              <w:widowControl w:val="0"/>
              <w:spacing w:before="60" w:after="60"/>
              <w:jc w:val="both"/>
              <w:rPr>
                <w:sz w:val="22"/>
                <w:szCs w:val="22"/>
              </w:rPr>
            </w:pPr>
            <w:r w:rsidRPr="001F0165">
              <w:rPr>
                <w:sz w:val="22"/>
                <w:szCs w:val="22"/>
              </w:rPr>
              <w:t xml:space="preserve">- Về cụm công nghiệp Vũ Quang: Về đầu tư, thu hút đầu tư vào cụm công nghiệp Vũ Quang: Cụm công nghiệp Vũ Quang được thành lập tại Quyết định số 3166/QĐ-UBND ngày 12/8/2015; phê duyệt quy hoạch chi tiết tại </w:t>
            </w:r>
            <w:r w:rsidRPr="001F0165">
              <w:rPr>
                <w:sz w:val="22"/>
                <w:szCs w:val="22"/>
              </w:rPr>
              <w:lastRenderedPageBreak/>
              <w:t>quyết định số 4204/QĐ-UBND ngày 25/12/2009 với diện tích 42,17ha, trong đó đất công nghiệp có thể cho thuê là 23,19ha. Đến nay, đã thu hút 01 dự án thứ cấp là Công ty Cổ phần gỗ MDF Thanh Thành Đạt với tổng diện tích 18,4ha. Tổng mức đầu tư của dự án là 1.634 tỷ đồng; dự án đã hoàn thành đi vào hoạt động từ tháng 8/2019. Giá trị sản xuất năm 2020 đạt 400 tỷ đồng, sử dụng 250 lao động với mức thu nhập bình quân 6 triệu đồng /người/tháng. Về Dự án đầu tư hạ tầng và Hạ tầng kết nối, phụ trợ cụm công nghiệp: Dự án đầu tư hạ tầng kỹ thuật Cụm công nghiệp huyện Vũ Quang được UBND tỉnh phê duyệt tại Quyết định số 1734/QĐ-UBND ngày 01/6/2011; điều chỉnh dự án tại Quyết định số 846/QĐ-UBND ngày 28/3/2014 với tổng mức đầu tư được duyệt là 97,9 tỷ đồng. Bắt đầu đầu tư hạ tầng kỹ thuật từ năm 2015, đến nay đã đầu tư hạ tầng trên diện tích 8,1ha. Tổng mức đầu tư đã thực hiện là 37,5tỷ đồng để giải phóng mặt bằng, san lấp mặt bằng ….cụm công nghiệp. Nguồn vốn đầu tư từ ngân sách các cấp (Trung ương và tỉnh).  Do đặc thù Cụm công nghiệp Vũ Quang nằm cạnh Hói Trươi, bị ảnh hưởng nặng nề khi mùa mưa lũ tràn về, rất dễ gây ngập úng, xói lở, ảnh hưởng đến hoạt động của cơ sở trong cụm công nghiệp, ngày 27/6/2018 UBND tỉnh đã phê duyệt chủ trương đầu tư dự án nắn dòng Hói Trươi với tổng mức 42 tỷ đồng, hiện đã đầu tư 1,1km với giá trị đầu tư là 37,8 tỷ đồng.  Nguồn vốn đầu tư là ngân sách các cấp, trong đó năm 2019, Sở Công Thương đã chủ trì tham mưu UBND tỉnh bố trí 9,5 tỷ đồng để thanh toán đầu tư theo Nghị quyết số 86/2018/NQ-HĐND ngày 18/7/2018 về một số chính sách phát triển CN-TTCN đến năm 2025 và những năm tiếp theo.</w:t>
            </w:r>
          </w:p>
          <w:p w:rsidR="00DA4476" w:rsidRPr="001F0165" w:rsidRDefault="00DA4476" w:rsidP="00DA4476">
            <w:pPr>
              <w:widowControl w:val="0"/>
              <w:spacing w:before="60" w:after="60"/>
              <w:jc w:val="both"/>
              <w:rPr>
                <w:sz w:val="22"/>
                <w:szCs w:val="22"/>
              </w:rPr>
            </w:pPr>
            <w:r w:rsidRPr="001F0165">
              <w:rPr>
                <w:sz w:val="22"/>
                <w:szCs w:val="22"/>
              </w:rPr>
              <w:t>- Phương hướng trong thời gian tới: Với việc cho Công ty Cổ phần gỗ MDF Thanh Thành Đạt thuê diện tích18,4ha đất để thực hiện dự án Nhà máy sản xuất MDF/HDF Thanh Thành Đạt, lớn hơn diện tích lập dự án đầu tư giai đoạn 1 (8,1ha), đã vượt ra ngoài dự kiến tại thời điểm đầu tư xây dựng hạ tầng cụm công nghiệp; đồng thời đã làm ảnh hưởng rất lớn đến Quy hoạch chi tiết đã được phê duyệt. Để tiếp tục thu hút đầu tư và hoàn thiện hạ tầng kỹ thuật Cụm công nghiệp, trong thời gian tới, đề nghị UBND huyện Vũ Quang: Sớm đề xuất điều chỉnh Quy hoạch chi tiết Cụm công nghiệp Vũ Quang cho phù hợp với thực tế, để tiếp tục thu hút các dự án đầu tư thứ cấp. Khẩn trương đề xuất quyết toán giai đoạn 1; tiếp tục đề xuất đầu tư hạ tầng giai đoạn 2, tạo quỹ đất thu hút đầu tư các dự án thứ cấp trên địa bàn.</w:t>
            </w:r>
          </w:p>
        </w:tc>
      </w:tr>
      <w:tr w:rsidR="00DA4476" w:rsidRPr="00430456" w:rsidTr="0087350C">
        <w:tc>
          <w:tcPr>
            <w:tcW w:w="562" w:type="dxa"/>
            <w:vAlign w:val="center"/>
          </w:tcPr>
          <w:p w:rsidR="00DA4476" w:rsidRPr="00430456" w:rsidRDefault="00DA4476" w:rsidP="00DA4476">
            <w:pPr>
              <w:pStyle w:val="ListParagraph"/>
              <w:numPr>
                <w:ilvl w:val="0"/>
                <w:numId w:val="1"/>
              </w:numPr>
              <w:jc w:val="center"/>
              <w:rPr>
                <w:b/>
                <w:sz w:val="24"/>
                <w:szCs w:val="24"/>
              </w:rPr>
            </w:pPr>
          </w:p>
        </w:tc>
        <w:tc>
          <w:tcPr>
            <w:tcW w:w="4111" w:type="dxa"/>
            <w:vAlign w:val="center"/>
          </w:tcPr>
          <w:p w:rsidR="00DA4476" w:rsidRPr="001F0165" w:rsidRDefault="00DA4476" w:rsidP="00DA4476">
            <w:pPr>
              <w:jc w:val="both"/>
              <w:rPr>
                <w:sz w:val="22"/>
                <w:szCs w:val="22"/>
              </w:rPr>
            </w:pPr>
            <w:r w:rsidRPr="001F0165">
              <w:rPr>
                <w:sz w:val="22"/>
                <w:szCs w:val="22"/>
                <w:lang w:val="pt-BR"/>
              </w:rPr>
              <w:t>Cử tri đề nghị tỉnh cho biết về tình hình, kết quả triển khai thực hiện dự án Đường trục ngang khu đô thị trung tâm - Khu du lịch Kỳ Ninh, thị xã Kỳ Anh</w:t>
            </w:r>
          </w:p>
        </w:tc>
        <w:tc>
          <w:tcPr>
            <w:tcW w:w="10206" w:type="dxa"/>
            <w:vAlign w:val="center"/>
          </w:tcPr>
          <w:p w:rsidR="00DA4476" w:rsidRPr="001F0165" w:rsidRDefault="00DA4476" w:rsidP="00DA4476">
            <w:pPr>
              <w:ind w:firstLine="170"/>
              <w:jc w:val="both"/>
              <w:rPr>
                <w:sz w:val="22"/>
                <w:szCs w:val="22"/>
                <w:lang w:val="pt-BR"/>
              </w:rPr>
            </w:pPr>
            <w:r w:rsidRPr="001F0165">
              <w:rPr>
                <w:sz w:val="22"/>
                <w:szCs w:val="22"/>
                <w:lang w:val="pt-BR"/>
              </w:rPr>
              <w:t>Dự án Đường trục ngang Khu đô thị Trung tâm - Khu đô thị du lịch Kỳ Ninh gồm 2 giai đoạn:</w:t>
            </w:r>
          </w:p>
          <w:p w:rsidR="00DA4476" w:rsidRPr="001F0165" w:rsidRDefault="00DA4476" w:rsidP="00DA4476">
            <w:pPr>
              <w:jc w:val="both"/>
              <w:rPr>
                <w:sz w:val="22"/>
                <w:szCs w:val="22"/>
                <w:lang w:val="pt-BR"/>
              </w:rPr>
            </w:pPr>
            <w:r w:rsidRPr="001F0165">
              <w:rPr>
                <w:sz w:val="22"/>
                <w:szCs w:val="22"/>
                <w:lang w:val="pt-BR"/>
              </w:rPr>
              <w:t>- Giai đoạn 1: Thực hiện từ năm 2013 có chiều dài tuyến kéo dài từ Quốc lộ 1A đi xã Kỳ Ninh dài 9,2km đi qua địa bàn phường Sông trí, Kỳ Trinh, xã Kỳ Hà, Kỳ Ninh với diện tích thu hồi 20,8ha, có 491 hộ ảnh hưởng. Từ năm 2013 đã có 483/491 hộ nhận tiền, bàn giao mặt bằng với chiều dài 8,82/9,2km. Tại đoạn đi qua xã Kỳ Ninh có chiều dài tuyến 2,38 Km, tổng diện tích thu hồi là 4,6 ha, có 147 hộ gia đình, cá nhân và tổ chức ảnh hưởng dự án. Đến thời điểm này, đã có 139/147 hộ nhận tiền, bàn giao mặt bằng và hoàn thành thi công đường 2/2,38Km. Như vậy dự án còn 0,38Km chưa hoàn thành do vướng mắc GPMB của 8 hộ (Hiện UBND thị xã Kỳ Anh đã phê duyệt phê duyệt hỗ trợ 4.257.150.100 đồng cho 08 hộ như các hộ chưa thống nhất nhận tiền mà đang có kiến nghị một số vấn đề liên quan đến phương án bồi thường, GPMB. Sau đó tiếp tục phát sinh vướng mắc liên quan đến Quy hoạch khu dân cư Tân Thắng phục vụ tái định cư các hộ dân nêu trên.</w:t>
            </w:r>
          </w:p>
          <w:p w:rsidR="00DA4476" w:rsidRPr="001F0165" w:rsidRDefault="00DA4476" w:rsidP="00DA4476">
            <w:pPr>
              <w:jc w:val="both"/>
              <w:rPr>
                <w:sz w:val="22"/>
                <w:szCs w:val="22"/>
                <w:lang w:val="pt-BR"/>
              </w:rPr>
            </w:pPr>
            <w:r w:rsidRPr="001F0165">
              <w:rPr>
                <w:sz w:val="22"/>
                <w:szCs w:val="22"/>
                <w:lang w:val="pt-BR"/>
              </w:rPr>
              <w:t xml:space="preserve">- Giai đoạn 2: Thực hiện từ năm 2015 có chiều dài tuyến chạy từ Quốc lộ 1B đến Quốc lộ 1A  dài 1,82 km qua địa bàn xã Kỳ Hưng và phường Sông Trí; diện tích thu hồi đất 3,85 ha, có 47 hộ ảnh hưởng (Kỳ Hưng 26 hộ; Sông Trí 21 hộ). Đến nay, đã có 47/47 hộ đã nhận tiền, bàn giao mặt bằng. Hiện nay, còn 21 hộ có đất bám Quốc lộ 1A yêu cầu bồi thường đất trên hành lang 203.Trong thời gian vừa qua UBND thị xã đã chỉ đạo Hội đồng bồi thường tập trung xử lý các vướng mắc bàn giao mặt bằng cho đơn vị thi công. Hiện nay Hội đồng bồi thường đã bàn giao 680m/700m cho đơn vị thi công còn 20m phần đất bám Quốc lộ 1A đang tiếp tục xử lý. Đối với phần đất trên hành lang Quốc lộ 1A, UBND thị xã đã làm việc với Sở Tài nguyên và Môi trường thống nhất phương án xử lý tại Thông báo kết luận số 814/TB-STNMT-UBNDTXKA ngày 20/12/2019. Đồng thời giao Hội đồng bồi thường thu </w:t>
            </w:r>
            <w:r w:rsidRPr="001F0165">
              <w:rPr>
                <w:sz w:val="22"/>
                <w:szCs w:val="22"/>
                <w:lang w:val="pt-BR"/>
              </w:rPr>
              <w:lastRenderedPageBreak/>
              <w:t>thập các hồ sơ bồi thường mở rộng Quốc lộ 1A trước đây và hồ sơ pháp lý về đất đai để làm căn cứ xử lý phần đất còn lại chưa bồi thường cho các hộ.  Hiện nay, các hộ dân đang có đơn kiến nghị tranh chấp đất đai giữa các hộ giao đất trước đây và các hộ nhận chuyển nhượng, UBND thị xã Kỳ Anh đang giao UBND phường Hưng Trí và Hội đồng bồi thường tổ chức giải quyết tranh chấp để lập phương án bồi thường, hỗ trợ. Tiếp thu ý kiến của cử tri, UBND tỉnh tiếp tục chỉ đạo Ban QLDA khu vực Khu kinh tế tỉnh, UBND thị xã Kỳ Anh xử lý dứt điểm vướng mắc về GPMB và các vấn đề liên quan để đẩy nhanh tiến độ.</w:t>
            </w:r>
          </w:p>
        </w:tc>
      </w:tr>
      <w:tr w:rsidR="001F0165" w:rsidRPr="00430456" w:rsidTr="0087350C">
        <w:tc>
          <w:tcPr>
            <w:tcW w:w="562" w:type="dxa"/>
            <w:vAlign w:val="center"/>
          </w:tcPr>
          <w:p w:rsidR="001F0165" w:rsidRPr="00430456" w:rsidRDefault="001F0165" w:rsidP="00DA4476">
            <w:pPr>
              <w:pStyle w:val="ListParagraph"/>
              <w:numPr>
                <w:ilvl w:val="0"/>
                <w:numId w:val="1"/>
              </w:numPr>
              <w:jc w:val="center"/>
              <w:rPr>
                <w:b/>
                <w:sz w:val="24"/>
                <w:szCs w:val="24"/>
              </w:rPr>
            </w:pPr>
          </w:p>
        </w:tc>
        <w:tc>
          <w:tcPr>
            <w:tcW w:w="4111" w:type="dxa"/>
            <w:vAlign w:val="center"/>
          </w:tcPr>
          <w:p w:rsidR="001F0165" w:rsidRPr="001F0165" w:rsidRDefault="001F0165" w:rsidP="001F0165">
            <w:pPr>
              <w:jc w:val="both"/>
              <w:rPr>
                <w:sz w:val="22"/>
                <w:szCs w:val="22"/>
                <w:lang w:val="pt-BR"/>
              </w:rPr>
            </w:pPr>
            <w:r w:rsidRPr="001F0165">
              <w:rPr>
                <w:sz w:val="22"/>
                <w:szCs w:val="22"/>
              </w:rPr>
              <w:t xml:space="preserve">Tiếp tục làm việc với Công ty Cổ phần Sữa Việt Nam Vinamilk để kiểm tra, rà soát hoàn thiện các thủ tục đầu tư dự án phát triển chăn nuôi bò sữa, bò thịt tại xã Hương Xuân, Hương Vĩnh, huyện Hương Khê </w:t>
            </w:r>
          </w:p>
        </w:tc>
        <w:tc>
          <w:tcPr>
            <w:tcW w:w="10206" w:type="dxa"/>
            <w:vAlign w:val="center"/>
          </w:tcPr>
          <w:p w:rsidR="001F0165" w:rsidRPr="001F0165" w:rsidRDefault="001F0165" w:rsidP="001F0165">
            <w:pPr>
              <w:ind w:hanging="50"/>
              <w:jc w:val="both"/>
              <w:rPr>
                <w:sz w:val="22"/>
                <w:szCs w:val="22"/>
              </w:rPr>
            </w:pPr>
            <w:r w:rsidRPr="001F0165">
              <w:rPr>
                <w:sz w:val="22"/>
                <w:szCs w:val="22"/>
              </w:rPr>
              <w:t>Thực hiện Văn bản số 2177/UBND-NL3 ngày 07/4/2020 của UBND tỉnh về việc tham mưu thực hiện một số nội dung Thông báo kết luận của Thường trực Tỉnh ủy. Theo đó, UBND huyện Hương Khê đã tập trung chỉ đạo các phòng, ngành, các xã liên quan triển khai rà soát, đánh giá thực trạng; đồng thời phối hợp với Công ty TNHH MTV Cao su Hà Tĩnh kiểm tra, rà soát, xác định diện tích đất và các tài sản trên đất nằm trong khu vực dự kiến đầu tư xây dựng dự án phát triển chăn nuôi bò sữa, bò thịt do Công ty Cổ phần sữa Việt nam (Vinamilk) đầu tư (vị trí dự kiến đầu tư dự án tại tiểu khu 240, 241B thuộc địa bàn các xã Hương Vĩnh, Hương Xuân, với diện tích 342 ha). Sau khi rà soát, ngày 29/7/2020, UBND huyện Hương Khê đã có Văn bản số 1824/UBND-TCKH báo cáo và đề xuất UBND tỉnh chủ trì tổ chức làm việc thống nhất với Công ty Cổ phần sữa Việt Nam (Vinamilk) và Tập đoàn Cao su Việt Nam về phương án tự nguyện trả lại đất cho UBND tỉnh Hà Tĩnh, thực hiện thỏa thuận bồi thường tài sản trên đất do Công ty TNHH MTV Cao su Hà Tĩnh quản lý; xây dựng kế hoạch cắm mốc ranh giới thực hiện Dự án và lập phương án thỏa thuận bồi thường GPMB đối với đất và tài sản trên đất do người dân quản lý, sử dụng theo quy định; ngày 31/7/2020 UBND tỉnh có Văn bản số 5072/UBND-NL</w:t>
            </w:r>
            <w:r w:rsidRPr="001F0165">
              <w:rPr>
                <w:sz w:val="22"/>
                <w:szCs w:val="22"/>
                <w:vertAlign w:val="subscript"/>
              </w:rPr>
              <w:t>3</w:t>
            </w:r>
            <w:r w:rsidRPr="001F0165">
              <w:rPr>
                <w:sz w:val="22"/>
                <w:szCs w:val="22"/>
              </w:rPr>
              <w:t xml:space="preserve"> giao Sở Nông nghiệp và PTNT chủ trì phối hợp với các Sở, ngành liên quan xử lý ý kiến của UBND huyện Hương Khê; theo đó, ngày 10/8/2020, Sở Nông nghiệp và PTNT có Văn bản số 1682/SNN-KL, trong đó có ý kiến Sở đã liên lạc với Công ty Cổ phần sữa Việt Nam (Vinamilk), nhưng lãnh đạo Công ty trả lời, do tình hình dịch bệnh Covid-19 diễn biến phức tạp, Công ty đang trong giai đoạn tái cấu trúc sản xuất, kinh doanh,... nên dừng việc khảo sát, lập dự án phát triển chăn nuôi bò sữa, bò thịt tại địa bàn các xã Hương Vĩnh, Hương Xuân như đã đề xuất trước đây.</w:t>
            </w:r>
          </w:p>
        </w:tc>
      </w:tr>
      <w:tr w:rsidR="00137A38" w:rsidRPr="00430456" w:rsidTr="001207D3">
        <w:tc>
          <w:tcPr>
            <w:tcW w:w="562" w:type="dxa"/>
            <w:vAlign w:val="center"/>
          </w:tcPr>
          <w:p w:rsidR="00137A38" w:rsidRPr="00137A38" w:rsidRDefault="00137A38" w:rsidP="00137A38">
            <w:pPr>
              <w:jc w:val="center"/>
              <w:rPr>
                <w:b/>
                <w:sz w:val="24"/>
                <w:szCs w:val="24"/>
              </w:rPr>
            </w:pPr>
            <w:r>
              <w:rPr>
                <w:b/>
                <w:sz w:val="24"/>
                <w:szCs w:val="24"/>
              </w:rPr>
              <w:t>III</w:t>
            </w:r>
          </w:p>
        </w:tc>
        <w:tc>
          <w:tcPr>
            <w:tcW w:w="14317" w:type="dxa"/>
            <w:gridSpan w:val="2"/>
            <w:vAlign w:val="center"/>
          </w:tcPr>
          <w:p w:rsidR="00137A38" w:rsidRPr="00137A38" w:rsidRDefault="00137A38" w:rsidP="00137A38">
            <w:pPr>
              <w:ind w:hanging="50"/>
              <w:jc w:val="center"/>
              <w:rPr>
                <w:b/>
                <w:sz w:val="22"/>
                <w:szCs w:val="22"/>
              </w:rPr>
            </w:pPr>
            <w:r>
              <w:rPr>
                <w:b/>
                <w:sz w:val="22"/>
                <w:szCs w:val="22"/>
              </w:rPr>
              <w:t>LĨNH VỰC VĂN HÓA - XÃ HỘI</w:t>
            </w:r>
          </w:p>
        </w:tc>
      </w:tr>
      <w:tr w:rsidR="00DA4476" w:rsidRPr="00430456" w:rsidTr="0087350C">
        <w:tc>
          <w:tcPr>
            <w:tcW w:w="562" w:type="dxa"/>
            <w:vAlign w:val="center"/>
          </w:tcPr>
          <w:p w:rsidR="00DA4476" w:rsidRPr="00430456" w:rsidRDefault="00DA4476" w:rsidP="00137A38">
            <w:pPr>
              <w:pStyle w:val="ListParagraph"/>
              <w:numPr>
                <w:ilvl w:val="0"/>
                <w:numId w:val="1"/>
              </w:numPr>
              <w:jc w:val="center"/>
              <w:rPr>
                <w:b/>
                <w:sz w:val="24"/>
                <w:szCs w:val="24"/>
              </w:rPr>
            </w:pPr>
          </w:p>
        </w:tc>
        <w:tc>
          <w:tcPr>
            <w:tcW w:w="4111" w:type="dxa"/>
            <w:vAlign w:val="center"/>
          </w:tcPr>
          <w:p w:rsidR="00DA4476" w:rsidRPr="00137A38" w:rsidRDefault="00137A38" w:rsidP="00137A38">
            <w:pPr>
              <w:jc w:val="both"/>
              <w:rPr>
                <w:b/>
                <w:sz w:val="22"/>
                <w:szCs w:val="22"/>
              </w:rPr>
            </w:pPr>
            <w:r w:rsidRPr="00137A38">
              <w:rPr>
                <w:sz w:val="22"/>
                <w:szCs w:val="22"/>
              </w:rPr>
              <w:t>Đề nghị tỉnh có chính sách hỗ trợ sửa chữa, nâng cấp các trường học trên địa bàn huyện Hương Sơn để đạt chuẩn trường chuẩn Quốc gia theo tiêu chí của Bộ giáo dục đào tạo</w:t>
            </w:r>
          </w:p>
        </w:tc>
        <w:tc>
          <w:tcPr>
            <w:tcW w:w="10206" w:type="dxa"/>
          </w:tcPr>
          <w:p w:rsidR="00DA4476" w:rsidRPr="00137A38" w:rsidRDefault="00137A38" w:rsidP="00137A38">
            <w:pPr>
              <w:jc w:val="both"/>
              <w:rPr>
                <w:b/>
                <w:sz w:val="22"/>
                <w:szCs w:val="22"/>
              </w:rPr>
            </w:pPr>
            <w:r w:rsidRPr="00137A38">
              <w:rPr>
                <w:sz w:val="22"/>
                <w:szCs w:val="22"/>
              </w:rPr>
              <w:t>Những năm qua, huyện Hương Sơn đã quan tâm, có các chính sách hỗ trợ xây dựng trường đạt chuẩn quốc gia (mức độ 1, công nhận lần đầu), mức hỗ trợ 30 triệu đồng/trường. Ngoài chính sách trên, huyện Hương Sơn quan tâm, tập trung nguồn lực cho việc sửa chữa, nâng cấp các trường học để đạt trường chuẩn Quốc gia theo tiêu chí của Bộ Giáo dục và Đào tạo; giai đoạn 2016 - 2020, UBND huyện đã hỗ trợ sửa chữa, nâng cấp, xây dựng 64 trường học - 128 công trình, số tiền 176.764 triệu đồng; 09 tháng đầu năm 2021, tiếp tục hỗ trợ sửa chữa, nâng cấp, xây dựng 26 trường học - 35 công trình, số tiền 49.834 triệu đồng.</w:t>
            </w:r>
          </w:p>
        </w:tc>
      </w:tr>
      <w:tr w:rsidR="00137A38" w:rsidRPr="00430456" w:rsidTr="0087350C">
        <w:tc>
          <w:tcPr>
            <w:tcW w:w="562" w:type="dxa"/>
            <w:vAlign w:val="center"/>
          </w:tcPr>
          <w:p w:rsidR="00137A38" w:rsidRPr="00430456" w:rsidRDefault="00137A38" w:rsidP="00137A38">
            <w:pPr>
              <w:pStyle w:val="ListParagraph"/>
              <w:numPr>
                <w:ilvl w:val="0"/>
                <w:numId w:val="1"/>
              </w:numPr>
              <w:jc w:val="center"/>
              <w:rPr>
                <w:b/>
                <w:sz w:val="24"/>
                <w:szCs w:val="24"/>
              </w:rPr>
            </w:pPr>
          </w:p>
        </w:tc>
        <w:tc>
          <w:tcPr>
            <w:tcW w:w="4111" w:type="dxa"/>
            <w:vAlign w:val="center"/>
          </w:tcPr>
          <w:p w:rsidR="00137A38" w:rsidRPr="00137A38" w:rsidRDefault="00137A38" w:rsidP="00137A38">
            <w:pPr>
              <w:jc w:val="both"/>
              <w:rPr>
                <w:sz w:val="22"/>
                <w:szCs w:val="22"/>
              </w:rPr>
            </w:pPr>
            <w:r w:rsidRPr="00137A38">
              <w:rPr>
                <w:sz w:val="22"/>
                <w:szCs w:val="22"/>
              </w:rPr>
              <w:t>Xem xét việc tăng định mức chi thường xuyên đối với kinh phí sự nghiệp giáo dục, y tế và bổ sung định mức chi sửa chữa cơ sở vật chất, mua sắm trang thiết bị hàng năm cho các địa phương để có nguồn mua sắm, sửa chữa cơ sở vật chất đảm bảo phục vụ công tác dạy học, khám chữa bệnh cho Nhân dân trên địa bàn huyện Hương Khê</w:t>
            </w:r>
          </w:p>
        </w:tc>
        <w:tc>
          <w:tcPr>
            <w:tcW w:w="10206" w:type="dxa"/>
          </w:tcPr>
          <w:p w:rsidR="00137A38" w:rsidRPr="00137A38" w:rsidRDefault="00137A38" w:rsidP="00137A38">
            <w:pPr>
              <w:tabs>
                <w:tab w:val="left" w:pos="3587"/>
              </w:tabs>
              <w:spacing w:before="60" w:after="60"/>
              <w:ind w:hanging="50"/>
              <w:jc w:val="both"/>
              <w:rPr>
                <w:sz w:val="22"/>
                <w:szCs w:val="22"/>
              </w:rPr>
            </w:pPr>
            <w:r w:rsidRPr="00137A38">
              <w:rPr>
                <w:sz w:val="22"/>
                <w:szCs w:val="22"/>
              </w:rPr>
              <w:t>Quy định tại Nghị quyết số 28/2016/NQ-HĐND ngày 15/12/2016 của HĐND tỉnh và Quyết định số 58/2016/QĐ-UBND ngày 29/12/2016 của UBND tỉnh</w:t>
            </w:r>
            <w:r w:rsidRPr="00137A38">
              <w:rPr>
                <w:iCs/>
                <w:sz w:val="22"/>
                <w:szCs w:val="22"/>
              </w:rPr>
              <w:t xml:space="preserve"> về quy định phân cấp nguồn thu, nhiệm vụ chi các cấp ngân sách; tỷ lệ phần trăm (%) phân chia nguồn thu giữa các cấp ngân sách giai đoạn 2017, ổn định đến năm 2020; định mức phân bổ </w:t>
            </w:r>
            <w:r w:rsidRPr="00137A38">
              <w:rPr>
                <w:sz w:val="22"/>
                <w:szCs w:val="22"/>
              </w:rPr>
              <w:t xml:space="preserve">chi thường xuyên đối với kinh phí sự nghiệp giáo dục 18%, đối với sự nghiệp y tế (Trung tâm Y tế huyện 20%, Trạm y tế xã 7%). Tuy vậy, thực tế nhu cầu nâng cấp, sửa chữa, mua sắm trang thiết bị dạy học, khám chữa bệnh tại các trường học và cơ sở y tế hết sức lớn và cần thiết; định mức chi thường xuyên sự nghiệp giáo dục, y tế thấp, đồng thời không được phân bổ kinh phí để thực hiện sửa chữa, mua sắm trang thiết bị nên các đơn vị rất khó khăn trong việc huy động nguồn lực để thực hiện. </w:t>
            </w:r>
            <w:r w:rsidRPr="00137A38">
              <w:rPr>
                <w:iCs/>
                <w:sz w:val="22"/>
                <w:szCs w:val="22"/>
              </w:rPr>
              <w:t xml:space="preserve">Để đảm bảo cơ sở vật chất, trang thiết bị day học và khám chữa bệnh; thời gian qua, UBND huyện Hương Khê đã tập trung huy động nguồn lực (lồng ghép chương trình, dự án, đề xuất UBND tỉnh hỗ trợ, bố trí ngân sách huyện…) đầu tư xây dựng, nâng cấp sửa chữa và mua sắm trang thiết bị làm việc, cụ thể: Từ năm 2018 đến nay, đã đầu tư xây dựng, sửa chữa 35 trường học, số tiền trên 71 tỷ đồng </w:t>
            </w:r>
            <w:r w:rsidRPr="00137A38">
              <w:rPr>
                <w:i/>
                <w:iCs/>
                <w:sz w:val="22"/>
                <w:szCs w:val="22"/>
              </w:rPr>
              <w:t>(trong đó: xây dựng mới 19 trường học, số tiền 55 tỷ đồng; sửa chữa 16 trường học, số tiền 16 tỷ đồng)</w:t>
            </w:r>
            <w:r w:rsidRPr="00137A38">
              <w:rPr>
                <w:iCs/>
                <w:sz w:val="22"/>
                <w:szCs w:val="22"/>
              </w:rPr>
              <w:t xml:space="preserve">; xây dựng 6 trạm y </w:t>
            </w:r>
            <w:r w:rsidRPr="00137A38">
              <w:rPr>
                <w:iCs/>
                <w:sz w:val="22"/>
                <w:szCs w:val="22"/>
              </w:rPr>
              <w:lastRenderedPageBreak/>
              <w:t>tế, số tiền 30 tỷ đồng</w:t>
            </w:r>
            <w:r w:rsidRPr="00137A38">
              <w:rPr>
                <w:i/>
                <w:iCs/>
                <w:sz w:val="22"/>
                <w:szCs w:val="22"/>
              </w:rPr>
              <w:t>;</w:t>
            </w:r>
            <w:r w:rsidRPr="00137A38">
              <w:rPr>
                <w:iCs/>
                <w:sz w:val="22"/>
                <w:szCs w:val="22"/>
              </w:rPr>
              <w:t xml:space="preserve"> mua sắm trang thiết bị phục vụ dạy học trên 2.403 tỷ đồng.</w:t>
            </w:r>
            <w:r w:rsidRPr="00137A38">
              <w:rPr>
                <w:sz w:val="22"/>
                <w:szCs w:val="22"/>
              </w:rPr>
              <w:t xml:space="preserve"> </w:t>
            </w:r>
            <w:r w:rsidRPr="00137A38">
              <w:rPr>
                <w:iCs/>
                <w:sz w:val="22"/>
                <w:szCs w:val="22"/>
              </w:rPr>
              <w:t>Tiếp thu ý kiến, kiến nghị của cử tri, UBND tỉnh sẽ chỉ đạo các sở, ngành chuyên môn và UBND huyện Hương Khê có các giải pháp cân đối các nguồn kinh phí thực hiện các nhiệm vụ nêu trên phù hợp với khả năng nguồn lực của tỉnh.</w:t>
            </w:r>
          </w:p>
        </w:tc>
      </w:tr>
      <w:tr w:rsidR="00137A38" w:rsidRPr="00430456" w:rsidTr="0087350C">
        <w:tc>
          <w:tcPr>
            <w:tcW w:w="562" w:type="dxa"/>
            <w:vAlign w:val="center"/>
          </w:tcPr>
          <w:p w:rsidR="00137A38" w:rsidRPr="00430456" w:rsidRDefault="00137A38" w:rsidP="00A2251F">
            <w:pPr>
              <w:pStyle w:val="ListParagraph"/>
              <w:numPr>
                <w:ilvl w:val="0"/>
                <w:numId w:val="1"/>
              </w:numPr>
              <w:jc w:val="center"/>
              <w:rPr>
                <w:b/>
                <w:sz w:val="24"/>
                <w:szCs w:val="24"/>
              </w:rPr>
            </w:pPr>
          </w:p>
        </w:tc>
        <w:tc>
          <w:tcPr>
            <w:tcW w:w="4111" w:type="dxa"/>
            <w:vAlign w:val="center"/>
          </w:tcPr>
          <w:p w:rsidR="00137A38" w:rsidRPr="00137A38" w:rsidRDefault="00137A38" w:rsidP="00137A38">
            <w:pPr>
              <w:jc w:val="both"/>
              <w:rPr>
                <w:sz w:val="22"/>
                <w:szCs w:val="22"/>
              </w:rPr>
            </w:pPr>
            <w:r w:rsidRPr="00137A38">
              <w:rPr>
                <w:sz w:val="22"/>
                <w:szCs w:val="22"/>
              </w:rPr>
              <w:t>Đề nghị tỉnh xem xét cho chủ trương về quy hoạch, đầu tư khai thác du lịch biển Thạch Hải, huyện Thạch Hà</w:t>
            </w:r>
          </w:p>
        </w:tc>
        <w:tc>
          <w:tcPr>
            <w:tcW w:w="10206" w:type="dxa"/>
          </w:tcPr>
          <w:p w:rsidR="00137A38" w:rsidRPr="00137A38" w:rsidRDefault="00137A38" w:rsidP="00137A38">
            <w:pPr>
              <w:tabs>
                <w:tab w:val="left" w:pos="3587"/>
              </w:tabs>
              <w:spacing w:before="60" w:after="60"/>
              <w:ind w:hanging="50"/>
              <w:jc w:val="both"/>
              <w:rPr>
                <w:sz w:val="22"/>
                <w:szCs w:val="22"/>
              </w:rPr>
            </w:pPr>
            <w:r w:rsidRPr="00137A38">
              <w:rPr>
                <w:sz w:val="22"/>
                <w:szCs w:val="22"/>
              </w:rPr>
              <w:t>Thời gian qua, cử tri có đề nghị xem xét cho chủ trương về quy hoạch, đầu tư khai thác du lịch biển Thạch Hải, tuy nhiên khu vực biển Thạch Hải nằm trong vùng Dự án khai thác mỏ sắt Thạch Khê (đã được UBND tỉnh phê duyệt lộ trình bồi thường, hỗ trợ và tái định cư tại Quyết định số 1358/QĐ-UBND ngày 15/5/2013). Việc quy hoạch, đầu tư khai thác du lịch biển Thạch Hải phụ thuộc vào việc dừng hay tiếp thục thực hiện Dự án Khai thác mỏ sắt Thạch Khê. Tuy nhiên, hiện nay Chính phủ vẫn chưa quyết định về dự án trên nên tỉnh chưa thể triển khai công tác lập Quy hoạch khu du lịch biển Thạch Hải.</w:t>
            </w:r>
          </w:p>
        </w:tc>
      </w:tr>
      <w:tr w:rsidR="00137A38" w:rsidRPr="00430456" w:rsidTr="0087350C">
        <w:tc>
          <w:tcPr>
            <w:tcW w:w="562" w:type="dxa"/>
            <w:vAlign w:val="center"/>
          </w:tcPr>
          <w:p w:rsidR="00137A38" w:rsidRPr="00430456" w:rsidRDefault="00137A38" w:rsidP="00A2251F">
            <w:pPr>
              <w:pStyle w:val="ListParagraph"/>
              <w:numPr>
                <w:ilvl w:val="0"/>
                <w:numId w:val="1"/>
              </w:numPr>
              <w:jc w:val="center"/>
              <w:rPr>
                <w:b/>
                <w:sz w:val="24"/>
                <w:szCs w:val="24"/>
              </w:rPr>
            </w:pPr>
          </w:p>
        </w:tc>
        <w:tc>
          <w:tcPr>
            <w:tcW w:w="4111" w:type="dxa"/>
            <w:vAlign w:val="center"/>
          </w:tcPr>
          <w:p w:rsidR="00137A38" w:rsidRPr="00137A38" w:rsidRDefault="00137A38" w:rsidP="00137A38">
            <w:pPr>
              <w:spacing w:before="60" w:after="60"/>
              <w:ind w:firstLine="29"/>
              <w:jc w:val="both"/>
              <w:rPr>
                <w:sz w:val="22"/>
                <w:szCs w:val="22"/>
              </w:rPr>
            </w:pPr>
            <w:r w:rsidRPr="00137A38">
              <w:rPr>
                <w:sz w:val="22"/>
                <w:szCs w:val="22"/>
              </w:rPr>
              <w:t>Chỉ đạo các ngành chức năng kiểm tra hoạt động của các di tích văn hóa lịch sử, đền chùa, việc thờ tự trong các đền chùa tránh tình trạng sử dụng tranh ảnh, tượng của Trung Quốc đem về thờ tự tại nước ta. Đồng thời quan tâm công tác quản lý nhà nước đối với di tích văn hóa lịch sử và hoạt động tín ngưỡng, tâm linh trên địa bàn</w:t>
            </w:r>
          </w:p>
        </w:tc>
        <w:tc>
          <w:tcPr>
            <w:tcW w:w="10206" w:type="dxa"/>
          </w:tcPr>
          <w:p w:rsidR="00137A38" w:rsidRPr="00137A38" w:rsidRDefault="00137A38" w:rsidP="00137A38">
            <w:pPr>
              <w:jc w:val="both"/>
              <w:rPr>
                <w:b/>
                <w:sz w:val="22"/>
                <w:szCs w:val="22"/>
              </w:rPr>
            </w:pPr>
            <w:r w:rsidRPr="00137A38">
              <w:rPr>
                <w:sz w:val="22"/>
                <w:szCs w:val="22"/>
              </w:rPr>
              <w:t>Công tác bảo tồn, phát huy giá trí các di tích văn hóa lịch sử và định hướng hoạt động tâm linh, tín ngưỡng được Tỉnh hết sức quan tâm chỉ đạo. Để làm tốt việc này năm 2013, UBND tỉnh đã ban hành Quyết định số 27/2013/QĐ-UBND ngày 10/7/2013 quy định về quản lý, bảo vệ, phát huy giá trị di tích văn hóa và danh lam thắng cảnh trên địa bàn tỉnh Hà Tĩnh. Giao Sở Văn hóa, TT&amp;DL chủ trì, phối hợp với các sở, ngành chức năng liên quan trong việc tổ chức kiểm tra, thanh tra tại các di tích văn hóa lịch sử trên địa bàn đảm bảo hoạt động đúng theo định. Hiện nay, hàng năm Sở Văn hóa,TT&amp;DL thực hiện tốt chức năng, nhiệm vụ của mình trong việc hướng dẫn cũng như phát hiện và chấn chỉnh kịp thời các sai phạm trong tổ chức hoạt động tín ngưỡng, tâm linh trên địa bàn; đảm bảo định hướng hoạt động tâm linh, tín ngưỡng trong khuôn khổ quy định của pháp luật.</w:t>
            </w:r>
          </w:p>
        </w:tc>
      </w:tr>
      <w:tr w:rsidR="00A2251F" w:rsidRPr="00430456" w:rsidTr="0087350C">
        <w:tc>
          <w:tcPr>
            <w:tcW w:w="562" w:type="dxa"/>
            <w:vAlign w:val="center"/>
          </w:tcPr>
          <w:p w:rsidR="00A2251F" w:rsidRPr="00430456" w:rsidRDefault="00A2251F" w:rsidP="00A2251F">
            <w:pPr>
              <w:pStyle w:val="ListParagraph"/>
              <w:numPr>
                <w:ilvl w:val="0"/>
                <w:numId w:val="1"/>
              </w:numPr>
              <w:jc w:val="center"/>
              <w:rPr>
                <w:b/>
                <w:sz w:val="24"/>
                <w:szCs w:val="24"/>
              </w:rPr>
            </w:pPr>
          </w:p>
        </w:tc>
        <w:tc>
          <w:tcPr>
            <w:tcW w:w="4111" w:type="dxa"/>
            <w:vAlign w:val="center"/>
          </w:tcPr>
          <w:p w:rsidR="00A2251F" w:rsidRPr="00A2251F" w:rsidRDefault="00A2251F" w:rsidP="00A2251F">
            <w:pPr>
              <w:spacing w:before="60" w:after="60"/>
              <w:jc w:val="both"/>
              <w:rPr>
                <w:bCs/>
                <w:spacing w:val="4"/>
                <w:sz w:val="22"/>
                <w:szCs w:val="22"/>
              </w:rPr>
            </w:pPr>
            <w:r w:rsidRPr="00A2251F">
              <w:rPr>
                <w:sz w:val="22"/>
                <w:szCs w:val="22"/>
              </w:rPr>
              <w:t>Đề nghị tỉnh xem xét việc tiếp tục thực hiện Quyết định số 40/2017/UBND của Ủy ban nhân dân tỉnh về quy định chính sách hỗ trợ hỏa táng trên địa bàn tỉnh</w:t>
            </w:r>
          </w:p>
        </w:tc>
        <w:tc>
          <w:tcPr>
            <w:tcW w:w="10206" w:type="dxa"/>
          </w:tcPr>
          <w:p w:rsidR="00A2251F" w:rsidRPr="00A2251F" w:rsidRDefault="00A2251F" w:rsidP="00A2251F">
            <w:pPr>
              <w:spacing w:before="60" w:after="60"/>
              <w:ind w:firstLine="170"/>
              <w:jc w:val="both"/>
              <w:rPr>
                <w:sz w:val="22"/>
                <w:szCs w:val="22"/>
              </w:rPr>
            </w:pPr>
            <w:r w:rsidRPr="00A2251F">
              <w:rPr>
                <w:sz w:val="22"/>
                <w:szCs w:val="22"/>
              </w:rPr>
              <w:t>Ngày 23/8/2017, UBND tỉnh đã ban hành Quyết định số 40/2017/QĐ-UBND quy định chính sách hỗ trợ khuyến khích hỏa táng trên địa bàn tỉnh, có hiệu lực từ ngày 01/9/2017 và hết hiệu lực vào ngày 01/9/2020; việc hỗ trợ được thực hiện thông qua công ty thực hiện hỏa táng. Qua 03 năm thực hiện chính sách, trên địa bàn tỉnh chỉ có một Công ty TNHH MTV Phúc Lạc Viên Hoàn Vũ hoạt động thực hiện hỏa táng; công ty cũng đã có Văn bản số 03/CV-PLVHT ngày 29/4/2020 đề nghị cho gia hạn chính sách hỗ trợ khuyến khích hỏa táng trên địa bàn tỉnh. Tuy nhiên, do hiện nay Công ty chưa chấp hành việc lập đơn giá dịch vụ, giá đất khu mộ của dự án để trình cấp có thẩm quyền thẩm định, phê duyệt theo quy định. Vì vậy, UBND tỉnh đã có Văn bản số 7125/UBND-XH ngày 26/10/2020 yêu cầu công ty tổ chức khắc phục và chưa xem xét gia hạn (hoặc ban hành mới) chính sách khuyến khích hỏa táng theo quy định định tại Quyết định số 40/2017/QĐ-UBND cho đến khi công ty hoàn thành việc khắc phục các nội dung tồn tại của dự án theo quy định của pháp luật. Hiện nay Công ty chưa hoàn thiện phương án giá dịch vụ hỏa t</w:t>
            </w:r>
            <w:r w:rsidRPr="00A2251F">
              <w:rPr>
                <w:spacing w:val="-2"/>
                <w:sz w:val="22"/>
                <w:szCs w:val="22"/>
              </w:rPr>
              <w:t>áng, giá chuyển nhượng phần mộ cá nhân để trình cơ quan có thẩm quyền thẩm định.</w:t>
            </w:r>
          </w:p>
        </w:tc>
      </w:tr>
      <w:tr w:rsidR="00E947F0" w:rsidRPr="00430456" w:rsidTr="00FF5404">
        <w:tc>
          <w:tcPr>
            <w:tcW w:w="562" w:type="dxa"/>
            <w:vAlign w:val="center"/>
          </w:tcPr>
          <w:p w:rsidR="00E947F0" w:rsidRPr="00E947F0" w:rsidRDefault="00E947F0" w:rsidP="00E947F0">
            <w:pPr>
              <w:jc w:val="center"/>
              <w:rPr>
                <w:b/>
                <w:sz w:val="24"/>
                <w:szCs w:val="24"/>
              </w:rPr>
            </w:pPr>
            <w:r>
              <w:rPr>
                <w:b/>
                <w:sz w:val="24"/>
                <w:szCs w:val="24"/>
              </w:rPr>
              <w:t>IV</w:t>
            </w:r>
          </w:p>
        </w:tc>
        <w:tc>
          <w:tcPr>
            <w:tcW w:w="14317" w:type="dxa"/>
            <w:gridSpan w:val="2"/>
            <w:vAlign w:val="center"/>
          </w:tcPr>
          <w:p w:rsidR="00E947F0" w:rsidRPr="00E947F0" w:rsidRDefault="00E947F0" w:rsidP="00E947F0">
            <w:pPr>
              <w:spacing w:before="60" w:after="60"/>
              <w:ind w:firstLine="170"/>
              <w:jc w:val="center"/>
              <w:rPr>
                <w:b/>
                <w:sz w:val="22"/>
                <w:szCs w:val="22"/>
              </w:rPr>
            </w:pPr>
            <w:r>
              <w:rPr>
                <w:b/>
                <w:sz w:val="22"/>
                <w:szCs w:val="22"/>
              </w:rPr>
              <w:t>LĨNH VỰC TÀI NGUYÊN VÀ MÔI TRƯỜNG</w:t>
            </w:r>
          </w:p>
        </w:tc>
      </w:tr>
      <w:tr w:rsidR="00E947F0" w:rsidRPr="00430456" w:rsidTr="0087350C">
        <w:tc>
          <w:tcPr>
            <w:tcW w:w="562" w:type="dxa"/>
            <w:vAlign w:val="center"/>
          </w:tcPr>
          <w:p w:rsidR="00E947F0" w:rsidRPr="00430456" w:rsidRDefault="00E947F0" w:rsidP="00A2251F">
            <w:pPr>
              <w:pStyle w:val="ListParagraph"/>
              <w:numPr>
                <w:ilvl w:val="0"/>
                <w:numId w:val="1"/>
              </w:numPr>
              <w:jc w:val="center"/>
              <w:rPr>
                <w:b/>
                <w:sz w:val="24"/>
                <w:szCs w:val="24"/>
              </w:rPr>
            </w:pPr>
          </w:p>
        </w:tc>
        <w:tc>
          <w:tcPr>
            <w:tcW w:w="4111" w:type="dxa"/>
            <w:vAlign w:val="center"/>
          </w:tcPr>
          <w:p w:rsidR="00E947F0" w:rsidRPr="00E947F0" w:rsidRDefault="00E947F0" w:rsidP="00E947F0">
            <w:pPr>
              <w:spacing w:before="60" w:after="60"/>
              <w:jc w:val="both"/>
              <w:rPr>
                <w:sz w:val="22"/>
                <w:szCs w:val="22"/>
              </w:rPr>
            </w:pPr>
            <w:r w:rsidRPr="00E947F0">
              <w:rPr>
                <w:sz w:val="22"/>
                <w:szCs w:val="22"/>
                <w:lang w:val="es-ES"/>
              </w:rPr>
              <w:t xml:space="preserve">Đề nghị tỉnh chỉ đạo cơ quan chức năng báo cáo định kỳ kết quả quan trắc môi trường của dự án Formosa để cử tri, nhân dân được biết và theo dõi </w:t>
            </w:r>
          </w:p>
        </w:tc>
        <w:tc>
          <w:tcPr>
            <w:tcW w:w="10206" w:type="dxa"/>
          </w:tcPr>
          <w:p w:rsidR="00E947F0" w:rsidRPr="00E947F0" w:rsidRDefault="00E947F0" w:rsidP="00E947F0">
            <w:pPr>
              <w:spacing w:before="60" w:after="60"/>
              <w:ind w:hanging="191"/>
              <w:jc w:val="both"/>
              <w:rPr>
                <w:color w:val="000000" w:themeColor="text1"/>
                <w:sz w:val="22"/>
                <w:szCs w:val="22"/>
                <w:lang w:val="es-ES"/>
              </w:rPr>
            </w:pPr>
            <w:r w:rsidRPr="00E947F0">
              <w:rPr>
                <w:color w:val="000000" w:themeColor="text1"/>
                <w:sz w:val="22"/>
                <w:szCs w:val="22"/>
                <w:lang w:val="es-ES"/>
              </w:rPr>
              <w:t xml:space="preserve">Công ty TNHH Gang thép Hưng nghiệp Formosa Hà Tĩnh (viết tắt là Công ty Formosa) đã khắc phục đầy đủ 53/53 hành vi vi phạm theo kết quả kiểm tra sau sự cố môi trường năm 2016. Hiện nay, Công ty đã thực hiện lắp đặt các trạm quan trắc tự động tại dự án (4 trạm nước thải; 20 trạm khí thải), công bố online tại Cổng nhà máy, được Sở Tài nguyên và Môi trường niêm phong và truyền số liệu về Bộ Tài nguyên và Môi trường để theo dõi giám sát.Kết quả quan trắc định kỳ, Công ty gửi Bộ Tài nguyên và Môi trường, Sở Tài nguyên và Môi trường và các đơn vị liên quan theo yêu cầu tại các Quyết định phê duyệt báo cáo Đánh giá tác động môi trường và quy định tại Nghị định 40/2019/NĐ-CP ngày 13/5/2019 của Chính phủ và Thông tư 25/2019/TT-BTNMT ngày 31/12/2019 của Bộ Tài nguyên và Môi trườngTheo kết quả quan trắc của Viện Công nghệ và Môi trường và theo dõi của Trung tâm quan trắc tài nguyên và Môi trường tỉnh qua hệ thống quan trắc tự động cho thấy chất lượng nước thải, khí thải ra môi trường tại Dự án Formosa trong thời gian qua củng như hiện nay đều nằm trong giới hạn cho phép. </w:t>
            </w:r>
          </w:p>
          <w:p w:rsidR="00E947F0" w:rsidRPr="00E947F0" w:rsidRDefault="00E947F0" w:rsidP="00E947F0">
            <w:pPr>
              <w:spacing w:before="60" w:after="60"/>
              <w:jc w:val="both"/>
              <w:rPr>
                <w:sz w:val="22"/>
                <w:szCs w:val="22"/>
              </w:rPr>
            </w:pPr>
            <w:r w:rsidRPr="00E947F0">
              <w:rPr>
                <w:color w:val="000000" w:themeColor="text1"/>
                <w:sz w:val="22"/>
                <w:szCs w:val="22"/>
                <w:lang w:val="es-ES"/>
              </w:rPr>
              <w:lastRenderedPageBreak/>
              <w:t>Thời gian qua, UBND tỉnh đã có báo cáo công tác BVMT định kỳ hàng năm trình tại kỳ họp HĐND cuối năm (Các báo cáo số: 387/BC-UBND ngày 30/11/2028; 415/BC-UBND ngày 06/12/2019; 439/BC-UBND ngày 27/11/2020), trong đó có nội dung đánh giá về kết quả thực hiện công tác bảo vệ môi trường tại dự án Formosa.</w:t>
            </w:r>
          </w:p>
        </w:tc>
      </w:tr>
      <w:tr w:rsidR="00E947F0" w:rsidRPr="00430456" w:rsidTr="00E947F0">
        <w:trPr>
          <w:trHeight w:val="541"/>
        </w:trPr>
        <w:tc>
          <w:tcPr>
            <w:tcW w:w="562" w:type="dxa"/>
            <w:vAlign w:val="center"/>
          </w:tcPr>
          <w:p w:rsidR="00E947F0" w:rsidRPr="00E947F0" w:rsidRDefault="00E947F0" w:rsidP="00E947F0">
            <w:pPr>
              <w:jc w:val="center"/>
              <w:rPr>
                <w:b/>
                <w:sz w:val="24"/>
                <w:szCs w:val="24"/>
              </w:rPr>
            </w:pPr>
            <w:r>
              <w:rPr>
                <w:b/>
                <w:sz w:val="24"/>
                <w:szCs w:val="24"/>
              </w:rPr>
              <w:lastRenderedPageBreak/>
              <w:t>V</w:t>
            </w:r>
          </w:p>
        </w:tc>
        <w:tc>
          <w:tcPr>
            <w:tcW w:w="14317" w:type="dxa"/>
            <w:gridSpan w:val="2"/>
            <w:vAlign w:val="center"/>
          </w:tcPr>
          <w:p w:rsidR="00E947F0" w:rsidRPr="00E947F0" w:rsidRDefault="00E947F0" w:rsidP="00E947F0">
            <w:pPr>
              <w:spacing w:before="60" w:after="60"/>
              <w:ind w:firstLine="170"/>
              <w:jc w:val="center"/>
              <w:rPr>
                <w:b/>
                <w:sz w:val="22"/>
                <w:szCs w:val="22"/>
              </w:rPr>
            </w:pPr>
            <w:r w:rsidRPr="00E947F0">
              <w:rPr>
                <w:b/>
                <w:sz w:val="22"/>
                <w:szCs w:val="22"/>
              </w:rPr>
              <w:t>LĨNH VỰC NỘI CHÍNH VÀ LĨNH VỰC KHÁC</w:t>
            </w:r>
          </w:p>
        </w:tc>
      </w:tr>
      <w:tr w:rsidR="00E947F0" w:rsidRPr="00430456" w:rsidTr="0087350C">
        <w:tc>
          <w:tcPr>
            <w:tcW w:w="562" w:type="dxa"/>
            <w:vAlign w:val="center"/>
          </w:tcPr>
          <w:p w:rsidR="00E947F0" w:rsidRPr="00430456" w:rsidRDefault="00E947F0" w:rsidP="00A2251F">
            <w:pPr>
              <w:pStyle w:val="ListParagraph"/>
              <w:numPr>
                <w:ilvl w:val="0"/>
                <w:numId w:val="1"/>
              </w:numPr>
              <w:jc w:val="center"/>
              <w:rPr>
                <w:b/>
                <w:sz w:val="24"/>
                <w:szCs w:val="24"/>
              </w:rPr>
            </w:pPr>
          </w:p>
        </w:tc>
        <w:tc>
          <w:tcPr>
            <w:tcW w:w="4111" w:type="dxa"/>
            <w:vAlign w:val="center"/>
          </w:tcPr>
          <w:p w:rsidR="00E947F0" w:rsidRPr="00E947F0" w:rsidRDefault="00E947F0" w:rsidP="00E947F0">
            <w:pPr>
              <w:spacing w:before="60" w:after="60"/>
              <w:jc w:val="both"/>
              <w:rPr>
                <w:sz w:val="22"/>
                <w:szCs w:val="22"/>
              </w:rPr>
            </w:pPr>
            <w:r w:rsidRPr="00E947F0">
              <w:rPr>
                <w:sz w:val="22"/>
                <w:szCs w:val="22"/>
              </w:rPr>
              <w:t>Đề nghị xem xét tăng mức hỗ trợ cho các đối tượng tham gia nhiệm vụ trực tiếp tại các thôn, xóm, tổ dân phố nhằm đảm bảo các hoạt động, đồng thời quy định cụ thể chính sách đ</w:t>
            </w:r>
            <w:r>
              <w:rPr>
                <w:sz w:val="22"/>
                <w:szCs w:val="22"/>
              </w:rPr>
              <w:t>ối với đối tượng bảo vệ dân phố</w:t>
            </w:r>
          </w:p>
        </w:tc>
        <w:tc>
          <w:tcPr>
            <w:tcW w:w="10206" w:type="dxa"/>
          </w:tcPr>
          <w:p w:rsidR="00E947F0" w:rsidRPr="00E947F0" w:rsidRDefault="00E947F0" w:rsidP="00E947F0">
            <w:pPr>
              <w:spacing w:before="60" w:after="60"/>
              <w:ind w:firstLine="170"/>
              <w:jc w:val="both"/>
              <w:rPr>
                <w:sz w:val="22"/>
                <w:szCs w:val="22"/>
              </w:rPr>
            </w:pPr>
            <w:r w:rsidRPr="00E947F0">
              <w:rPr>
                <w:sz w:val="22"/>
                <w:szCs w:val="22"/>
              </w:rPr>
              <w:t>Ngày 08/12/2020, HĐND tỉnh đã thông qua Nghị quyết số 258/2020/NQ-HĐND quy định chức danh, số lượng, mức khoán chi phụ cấp đối với người hoạt động không chuyên trách ở cấp xã, ở thôn, tổ dân phố; mức bồi dưỡng đối với người trực tiếp tham gia công việc của thôn, tổ dân phố. Theo đó, tại Nghị quyết này đã bổ sung phụ cấp cho các chức danh: Thôn đội trưởng (bằng 0,5 lần mức lương cơ sở/người/tháng và hưởng chế độ phụ cấp chức vụ chỉ huy dân quân tự vệ theo quy định tại điểm đ Khoản 1 Điều 7 Nghị định số 72/2020/NĐ-CP của Chính phủ); nhân viên y tế thôn, bản kiêm cộng tác viên dân số, y tế và gia đình (0,5 mức lương cơ sở/người/tháng đối với các xã vùng khó khăn và 0,3 mức lương cơ sở/người/tháng đối với các xã còn lại); hỗ trợ bồi dưỡng theo chính sách đặc thù của tỉnh đối với chức danh Công an viên thôn, bảo vệ dân phố bằng 0,5 lần mức lương cơ sở/người/tháng. Việc bổ sung phụ cấp cho các chức danh nói trên thì mức bồi dưỡng tính bình quân của những người trực tiếp tham gia công việc ở thôn, tổ dân phố còn lại đã tăng lên gấp gần 02 lần so với mức tính bình quân tại Nghị quyết số 156/2019/NQ-HĐND của HĐND tỉnh.</w:t>
            </w:r>
            <w:r>
              <w:rPr>
                <w:sz w:val="22"/>
                <w:szCs w:val="22"/>
              </w:rPr>
              <w:t xml:space="preserve"> </w:t>
            </w:r>
            <w:r w:rsidRPr="00E947F0">
              <w:rPr>
                <w:sz w:val="22"/>
                <w:szCs w:val="22"/>
              </w:rPr>
              <w:t>Đồng thời, liên Sở: Nội vụ, Tài chính đã có hướng dẫn triển khai thực hiện Nghị quyết số 258/2020/NQ-HĐND (số 324/SNV-STC ngày 08/3/2021). Tại Văn bản này cũng đã hướng dẫn các đơn vị tùy theo tình hình cụ thể người trực tiếp tham gia công việc ở thôn, tổ dân phố; thôn, tổ dân phố bố trí kiêm nhiệm hợp lý các nhóm nhiệm vụ để tăng mức bồi dưỡng cho người trực tiếp tham gia công việc ở thôn, tổ dân phố.</w:t>
            </w:r>
          </w:p>
        </w:tc>
      </w:tr>
      <w:tr w:rsidR="00E947F0" w:rsidRPr="00430456" w:rsidTr="0087350C">
        <w:tc>
          <w:tcPr>
            <w:tcW w:w="562" w:type="dxa"/>
            <w:vAlign w:val="center"/>
          </w:tcPr>
          <w:p w:rsidR="00E947F0" w:rsidRPr="00430456" w:rsidRDefault="00E947F0" w:rsidP="00A2251F">
            <w:pPr>
              <w:pStyle w:val="ListParagraph"/>
              <w:numPr>
                <w:ilvl w:val="0"/>
                <w:numId w:val="1"/>
              </w:numPr>
              <w:jc w:val="center"/>
              <w:rPr>
                <w:b/>
                <w:sz w:val="24"/>
                <w:szCs w:val="24"/>
              </w:rPr>
            </w:pPr>
          </w:p>
        </w:tc>
        <w:tc>
          <w:tcPr>
            <w:tcW w:w="4111" w:type="dxa"/>
            <w:vAlign w:val="center"/>
          </w:tcPr>
          <w:p w:rsidR="00E947F0" w:rsidRPr="00E947F0" w:rsidRDefault="00E947F0" w:rsidP="00A2251F">
            <w:pPr>
              <w:spacing w:before="60" w:after="60"/>
              <w:jc w:val="both"/>
              <w:rPr>
                <w:sz w:val="22"/>
                <w:szCs w:val="22"/>
              </w:rPr>
            </w:pPr>
            <w:r w:rsidRPr="00E947F0">
              <w:rPr>
                <w:sz w:val="22"/>
                <w:szCs w:val="22"/>
              </w:rPr>
              <w:t>Đề nghị tỉnh xem xét không thực hiện chính sách luân chuyển cán bộ công chức Địa chính các xã, thị trấn</w:t>
            </w:r>
          </w:p>
        </w:tc>
        <w:tc>
          <w:tcPr>
            <w:tcW w:w="10206" w:type="dxa"/>
          </w:tcPr>
          <w:p w:rsidR="00E947F0" w:rsidRPr="00E947F0" w:rsidRDefault="00E947F0" w:rsidP="00A2251F">
            <w:pPr>
              <w:spacing w:before="60" w:after="60"/>
              <w:ind w:firstLine="170"/>
              <w:jc w:val="both"/>
              <w:rPr>
                <w:sz w:val="22"/>
                <w:szCs w:val="22"/>
              </w:rPr>
            </w:pPr>
            <w:r w:rsidRPr="00E947F0">
              <w:rPr>
                <w:sz w:val="22"/>
                <w:szCs w:val="22"/>
              </w:rPr>
              <w:t>Theo quy định tại Điều 25 Luật Phòng chống tham nhũng năm 2018 và Điều 36 Nghị định số 59/2019/NĐ-CP ngày 01/7/2019 của Chính phủ quy định chi tiết một số điều và biện pháp thi hành Luật phòng, chống tham nhũng đã quy định danh mục vị trí công tác định kỳ phải chuyển đổi, trong đó quy định vị trí công tác thuộc lĩnh vực Địa chính phải chuyển đổi theo định kỳ. Vì vậy, phải thực hiện chuyển đổi vị trí công tác đối với công chức Địa chính theo quy định.</w:t>
            </w:r>
          </w:p>
        </w:tc>
      </w:tr>
    </w:tbl>
    <w:p w:rsidR="00430456" w:rsidRPr="00430456" w:rsidRDefault="00430456" w:rsidP="00430456">
      <w:pPr>
        <w:jc w:val="center"/>
        <w:rPr>
          <w:b/>
        </w:rPr>
      </w:pPr>
    </w:p>
    <w:sectPr w:rsidR="00430456" w:rsidRPr="00430456" w:rsidSect="00430456">
      <w:pgSz w:w="15840" w:h="12240" w:orient="landscape"/>
      <w:pgMar w:top="73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27F76"/>
    <w:multiLevelType w:val="hybridMultilevel"/>
    <w:tmpl w:val="B78AB3B2"/>
    <w:lvl w:ilvl="0" w:tplc="296A0C9E">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51"/>
    <w:rsid w:val="00117EB2"/>
    <w:rsid w:val="00133E9F"/>
    <w:rsid w:val="00137A38"/>
    <w:rsid w:val="001F0165"/>
    <w:rsid w:val="002A300C"/>
    <w:rsid w:val="00430456"/>
    <w:rsid w:val="008201DB"/>
    <w:rsid w:val="0087350C"/>
    <w:rsid w:val="00A2251F"/>
    <w:rsid w:val="00BA6851"/>
    <w:rsid w:val="00BD0D10"/>
    <w:rsid w:val="00CB4812"/>
    <w:rsid w:val="00DA10C0"/>
    <w:rsid w:val="00DA4476"/>
    <w:rsid w:val="00E947F0"/>
    <w:rsid w:val="00EC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42F02"/>
  <w15:chartTrackingRefBased/>
  <w15:docId w15:val="{C48F028E-1516-4118-95DF-550A426F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456"/>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0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0456"/>
    <w:pPr>
      <w:ind w:left="720"/>
      <w:contextualSpacing/>
    </w:pPr>
  </w:style>
  <w:style w:type="paragraph" w:styleId="BalloonText">
    <w:name w:val="Balloon Text"/>
    <w:basedOn w:val="Normal"/>
    <w:link w:val="BalloonTextChar"/>
    <w:uiPriority w:val="99"/>
    <w:semiHidden/>
    <w:unhideWhenUsed/>
    <w:rsid w:val="00BD0D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D1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6B8DE-3862-400A-A35E-0E5DF208F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8</Pages>
  <Words>5244</Words>
  <Characters>29891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2021-11-21T14:33:00Z</dcterms:created>
  <dc:creator>hatechvn@outlook.com</dc:creator>
  <cp:lastModifiedBy>hatechvn@outlook.com</cp:lastModifiedBy>
  <cp:lastPrinted>2021-11-26T08:17:00Z</cp:lastPrinted>
  <dcterms:modified xsi:type="dcterms:W3CDTF">2021-12-14T06:49:00Z</dcterms:modified>
  <cp:revision>8</cp:revision>
  <dc:title>Phòng Tổng hợp Thông tin dân nguyện - QH-HĐND tỉnh Hà Tĩnh</dc:title>
</cp:coreProperties>
</file>