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1"/>
        <w:gridCol w:w="6017"/>
      </w:tblGrid>
      <w:tr>
        <w:trPr>
          <w:trHeight w:val="1244"/>
        </w:trPr>
        <w:tc>
          <w:tcPr>
            <w:tcW w:w="1761" w:type="pct"/>
          </w:tcPr>
          <w:p>
            <w:pPr>
              <w:jc w:val="center"/>
              <w:rPr>
                <w:b/>
                <w:sz w:val="26"/>
                <w:szCs w:val="26"/>
              </w:rPr>
            </w:pPr>
            <w:r>
              <w:rPr>
                <w:b/>
                <w:sz w:val="26"/>
                <w:szCs w:val="26"/>
              </w:rPr>
              <w:t>HỘI ĐỒNG NHÂN DÂN</w:t>
            </w:r>
          </w:p>
          <w:p>
            <w:pPr>
              <w:jc w:val="center"/>
              <w:rPr>
                <w:b/>
                <w:sz w:val="26"/>
                <w:szCs w:val="26"/>
              </w:rPr>
            </w:pPr>
            <w:r>
              <w:rPr>
                <w:b/>
                <w:sz w:val="26"/>
                <w:szCs w:val="26"/>
              </w:rPr>
              <w:t>TỈNH HÀ TĨNH</w:t>
            </w:r>
          </w:p>
          <w:p>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648665</wp:posOffset>
                      </wp:positionH>
                      <wp:positionV relativeFrom="paragraph">
                        <wp:posOffset>41275</wp:posOffset>
                      </wp:positionV>
                      <wp:extent cx="687629"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25pt" to="10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qs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s/jQbLzCivSsheZ+njXWfObQoGAWWQgXVSE5OL9YF&#10;HiTvQ8Kxgo2QMnZeKtQVeDEdT2OCBSlYcIYwaw77Uhp0ImF24heL8p7HMANHxSJYwwlb32xHhLza&#10;/nKpAp6vxNO5Wdfh+LEYLdbz9TwbZOPZepCNqmrwaVNmg9kmfZpWk6osq/RnoJZmeSMY4yqw6wc1&#10;zf5uEG5P5jpi91G9y5C8R496ebL9P5KOrQzdu87BHthla/oW+9mMwbd3FIb/ce/tx9e++gUAAP//&#10;AwBQSwMEFAAGAAgAAAAhAHdSmkTZAAAABwEAAA8AAABkcnMvZG93bnJldi54bWxMjsFOwzAQRO9I&#10;/IO1SFyq1m4QFUrjVAjIjQsFxHUbL0lEvE5jtw18PQsXuO3TjGZfsZl8r440xi6wheXCgCKug+u4&#10;sfDyXM1vQMWE7LAPTBY+KcKmPD8rMHfhxE903KZGyQjHHC20KQ251rFuyWNchIFYsvcwekyCY6Pd&#10;iCcZ973OjFlpjx3LhxYHumup/tgevIVYvdK++prVM/N21QTK9vePD2jt5cV0uwaVaEp/ZfjRF3Uo&#10;xWkXDuyi6oVNlknVwuoalOTZ0six+2VdFvq/f/kNAAD//wMAUEsBAi0AFAAGAAgAAAAhALaDOJL+&#10;AAAA4QEAABMAAAAAAAAAAAAAAAAAAAAAAFtDb250ZW50X1R5cGVzXS54bWxQSwECLQAUAAYACAAA&#10;ACEAOP0h/9YAAACUAQAACwAAAAAAAAAAAAAAAAAvAQAAX3JlbHMvLnJlbHNQSwECLQAUAAYACAAA&#10;ACEADB+KrBwCAAA1BAAADgAAAAAAAAAAAAAAAAAuAgAAZHJzL2Uyb0RvYy54bWxQSwECLQAUAAYA&#10;CAAAACEAd1KaRNkAAAAHAQAADwAAAAAAAAAAAAAAAAB2BAAAZHJzL2Rvd25yZXYueG1sUEsFBgAA&#10;AAAEAAQA8wAAAHwFAAAAAA==&#10;"/>
                  </w:pict>
                </mc:Fallback>
              </mc:AlternateContent>
            </w:r>
          </w:p>
          <w:p>
            <w:pPr>
              <w:jc w:val="center"/>
              <w:rPr>
                <w:b/>
                <w:sz w:val="26"/>
                <w:szCs w:val="26"/>
                <w:lang w:val="vi-VN"/>
              </w:rPr>
            </w:pPr>
            <w:r>
              <w:rPr>
                <w:sz w:val="26"/>
                <w:szCs w:val="26"/>
              </w:rPr>
              <w:t>Số: 341/BC-HĐND</w:t>
            </w:r>
          </w:p>
        </w:tc>
        <w:tc>
          <w:tcPr>
            <w:tcW w:w="3239" w:type="pct"/>
          </w:tcPr>
          <w:p>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pPr>
              <w:jc w:val="center"/>
              <w:rPr>
                <w:b/>
                <w:sz w:val="26"/>
                <w:szCs w:val="26"/>
              </w:rPr>
            </w:pPr>
            <w:r>
              <w:rPr>
                <w:b/>
                <w:sz w:val="26"/>
                <w:szCs w:val="26"/>
              </w:rPr>
              <w:t>Độc lập - Tự do - Hạnh phúc</w:t>
            </w:r>
          </w:p>
          <w:p>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855675</wp:posOffset>
                      </wp:positionH>
                      <wp:positionV relativeFrom="paragraph">
                        <wp:posOffset>55880</wp:posOffset>
                      </wp:positionV>
                      <wp:extent cx="1997049"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4.4pt" to="224.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X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LJ7SfIERvfkSUtwSjXX+E9c9CkaJpVBBNlKQ44vz&#10;gQgpbiHhWOmNkDK2Xio0lHgxnUxjgtNSsOAMYc62+0padCRheOIXqwLPY5jVB8UiWMcJW19tT4S8&#10;2HC5VAEPSgE6V+syHT8W6WI9X8/zUT6ZrUd5Wtejj5sqH8022dO0/lBXVZ39DNSyvOgEY1wFdrdJ&#10;zfK/m4Trm7nM2H1W7zIkb9GjXkD29o+kYy9D+y6DsNfsvLW3HsNwxuDrQwrT/7gH+/G5r34BAAD/&#10;/wMAUEsDBBQABgAIAAAAIQDPoEP82gAAAAcBAAAPAAAAZHJzL2Rvd25yZXYueG1sTI7BTsMwEETv&#10;SPyDtUhcqtahiVAJcSoE5MaFQsV1Gy9JRLxOY7cNfD0LFzitnmY0+4r15Hp1pDF0ng1cLRJQxLW3&#10;HTcGXl+q+QpUiMgWe89k4JMCrMvzswJz60/8TMdNbJSMcMjRQBvjkGsd6pYchoUfiCV796PDKDg2&#10;2o54knHX62WSXGuHHcuHFge6b6n+2BycgVBtaV99zepZ8pY2npb7h6dHNObyYrq7BRVpin9l+NEX&#10;dSjFaecPbIPqhdNM1KOBlRzJs+wmBbX7ZV0W+r9/+Q0AAP//AwBQSwECLQAUAAYACAAAACEAtoM4&#10;kv4AAADhAQAAEwAAAAAAAAAAAAAAAAAAAAAAW0NvbnRlbnRfVHlwZXNdLnhtbFBLAQItABQABgAI&#10;AAAAIQA4/SH/1gAAAJQBAAALAAAAAAAAAAAAAAAAAC8BAABfcmVscy8ucmVsc1BLAQItABQABgAI&#10;AAAAIQAx2XX6HQIAADYEAAAOAAAAAAAAAAAAAAAAAC4CAABkcnMvZTJvRG9jLnhtbFBLAQItABQA&#10;BgAIAAAAIQDPoEP82gAAAAcBAAAPAAAAAAAAAAAAAAAAAHcEAABkcnMvZG93bnJldi54bWxQSwUG&#10;AAAAAAQABADzAAAAfgUAAAAA&#10;"/>
                  </w:pict>
                </mc:Fallback>
              </mc:AlternateContent>
            </w:r>
          </w:p>
          <w:p>
            <w:pPr>
              <w:jc w:val="center"/>
              <w:rPr>
                <w:sz w:val="26"/>
                <w:szCs w:val="26"/>
              </w:rPr>
            </w:pPr>
            <w:r>
              <w:rPr>
                <w:i/>
                <w:sz w:val="26"/>
                <w:szCs w:val="26"/>
              </w:rPr>
              <w:t>Hà Tĩnh, ngày 11 tháng 7 năm 2023</w:t>
            </w:r>
          </w:p>
        </w:tc>
      </w:tr>
    </w:tbl>
    <w:p>
      <w:pPr>
        <w:jc w:val="center"/>
        <w:outlineLvl w:val="0"/>
        <w:rPr>
          <w:b/>
          <w:sz w:val="28"/>
          <w:szCs w:val="28"/>
        </w:rPr>
      </w:pPr>
    </w:p>
    <w:p>
      <w:pPr>
        <w:jc w:val="center"/>
        <w:outlineLvl w:val="0"/>
        <w:rPr>
          <w:b/>
          <w:sz w:val="28"/>
          <w:szCs w:val="28"/>
          <w:lang w:val="vi-VN"/>
        </w:rPr>
      </w:pPr>
      <w:r>
        <w:rPr>
          <w:b/>
          <w:sz w:val="28"/>
          <w:szCs w:val="28"/>
          <w:lang w:val="vi-VN"/>
        </w:rPr>
        <w:t>BÁO CÁO</w:t>
      </w:r>
    </w:p>
    <w:p>
      <w:pPr>
        <w:jc w:val="center"/>
        <w:rPr>
          <w:b/>
          <w:sz w:val="28"/>
          <w:szCs w:val="28"/>
          <w:lang w:val="it-IT"/>
        </w:rPr>
      </w:pPr>
      <w:r>
        <w:rPr>
          <w:b/>
          <w:spacing w:val="-6"/>
          <w:sz w:val="28"/>
          <w:szCs w:val="28"/>
          <w:lang w:val="vi-VN"/>
        </w:rPr>
        <w:t>Thẩm tra</w:t>
      </w:r>
      <w:r>
        <w:rPr>
          <w:b/>
          <w:spacing w:val="-6"/>
          <w:sz w:val="28"/>
          <w:szCs w:val="28"/>
        </w:rPr>
        <w:t xml:space="preserve"> Tờ trình và dự thảo Nghị quyết về</w:t>
      </w:r>
      <w:r>
        <w:rPr>
          <w:b/>
          <w:spacing w:val="-6"/>
          <w:sz w:val="28"/>
          <w:szCs w:val="28"/>
          <w:lang w:val="vi-VN"/>
        </w:rPr>
        <w:t xml:space="preserve"> </w:t>
      </w:r>
      <w:r>
        <w:rPr>
          <w:b/>
          <w:spacing w:val="-6"/>
          <w:sz w:val="28"/>
          <w:szCs w:val="28"/>
        </w:rPr>
        <w:t xml:space="preserve">bổ sung </w:t>
      </w:r>
      <w:r>
        <w:rPr>
          <w:b/>
          <w:sz w:val="28"/>
          <w:szCs w:val="28"/>
          <w:lang w:val="it-IT"/>
        </w:rPr>
        <w:t xml:space="preserve">kế hoạch </w:t>
      </w:r>
    </w:p>
    <w:p>
      <w:pPr>
        <w:jc w:val="center"/>
        <w:rPr>
          <w:b/>
          <w:spacing w:val="-6"/>
          <w:sz w:val="32"/>
          <w:szCs w:val="28"/>
        </w:rPr>
      </w:pPr>
      <w:r>
        <w:rPr>
          <w:b/>
          <w:sz w:val="28"/>
          <w:szCs w:val="28"/>
          <w:lang w:val="it-IT"/>
        </w:rPr>
        <w:t>đầu tư công trung hạn vốn ngân sách địa phương giai đoạn 2021-2025</w:t>
      </w:r>
      <w:r>
        <w:rPr>
          <w:b/>
        </w:rPr>
        <w:t xml:space="preserve"> </w:t>
      </w:r>
      <w:r>
        <w:rPr>
          <w:b/>
          <w:sz w:val="28"/>
          <w:lang w:val="nl-NL"/>
        </w:rPr>
        <w:t>và phân bổ kế hoạch vốn đầu tư công năm 2023</w:t>
      </w:r>
    </w:p>
    <w:p>
      <w:pPr>
        <w:jc w:val="center"/>
        <w:rPr>
          <w:iCs/>
          <w:sz w:val="42"/>
          <w:szCs w:val="28"/>
          <w:lang w:val="vi-VN"/>
        </w:rPr>
      </w:pPr>
      <w:r>
        <w:rPr>
          <w:bCs/>
          <w:noProof/>
          <w:sz w:val="42"/>
          <w:szCs w:val="28"/>
        </w:rPr>
        <mc:AlternateContent>
          <mc:Choice Requires="wps">
            <w:drawing>
              <wp:anchor distT="0" distB="0" distL="114300" distR="114300" simplePos="0" relativeHeight="251661312" behindDoc="0" locked="0" layoutInCell="1" allowOverlap="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pPr>
        <w:spacing w:after="120" w:line="380" w:lineRule="exact"/>
        <w:ind w:firstLine="720"/>
        <w:jc w:val="both"/>
        <w:rPr>
          <w:sz w:val="28"/>
          <w:szCs w:val="28"/>
        </w:rPr>
      </w:pPr>
      <w:r>
        <w:rPr>
          <w:sz w:val="28"/>
          <w:szCs w:val="28"/>
          <w:lang w:val="pt-BR"/>
        </w:rPr>
        <w:t xml:space="preserve">Thực hiện chức năng, nhiệm vụ theo quy định và phân công của Thường trực Hội đồng nhân dân tỉnh, </w:t>
      </w:r>
      <w:r>
        <w:rPr>
          <w:sz w:val="28"/>
          <w:szCs w:val="28"/>
          <w:lang w:val="sv-SE"/>
        </w:rPr>
        <w:t>Ban Kinh tế - Ngân sách báo cáo kết quả thẩm tra</w:t>
      </w:r>
      <w:r>
        <w:rPr>
          <w:sz w:val="28"/>
          <w:szCs w:val="28"/>
          <w:lang w:val="pt-BR"/>
        </w:rPr>
        <w:t xml:space="preserve"> Tờ trình số 275/TTr-UBND ngày 07/7/2023 của Ủy ban nhân dân tỉnh và Dự thảo Nghị quyết về bổ sung kế hoạch đầu tư công trung hạn vốn cân đối ngân sách địa phương giai đoạn 2021-2025 (Sau đây gọi tắt là: </w:t>
      </w:r>
      <w:r>
        <w:rPr>
          <w:rFonts w:eastAsia="Times New Roman"/>
          <w:sz w:val="28"/>
          <w:szCs w:val="28"/>
        </w:rPr>
        <w:t xml:space="preserve">KHĐTCTH bổ sung) </w:t>
      </w:r>
      <w:r>
        <w:rPr>
          <w:sz w:val="28"/>
          <w:szCs w:val="28"/>
          <w:lang w:val="nl-NL"/>
        </w:rPr>
        <w:t>và phân bổ kế hoạch vốn đầu tư công năm 2023</w:t>
      </w:r>
      <w:r>
        <w:rPr>
          <w:sz w:val="28"/>
          <w:szCs w:val="28"/>
        </w:rPr>
        <w:t xml:space="preserve"> như sau:</w:t>
      </w:r>
    </w:p>
    <w:p>
      <w:pPr>
        <w:spacing w:after="120" w:line="380" w:lineRule="exact"/>
        <w:ind w:firstLine="720"/>
        <w:jc w:val="both"/>
        <w:rPr>
          <w:b/>
          <w:iCs/>
          <w:sz w:val="28"/>
          <w:szCs w:val="28"/>
        </w:rPr>
      </w:pPr>
      <w:r>
        <w:rPr>
          <w:b/>
          <w:iCs/>
          <w:sz w:val="28"/>
          <w:szCs w:val="28"/>
        </w:rPr>
        <w:t xml:space="preserve">1. </w:t>
      </w:r>
      <w:bookmarkStart w:id="0" w:name="_Toc530131107"/>
      <w:bookmarkStart w:id="1" w:name="dieu_58"/>
      <w:r>
        <w:rPr>
          <w:b/>
          <w:iCs/>
          <w:sz w:val="28"/>
          <w:szCs w:val="28"/>
        </w:rPr>
        <w:t>Sự cần thiết, căn cứ pháp lý, thẩm quyền ban hành Nghị quyết</w:t>
      </w:r>
    </w:p>
    <w:p>
      <w:pPr>
        <w:spacing w:after="120" w:line="380" w:lineRule="exact"/>
        <w:ind w:firstLine="720"/>
        <w:jc w:val="both"/>
        <w:rPr>
          <w:sz w:val="28"/>
          <w:szCs w:val="28"/>
          <w:lang w:val="pt-BR"/>
        </w:rPr>
      </w:pPr>
      <w:r>
        <w:rPr>
          <w:sz w:val="28"/>
          <w:szCs w:val="28"/>
          <w:lang w:val="pt-BR"/>
        </w:rPr>
        <w:t xml:space="preserve">Kế hoạch đầu tư công trung hạn vốn cân đối ngân sách địa phương giai đoạn 2021-2025 được Hội đồng nhân dân tỉnh thông qua tại Nghị quyết số 28/NQ-HĐND ngày 06/11/2021. Sau hơn 1,5 năm thực hiện, Nghị quyết đã góp phần quan trọng trong quản lý nhà nước về đầu tư công, làm rõ mục tiêu, định hướng, danh mục công trình, dự án đầu tư công, phương án phân bổ vốn, khả năng cân đối vốn trung hạn, các giải pháp huy động và nguồn lực triển khai thực hiện; từ đó các đơn vị, địa phương chủ động trong việc thực hiện các dự án đầu tư thuộc phạm vi quản lý, đảm bảo hiệu quả </w:t>
      </w:r>
      <w:r>
        <w:rPr>
          <w:color w:val="000000"/>
          <w:sz w:val="28"/>
          <w:szCs w:val="28"/>
          <w:shd w:val="clear" w:color="auto" w:fill="FFFFFF"/>
        </w:rPr>
        <w:t>sử dụng vốn đầu tư</w:t>
      </w:r>
      <w:r>
        <w:rPr>
          <w:sz w:val="28"/>
          <w:szCs w:val="28"/>
          <w:lang w:val="pt-BR"/>
        </w:rPr>
        <w:t>.</w:t>
      </w:r>
    </w:p>
    <w:p>
      <w:pPr>
        <w:spacing w:after="120" w:line="380" w:lineRule="exact"/>
        <w:ind w:firstLine="720"/>
        <w:jc w:val="both"/>
        <w:rPr>
          <w:sz w:val="28"/>
          <w:szCs w:val="28"/>
          <w:lang w:val="pt-BR"/>
        </w:rPr>
      </w:pPr>
      <w:r>
        <w:rPr>
          <w:sz w:val="28"/>
          <w:szCs w:val="28"/>
          <w:lang w:val="pt-BR"/>
        </w:rPr>
        <w:t>Hiện nay, nguồn vốn tăng thu, tiết kiệm chi năm 2021, 2022</w:t>
      </w:r>
      <w:r>
        <w:rPr>
          <w:rStyle w:val="FootnoteReference"/>
          <w:sz w:val="28"/>
          <w:szCs w:val="28"/>
        </w:rPr>
        <w:footnoteReference w:id="1"/>
      </w:r>
      <w:r>
        <w:rPr>
          <w:sz w:val="28"/>
          <w:szCs w:val="28"/>
          <w:lang w:val="pt-BR"/>
        </w:rPr>
        <w:t xml:space="preserve"> được huy động thêm </w:t>
      </w:r>
      <w:r>
        <w:rPr>
          <w:iCs/>
          <w:sz w:val="28"/>
          <w:szCs w:val="28"/>
        </w:rPr>
        <w:t>2.827.100 triệu đồng</w:t>
      </w:r>
      <w:r>
        <w:rPr>
          <w:sz w:val="28"/>
          <w:szCs w:val="28"/>
          <w:lang w:val="pt-BR"/>
        </w:rPr>
        <w:t xml:space="preserve"> để dành cho đầu tư</w:t>
      </w:r>
      <w:r>
        <w:rPr>
          <w:rStyle w:val="FootnoteReference"/>
          <w:sz w:val="28"/>
          <w:szCs w:val="28"/>
          <w:lang w:val="pt-BR"/>
        </w:rPr>
        <w:footnoteReference w:id="2"/>
      </w:r>
      <w:r>
        <w:rPr>
          <w:sz w:val="28"/>
          <w:szCs w:val="28"/>
          <w:lang w:val="pt-BR"/>
        </w:rPr>
        <w:t xml:space="preserve">; bên cạnh đó nhu cầu sử dụng và khả năng triển khai thực hiện giữa các cơ quan, đơn vị, địa phương có sự thay đổi thì việc Ủy ban nhân dân tỉnh trình Hội đồng nhân dân tỉnh điều chỉnh, bổ sung kế hoạch đầu tư công trung hạn vốn cân đối ngân sách địa phương giai đoạn 2021-2025, đồng thời phân bổ kế hoạch vốn năm 2023 (bổ sung) là cần thiết và đúng thẩm quyền quy định tại khoản 7 Điều 67 </w:t>
      </w:r>
      <w:r>
        <w:rPr>
          <w:sz w:val="28"/>
          <w:szCs w:val="28"/>
          <w:lang w:val="pl-PL"/>
        </w:rPr>
        <w:t>Luật Đầu tư công 2019.</w:t>
      </w:r>
    </w:p>
    <w:p>
      <w:pPr>
        <w:spacing w:after="120" w:line="380" w:lineRule="exact"/>
        <w:ind w:firstLine="720"/>
        <w:jc w:val="both"/>
        <w:rPr>
          <w:sz w:val="28"/>
          <w:szCs w:val="28"/>
          <w:lang w:val="nl-NL"/>
        </w:rPr>
      </w:pPr>
      <w:r>
        <w:rPr>
          <w:sz w:val="28"/>
          <w:szCs w:val="28"/>
          <w:lang w:val="pt-BR"/>
        </w:rPr>
        <w:t>Tờ trình và dự thảo Nghị quyết đã có đầy đủ hồ sơ thủ tục, căn cứ pháp lý liên quan</w:t>
      </w:r>
      <w:r>
        <w:rPr>
          <w:sz w:val="28"/>
          <w:szCs w:val="28"/>
          <w:vertAlign w:val="superscript"/>
          <w:lang w:val="pt-BR"/>
        </w:rPr>
        <w:footnoteReference w:id="3"/>
      </w:r>
      <w:r>
        <w:rPr>
          <w:sz w:val="28"/>
          <w:szCs w:val="28"/>
          <w:lang w:val="pt-BR"/>
        </w:rPr>
        <w:t xml:space="preserve">, được Ban Thường vụ, Ban Chấp hành Đảng bộ tỉnh, Thường trực </w:t>
      </w:r>
      <w:r>
        <w:rPr>
          <w:sz w:val="28"/>
          <w:szCs w:val="28"/>
          <w:lang w:val="pt-BR"/>
        </w:rPr>
        <w:lastRenderedPageBreak/>
        <w:t>Hội đồng nhân dân tỉnh thống nhất</w:t>
      </w:r>
      <w:r>
        <w:rPr>
          <w:sz w:val="28"/>
          <w:szCs w:val="28"/>
          <w:vertAlign w:val="superscript"/>
          <w:lang w:val="pt-BR"/>
        </w:rPr>
        <w:footnoteReference w:id="4"/>
      </w:r>
      <w:r>
        <w:rPr>
          <w:sz w:val="28"/>
          <w:szCs w:val="28"/>
          <w:lang w:val="pt-BR"/>
        </w:rPr>
        <w:t xml:space="preserve">. </w:t>
      </w:r>
      <w:r>
        <w:rPr>
          <w:rFonts w:eastAsia="Times New Roman"/>
          <w:sz w:val="28"/>
          <w:szCs w:val="28"/>
        </w:rPr>
        <w:t xml:space="preserve">KHĐTCTH bổ sung </w:t>
      </w:r>
      <w:r>
        <w:rPr>
          <w:sz w:val="28"/>
          <w:szCs w:val="28"/>
          <w:shd w:val="clear" w:color="auto" w:fill="FFFFFF"/>
        </w:rPr>
        <w:t xml:space="preserve">đã bám sát </w:t>
      </w:r>
      <w:r>
        <w:rPr>
          <w:sz w:val="28"/>
          <w:szCs w:val="28"/>
          <w:lang w:val="nl-NL"/>
        </w:rPr>
        <w:t>quy định của pháp luật hiện hành về đầu tư công;</w:t>
      </w:r>
      <w:r>
        <w:rPr>
          <w:sz w:val="28"/>
          <w:szCs w:val="28"/>
          <w:shd w:val="clear" w:color="auto" w:fill="FFFFFF"/>
        </w:rPr>
        <w:t xml:space="preserve"> các mục tiêu, định hướng phát triển của Chiến lược phát triển kinh tế - xã hội 10 năm 2021-2030, Kế hoạch phát triển kinh tế - xã hội 5 năm 2021-2025 của tỉnh, của quốc gia</w:t>
      </w:r>
      <w:r>
        <w:rPr>
          <w:sz w:val="28"/>
          <w:szCs w:val="28"/>
          <w:lang w:val="nl-NL"/>
        </w:rPr>
        <w:t>, Nghị quyết Đại hội tỉnh Đảng bộ lần thứ XIX và tình hình thực tiễn của địa phương.</w:t>
      </w:r>
    </w:p>
    <w:p>
      <w:pPr>
        <w:spacing w:after="120" w:line="380" w:lineRule="exact"/>
        <w:ind w:firstLine="720"/>
        <w:jc w:val="both"/>
        <w:rPr>
          <w:rFonts w:eastAsia="Times New Roman"/>
          <w:b/>
          <w:sz w:val="28"/>
          <w:szCs w:val="28"/>
        </w:rPr>
      </w:pPr>
      <w:r>
        <w:rPr>
          <w:b/>
          <w:sz w:val="28"/>
          <w:szCs w:val="28"/>
          <w:lang w:val="pt-BR"/>
        </w:rPr>
        <w:t xml:space="preserve">2. </w:t>
      </w:r>
      <w:r>
        <w:rPr>
          <w:rFonts w:eastAsia="Times New Roman"/>
          <w:b/>
          <w:sz w:val="28"/>
          <w:szCs w:val="28"/>
        </w:rPr>
        <w:t>Về nội dung dự thảo Nghị quyết</w:t>
      </w:r>
    </w:p>
    <w:p>
      <w:pPr>
        <w:spacing w:after="120" w:line="380" w:lineRule="exact"/>
        <w:ind w:firstLine="720"/>
        <w:jc w:val="both"/>
        <w:rPr>
          <w:rFonts w:eastAsia="Times New Roman"/>
          <w:i/>
          <w:sz w:val="28"/>
          <w:szCs w:val="28"/>
        </w:rPr>
      </w:pPr>
      <w:r>
        <w:rPr>
          <w:rFonts w:eastAsia="Times New Roman"/>
          <w:i/>
          <w:sz w:val="28"/>
          <w:szCs w:val="28"/>
        </w:rPr>
        <w:t>2.1. Trình tự lập, hồ sơ, tài liệu báo cáo</w:t>
      </w:r>
    </w:p>
    <w:p>
      <w:pPr>
        <w:tabs>
          <w:tab w:val="left" w:pos="1120"/>
        </w:tabs>
        <w:spacing w:after="120" w:line="380" w:lineRule="exact"/>
        <w:ind w:firstLine="720"/>
        <w:jc w:val="both"/>
        <w:rPr>
          <w:rFonts w:eastAsia="Times New Roman"/>
          <w:sz w:val="28"/>
          <w:szCs w:val="28"/>
        </w:rPr>
      </w:pPr>
      <w:r>
        <w:rPr>
          <w:rFonts w:eastAsia="Times New Roman"/>
          <w:sz w:val="28"/>
          <w:szCs w:val="28"/>
        </w:rPr>
        <w:t>Theo quy định tại Điều 49 của Luật Đầu tư công năm 2019, trình tự lập và báo cáo của UBND tỉnh còn thiếu thông tin về tình hình triển khai và kết quả thực hiện Kế hoạch đầu tư công trung hạn giai đoạn (2021-2023)</w:t>
      </w:r>
      <w:r>
        <w:rPr>
          <w:sz w:val="28"/>
          <w:szCs w:val="28"/>
        </w:rPr>
        <w:t xml:space="preserve"> </w:t>
      </w:r>
      <w:r>
        <w:rPr>
          <w:rFonts w:eastAsia="Times New Roman"/>
          <w:sz w:val="28"/>
          <w:szCs w:val="28"/>
        </w:rPr>
        <w:t>từ nguồn vốn ngân sách tỉnh. Nội dung này, đề nghị Ủy ban nhân dân tỉnh báo cáo rõ thêm, để Hội đồng nhân dân tỉnh có căn cứ thảo luận, biểu quyết.</w:t>
      </w:r>
    </w:p>
    <w:p>
      <w:pPr>
        <w:tabs>
          <w:tab w:val="left" w:pos="1120"/>
        </w:tabs>
        <w:spacing w:after="120" w:line="380" w:lineRule="exact"/>
        <w:ind w:firstLine="720"/>
        <w:jc w:val="both"/>
        <w:rPr>
          <w:rFonts w:eastAsia="Times New Roman"/>
          <w:sz w:val="28"/>
          <w:szCs w:val="28"/>
        </w:rPr>
      </w:pPr>
      <w:r>
        <w:rPr>
          <w:i/>
          <w:sz w:val="28"/>
          <w:szCs w:val="28"/>
          <w:lang w:val="pt-BR"/>
        </w:rPr>
        <w:t xml:space="preserve">2.2. </w:t>
      </w:r>
      <w:r>
        <w:rPr>
          <w:rFonts w:eastAsia="Times New Roman"/>
          <w:i/>
          <w:sz w:val="28"/>
          <w:szCs w:val="28"/>
        </w:rPr>
        <w:t>Về khả năng cân đối nguồn vốn:</w:t>
      </w:r>
    </w:p>
    <w:p>
      <w:pPr>
        <w:tabs>
          <w:tab w:val="left" w:pos="1120"/>
        </w:tabs>
        <w:spacing w:after="120" w:line="380" w:lineRule="exact"/>
        <w:ind w:firstLine="720"/>
        <w:jc w:val="both"/>
        <w:rPr>
          <w:i/>
          <w:sz w:val="28"/>
          <w:szCs w:val="28"/>
          <w:lang w:val="pt-BR"/>
        </w:rPr>
      </w:pPr>
      <w:r>
        <w:rPr>
          <w:rFonts w:eastAsia="Times New Roman"/>
          <w:sz w:val="28"/>
          <w:szCs w:val="28"/>
        </w:rPr>
        <w:t>Ban Kinh tế - Ngân sách cho rằng trên</w:t>
      </w:r>
      <w:r>
        <w:rPr>
          <w:rFonts w:eastAsia="Times New Roman"/>
          <w:spacing w:val="-2"/>
          <w:sz w:val="28"/>
          <w:szCs w:val="28"/>
        </w:rPr>
        <w:t xml:space="preserve"> thực tế quá trình điều hành ngân sách nhà nước hằng năm, ngoài những nhiệm vụ chi thường xuyên, chi hỗ trợ phát triển thì trong các đề án, chính sách có phần vốn dành cho đầu tư, như: chính sách thực hiện Nghị quyết số </w:t>
      </w:r>
      <w:hyperlink r:id="rId8" w:history="1">
        <w:r>
          <w:rPr>
            <w:rFonts w:eastAsia="Times New Roman"/>
            <w:spacing w:val="-2"/>
            <w:sz w:val="28"/>
            <w:szCs w:val="28"/>
          </w:rPr>
          <w:t>96/2022/NQ-HĐND</w:t>
        </w:r>
      </w:hyperlink>
      <w:r>
        <w:rPr>
          <w:rFonts w:eastAsia="Times New Roman"/>
          <w:spacing w:val="-2"/>
          <w:sz w:val="28"/>
          <w:szCs w:val="28"/>
        </w:rPr>
        <w:t xml:space="preserve"> ngày 16/12/2022 của HĐND tỉnh về một số chính sách hỗ trợ phát triển công nghiệp, tiểu thủ công nghiệp tỉnh Hà Tĩnh đến năm 2025; nguồn vay từ các Quỹ đầu tư,… Theo báo cáo của Ủy ban nhân dân tỉnh, dự kiến giai đoạn 2023-2025 sẽ có khoảng </w:t>
      </w:r>
      <w:r>
        <w:rPr>
          <w:sz w:val="28"/>
          <w:szCs w:val="28"/>
        </w:rPr>
        <w:t>5.600.000 triệu đồng</w:t>
      </w:r>
      <w:r>
        <w:rPr>
          <w:rStyle w:val="FootnoteReference"/>
          <w:sz w:val="28"/>
          <w:szCs w:val="28"/>
        </w:rPr>
        <w:footnoteReference w:id="5"/>
      </w:r>
      <w:r>
        <w:rPr>
          <w:sz w:val="28"/>
          <w:szCs w:val="28"/>
        </w:rPr>
        <w:t xml:space="preserve">. Tuy vậy, </w:t>
      </w:r>
      <w:r>
        <w:rPr>
          <w:rFonts w:eastAsia="Times New Roman"/>
          <w:sz w:val="28"/>
          <w:szCs w:val="28"/>
        </w:rPr>
        <w:t xml:space="preserve">KHĐTCTH bổ sung này chỉ đưa ra khả năng thực có từ </w:t>
      </w:r>
      <w:r>
        <w:rPr>
          <w:sz w:val="28"/>
          <w:szCs w:val="28"/>
          <w:lang w:val="pt-BR"/>
        </w:rPr>
        <w:t xml:space="preserve">tăng thu, tiết kiệm chi năm 2021, 2022 dành cho đầu tư là </w:t>
      </w:r>
      <w:r>
        <w:rPr>
          <w:iCs/>
          <w:sz w:val="28"/>
          <w:szCs w:val="28"/>
        </w:rPr>
        <w:t>2.827.100 triệu đồng. Cần phải xem xét, tính toán phương án tương ứng với dự kiến nguồn dành cho chi đầu tư của cả giai đoạn.</w:t>
      </w:r>
    </w:p>
    <w:p>
      <w:pPr>
        <w:tabs>
          <w:tab w:val="left" w:pos="1120"/>
        </w:tabs>
        <w:spacing w:after="120" w:line="380" w:lineRule="exact"/>
        <w:ind w:firstLine="720"/>
        <w:jc w:val="both"/>
        <w:rPr>
          <w:i/>
          <w:sz w:val="28"/>
          <w:szCs w:val="28"/>
          <w:lang w:val="pt-BR"/>
        </w:rPr>
      </w:pPr>
      <w:r>
        <w:rPr>
          <w:i/>
          <w:sz w:val="28"/>
          <w:szCs w:val="28"/>
          <w:lang w:val="pt-BR"/>
        </w:rPr>
        <w:t>2.2. Phương án phân bổ:</w:t>
      </w:r>
    </w:p>
    <w:p>
      <w:pPr>
        <w:tabs>
          <w:tab w:val="left" w:pos="1120"/>
        </w:tabs>
        <w:spacing w:after="120" w:line="380" w:lineRule="exact"/>
        <w:ind w:firstLine="720"/>
        <w:jc w:val="both"/>
        <w:rPr>
          <w:spacing w:val="-4"/>
          <w:sz w:val="28"/>
          <w:szCs w:val="28"/>
          <w:lang w:val="pt-BR"/>
        </w:rPr>
      </w:pPr>
      <w:r>
        <w:rPr>
          <w:spacing w:val="-4"/>
          <w:sz w:val="28"/>
          <w:szCs w:val="28"/>
          <w:lang w:val="pt-BR"/>
        </w:rPr>
        <w:t xml:space="preserve">Ban Kinh tế - Ngân sách thống nhất với </w:t>
      </w:r>
      <w:r>
        <w:rPr>
          <w:sz w:val="28"/>
          <w:szCs w:val="28"/>
        </w:rPr>
        <w:t xml:space="preserve">nguyên tắc, tiêu chí phân bổ tại </w:t>
      </w:r>
      <w:r>
        <w:rPr>
          <w:sz w:val="28"/>
          <w:szCs w:val="28"/>
          <w:lang w:val="pt-BR"/>
        </w:rPr>
        <w:t xml:space="preserve">Tờ trình số 275/TTr-UBND ngày 07/7/2023 của Ủy ban nhân dân tỉnh </w:t>
      </w:r>
      <w:r>
        <w:rPr>
          <w:sz w:val="28"/>
          <w:szCs w:val="28"/>
        </w:rPr>
        <w:t xml:space="preserve">và </w:t>
      </w:r>
      <w:r>
        <w:rPr>
          <w:spacing w:val="-4"/>
          <w:sz w:val="28"/>
          <w:szCs w:val="28"/>
          <w:lang w:val="pt-BR"/>
        </w:rPr>
        <w:t>đề nghị quan tâm một số nội dung sau:</w:t>
      </w:r>
    </w:p>
    <w:p>
      <w:pPr>
        <w:tabs>
          <w:tab w:val="left" w:pos="1120"/>
        </w:tabs>
        <w:spacing w:after="120" w:line="380" w:lineRule="exact"/>
        <w:ind w:firstLine="720"/>
        <w:jc w:val="both"/>
        <w:rPr>
          <w:spacing w:val="-4"/>
          <w:sz w:val="28"/>
          <w:szCs w:val="28"/>
          <w:lang w:val="pt-BR"/>
        </w:rPr>
      </w:pPr>
      <w:r>
        <w:rPr>
          <w:spacing w:val="-4"/>
          <w:sz w:val="28"/>
          <w:szCs w:val="28"/>
          <w:lang w:val="pt-BR"/>
        </w:rPr>
        <w:t>- Bổ sung nội dung n</w:t>
      </w:r>
      <w:r>
        <w:rPr>
          <w:sz w:val="28"/>
          <w:szCs w:val="28"/>
        </w:rPr>
        <w:t>guyên tắc, tiêu chí phân bổ vào trong dự thảo Nghị quyết.</w:t>
      </w:r>
    </w:p>
    <w:p>
      <w:pPr>
        <w:tabs>
          <w:tab w:val="left" w:pos="1120"/>
        </w:tabs>
        <w:spacing w:after="120" w:line="380" w:lineRule="exact"/>
        <w:ind w:firstLine="720"/>
        <w:jc w:val="both"/>
        <w:rPr>
          <w:spacing w:val="-4"/>
          <w:sz w:val="28"/>
          <w:szCs w:val="28"/>
          <w:lang w:val="pt-BR"/>
        </w:rPr>
      </w:pPr>
      <w:r>
        <w:rPr>
          <w:spacing w:val="-4"/>
          <w:sz w:val="28"/>
          <w:szCs w:val="28"/>
          <w:lang w:val="pt-BR"/>
        </w:rPr>
        <w:lastRenderedPageBreak/>
        <w:t xml:space="preserve">- Theo phương án dự kiến cần 6.627.100 triệu đồng để đảm bảo cân đối vốn triển khai các dự án lần này. Tuy nhiên, dự thảo Nghị quyết lần này chỉ </w:t>
      </w:r>
      <w:r>
        <w:rPr>
          <w:sz w:val="28"/>
          <w:szCs w:val="28"/>
          <w:lang w:val="pt-BR"/>
        </w:rPr>
        <w:t>bổ sung kế hoạch đầu tư công trung hạn giai đoạn 2021-2025 tổng số vốn</w:t>
      </w:r>
      <w:r>
        <w:rPr>
          <w:iCs/>
          <w:sz w:val="28"/>
          <w:szCs w:val="28"/>
          <w:lang w:val="pt-BR"/>
        </w:rPr>
        <w:t xml:space="preserve"> đưa vào cân đối là </w:t>
      </w:r>
      <w:r>
        <w:rPr>
          <w:iCs/>
          <w:sz w:val="28"/>
          <w:szCs w:val="28"/>
        </w:rPr>
        <w:t>2.827.100 triệu đồng</w:t>
      </w:r>
      <w:r>
        <w:rPr>
          <w:spacing w:val="-4"/>
          <w:sz w:val="28"/>
          <w:szCs w:val="28"/>
          <w:lang w:val="pt-BR"/>
        </w:rPr>
        <w:t>. Như vây, phương án chưa đảm bảo phù hợp với khả năng cân đối vốn.</w:t>
      </w:r>
    </w:p>
    <w:bookmarkEnd w:id="0"/>
    <w:p>
      <w:pPr>
        <w:spacing w:after="120" w:line="380" w:lineRule="exact"/>
        <w:ind w:firstLine="720"/>
        <w:jc w:val="both"/>
        <w:rPr>
          <w:iCs/>
          <w:color w:val="000000"/>
          <w:sz w:val="28"/>
          <w:szCs w:val="28"/>
        </w:rPr>
      </w:pPr>
      <w:r>
        <w:rPr>
          <w:sz w:val="28"/>
          <w:szCs w:val="28"/>
        </w:rPr>
        <w:t>- Nguồn vốn thực hiện Chương trình mục tiêu quốc gia xây dựng nông thôn mới ngày càng hạn chế, trong khi đó Hà Tĩnh xác định phấn đấu đạt chuẩn nông thôn mới vào năm 2025 theo Quyết định số 2114/QĐ-TTg ngày 16 tháng 12 năm 2020 của Thủ tướng Chính phủ</w:t>
      </w:r>
      <w:r>
        <w:rPr>
          <w:iCs/>
          <w:color w:val="000000"/>
          <w:sz w:val="28"/>
          <w:szCs w:val="28"/>
        </w:rPr>
        <w:t>. Mặt khác, nguồn vốn đối ứng cho các Chương trình mục tiêu Quốc gia cũng chưa đảm bảo; Vì vậy, cần quan tâm cân đối vốn cho nội dung này.</w:t>
      </w:r>
    </w:p>
    <w:p>
      <w:pPr>
        <w:spacing w:after="120" w:line="380" w:lineRule="exact"/>
        <w:ind w:firstLine="720"/>
        <w:jc w:val="both"/>
        <w:rPr>
          <w:rFonts w:eastAsia="Times New Roman"/>
          <w:sz w:val="28"/>
          <w:szCs w:val="28"/>
        </w:rPr>
      </w:pPr>
      <w:r>
        <w:rPr>
          <w:rFonts w:eastAsia="Times New Roman"/>
          <w:i/>
          <w:sz w:val="28"/>
          <w:szCs w:val="28"/>
        </w:rPr>
        <w:t xml:space="preserve">- </w:t>
      </w:r>
      <w:r>
        <w:rPr>
          <w:rFonts w:eastAsia="Times New Roman"/>
          <w:sz w:val="28"/>
          <w:szCs w:val="28"/>
        </w:rPr>
        <w:t>Trong phương án bố trí có một số dự án đã được phê duyệt, trong cơ cấu nguồn vốn, có phần vốn Trung ương nhưng không đưa vào Kế hoạch đầu tư công trung hạn giai đoạn 2021-2025 vốn ngân sách Trung ương. Đề nghị Ủy ban nhân dân tỉnh chỉ đạo các cơ quan chuyên môn có liên quan thực hiện quy trình điều chỉnh cơ cấu nguồn vốn để bố trí vốn ngân sách địa phương nhằm hoàn thành dự án.</w:t>
      </w:r>
    </w:p>
    <w:p>
      <w:pPr>
        <w:tabs>
          <w:tab w:val="left" w:pos="1120"/>
        </w:tabs>
        <w:spacing w:after="120" w:line="380" w:lineRule="exact"/>
        <w:ind w:firstLine="720"/>
        <w:jc w:val="both"/>
        <w:rPr>
          <w:i/>
          <w:sz w:val="28"/>
          <w:szCs w:val="28"/>
          <w:lang w:val="pt-BR"/>
        </w:rPr>
      </w:pPr>
      <w:r>
        <w:rPr>
          <w:i/>
          <w:sz w:val="28"/>
          <w:szCs w:val="28"/>
          <w:lang w:val="pt-BR"/>
        </w:rPr>
        <w:t xml:space="preserve">2.3. Về phương án </w:t>
      </w:r>
      <w:r>
        <w:rPr>
          <w:i/>
          <w:sz w:val="28"/>
          <w:szCs w:val="28"/>
          <w:lang w:val="nl-NL"/>
        </w:rPr>
        <w:t>phân bổ kế hoạch vốn đầu tư công năm 2023</w:t>
      </w:r>
      <w:r>
        <w:rPr>
          <w:i/>
          <w:sz w:val="28"/>
          <w:szCs w:val="28"/>
          <w:lang w:val="pt-BR"/>
        </w:rPr>
        <w:t>:</w:t>
      </w:r>
    </w:p>
    <w:p>
      <w:pPr>
        <w:spacing w:after="120" w:line="380" w:lineRule="exact"/>
        <w:ind w:firstLine="720"/>
        <w:jc w:val="both"/>
        <w:rPr>
          <w:sz w:val="28"/>
          <w:szCs w:val="28"/>
        </w:rPr>
      </w:pPr>
      <w:r>
        <w:rPr>
          <w:sz w:val="28"/>
          <w:szCs w:val="28"/>
        </w:rPr>
        <w:t>Chủ trương về việc sử dụng các nguồn tăng thu, tiết kiệm đã được Thường trực Tỉnh ủy và Thường trực Hội đồng nhân dân tỉnh thống nhất</w:t>
      </w:r>
      <w:r>
        <w:rPr>
          <w:sz w:val="28"/>
          <w:szCs w:val="28"/>
          <w:vertAlign w:val="superscript"/>
        </w:rPr>
        <w:footnoteReference w:id="6"/>
      </w:r>
      <w:r>
        <w:rPr>
          <w:sz w:val="28"/>
          <w:szCs w:val="28"/>
        </w:rPr>
        <w:t>, nguồn TT-TKC các năm 2021, 2022 được tập trung cân đối, phân bổ số vốn còn thiếu cho các dự án khởi công mới trong kế hoạch đầu tư công trung hạn giai đoạn 2021-2025 và một số dự án mới đã được phê duyệt chủ trương đầu tư, bổ sung vào kế hoạch đầu tư công trung hạn</w:t>
      </w:r>
      <w:r>
        <w:rPr>
          <w:sz w:val="28"/>
          <w:szCs w:val="28"/>
          <w:vertAlign w:val="superscript"/>
        </w:rPr>
        <w:footnoteReference w:id="7"/>
      </w:r>
      <w:r>
        <w:rPr>
          <w:sz w:val="28"/>
          <w:szCs w:val="28"/>
        </w:rPr>
        <w:t>. Tuy vậy, hiện tại các dự án trên đã và đang được bố trí vốn để triển khai từ các nguồn vốn trong kế hoạch đầu tư công trung hạn và cơ bản đảm bảo tiến độ triển khai; vì vậy, Ban Kinh tế - Ngân sách thống nhất nguồn vốn tăng thu, tiết kiệm chi các năm 2021, 2022 ưu tiên bố trí để đảm bảo giải ngân trong năm 2023 đối với các dự án đã và đang triển khai, phần còn lại để thực hiện các Đề án trọng tâm của tỉnh và bố trí một phần để triển khai một số dự án khởi công mới.</w:t>
      </w:r>
    </w:p>
    <w:p>
      <w:pPr>
        <w:spacing w:after="120" w:line="380" w:lineRule="exact"/>
        <w:ind w:firstLine="720"/>
        <w:jc w:val="both"/>
        <w:rPr>
          <w:sz w:val="28"/>
          <w:szCs w:val="28"/>
        </w:rPr>
      </w:pPr>
      <w:r>
        <w:rPr>
          <w:sz w:val="28"/>
          <w:szCs w:val="28"/>
        </w:rPr>
        <w:lastRenderedPageBreak/>
        <w:t xml:space="preserve">Đề nghị Hội đồng nhân dân tỉnh ban hành nghị quyết riêng cho </w:t>
      </w:r>
      <w:r>
        <w:rPr>
          <w:i/>
          <w:sz w:val="28"/>
          <w:szCs w:val="28"/>
        </w:rPr>
        <w:t>P</w:t>
      </w:r>
      <w:r>
        <w:rPr>
          <w:i/>
          <w:sz w:val="28"/>
          <w:szCs w:val="28"/>
          <w:lang w:val="pt-BR"/>
        </w:rPr>
        <w:t xml:space="preserve">hương án </w:t>
      </w:r>
      <w:r>
        <w:rPr>
          <w:i/>
          <w:sz w:val="28"/>
          <w:szCs w:val="28"/>
          <w:lang w:val="nl-NL"/>
        </w:rPr>
        <w:t>phân bổ kế hoạch vốn đầu tư công năm 2023</w:t>
      </w:r>
      <w:r>
        <w:rPr>
          <w:i/>
          <w:sz w:val="28"/>
          <w:szCs w:val="28"/>
          <w:lang w:val="nl-NL"/>
        </w:rPr>
        <w:t xml:space="preserve"> </w:t>
      </w:r>
      <w:r>
        <w:rPr>
          <w:sz w:val="28"/>
          <w:szCs w:val="28"/>
        </w:rPr>
        <w:t>và 02 dự án</w:t>
      </w:r>
      <w:r>
        <w:rPr>
          <w:rStyle w:val="FootnoteReference"/>
          <w:sz w:val="28"/>
          <w:szCs w:val="28"/>
        </w:rPr>
        <w:footnoteReference w:id="8"/>
      </w:r>
      <w:r>
        <w:rPr>
          <w:sz w:val="28"/>
          <w:szCs w:val="28"/>
        </w:rPr>
        <w:t xml:space="preserve"> tại Tờ trình </w:t>
      </w:r>
      <w:r>
        <w:rPr>
          <w:sz w:val="28"/>
          <w:szCs w:val="28"/>
          <w:lang w:val="pt-BR"/>
        </w:rPr>
        <w:t>số 295/TTr-UBND ngày 11/7/2023 của Ủy ban nhân dân tỉnh.</w:t>
      </w:r>
      <w:bookmarkStart w:id="2" w:name="_GoBack"/>
      <w:bookmarkEnd w:id="2"/>
    </w:p>
    <w:p>
      <w:pPr>
        <w:spacing w:after="120" w:line="380" w:lineRule="exact"/>
        <w:ind w:firstLine="720"/>
        <w:jc w:val="both"/>
        <w:rPr>
          <w:sz w:val="28"/>
          <w:szCs w:val="28"/>
        </w:rPr>
      </w:pPr>
      <w:r>
        <w:rPr>
          <w:sz w:val="28"/>
          <w:szCs w:val="28"/>
          <w:lang w:val="nl-NL"/>
        </w:rPr>
        <w:t xml:space="preserve">Trên đây là kết quả thẩm tra của </w:t>
      </w:r>
      <w:r>
        <w:rPr>
          <w:rFonts w:eastAsia="Arial Unicode MS"/>
          <w:sz w:val="28"/>
          <w:szCs w:val="28"/>
          <w:u w:color="000000"/>
          <w:lang w:val="nl-NL"/>
        </w:rPr>
        <w:t>Ban Kinh tế - Ngân sách về</w:t>
      </w:r>
      <w:r>
        <w:rPr>
          <w:sz w:val="28"/>
          <w:szCs w:val="28"/>
        </w:rPr>
        <w:t xml:space="preserve"> việc </w:t>
      </w:r>
      <w:r>
        <w:rPr>
          <w:sz w:val="28"/>
          <w:szCs w:val="28"/>
          <w:lang w:val="nl-NL"/>
        </w:rPr>
        <w:t>bổ sung kế hoạch đầu tư công trung hạn vốn ngân sách địa phương giai đoạn 2021-2025 và phân bổ kế hoạch vốn đầu tư công năm 2023, kính</w:t>
      </w:r>
      <w:r>
        <w:rPr>
          <w:sz w:val="28"/>
          <w:szCs w:val="28"/>
        </w:rPr>
        <w:t xml:space="preserve"> trình </w:t>
      </w:r>
      <w:r>
        <w:rPr>
          <w:sz w:val="28"/>
          <w:szCs w:val="28"/>
          <w:lang w:val="sq-AL"/>
        </w:rPr>
        <w:t>Hội đồng nhân dân tỉnh xem xét, quyết định</w:t>
      </w:r>
      <w:r>
        <w:rPr>
          <w:sz w:val="28"/>
          <w:szCs w:val="28"/>
        </w:rPr>
        <w:t>./.</w:t>
      </w:r>
      <w:bookmarkEnd w:id="1"/>
    </w:p>
    <w:p>
      <w:pPr>
        <w:spacing w:before="40" w:after="120" w:line="360" w:lineRule="exact"/>
        <w:ind w:firstLine="720"/>
        <w:jc w:val="both"/>
        <w:rPr>
          <w:sz w:val="28"/>
          <w:szCs w:val="28"/>
          <w:lang w:val="vi-VN"/>
        </w:rPr>
      </w:pPr>
    </w:p>
    <w:tbl>
      <w:tblPr>
        <w:tblW w:w="5000" w:type="pct"/>
        <w:tblLook w:val="0000" w:firstRow="0" w:lastRow="0" w:firstColumn="0" w:lastColumn="0" w:noHBand="0" w:noVBand="0"/>
      </w:tblPr>
      <w:tblGrid>
        <w:gridCol w:w="4259"/>
        <w:gridCol w:w="5029"/>
      </w:tblGrid>
      <w:tr>
        <w:trPr>
          <w:trHeight w:val="1169"/>
        </w:trPr>
        <w:tc>
          <w:tcPr>
            <w:tcW w:w="2293" w:type="pct"/>
          </w:tcPr>
          <w:p>
            <w:pPr>
              <w:pStyle w:val="Heading1"/>
              <w:jc w:val="both"/>
              <w:rPr>
                <w:rFonts w:ascii="Times New Roman" w:hAnsi="Times New Roman"/>
                <w:szCs w:val="22"/>
                <w:lang w:val="vi-VN"/>
              </w:rPr>
            </w:pPr>
            <w:r>
              <w:rPr>
                <w:rFonts w:ascii="Times New Roman" w:hAnsi="Times New Roman"/>
                <w:i/>
                <w:iCs/>
                <w:szCs w:val="22"/>
                <w:lang w:val="vi-VN"/>
              </w:rPr>
              <w:t>Nơi nhận:</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pPr>
              <w:pStyle w:val="Heading1"/>
              <w:jc w:val="both"/>
              <w:rPr>
                <w:rFonts w:ascii="Times New Roman" w:hAnsi="Times New Roman"/>
                <w:b w:val="0"/>
                <w:sz w:val="22"/>
                <w:szCs w:val="22"/>
              </w:rPr>
            </w:pPr>
            <w:r>
              <w:rPr>
                <w:rFonts w:ascii="Times New Roman" w:hAnsi="Times New Roman"/>
                <w:b w:val="0"/>
                <w:sz w:val="22"/>
                <w:szCs w:val="22"/>
                <w:lang w:val="vi-VN"/>
              </w:rPr>
              <w:t>- UBND tỉnh; UBMTTQ tỉnh;</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w:t>
            </w:r>
          </w:p>
          <w:p>
            <w:pPr>
              <w:pStyle w:val="Heading1"/>
              <w:jc w:val="both"/>
              <w:rPr>
                <w:rFonts w:ascii="Times New Roman" w:hAnsi="Times New Roman"/>
                <w:b w:val="0"/>
                <w:sz w:val="22"/>
                <w:szCs w:val="22"/>
              </w:rPr>
            </w:pPr>
            <w:r>
              <w:rPr>
                <w:rFonts w:ascii="Times New Roman" w:hAnsi="Times New Roman"/>
                <w:b w:val="0"/>
                <w:sz w:val="22"/>
                <w:szCs w:val="22"/>
                <w:lang w:val="vi-VN"/>
              </w:rPr>
              <w:t xml:space="preserve">- Các đại biểu tham dự kỳ họp thứ </w:t>
            </w:r>
            <w:r>
              <w:rPr>
                <w:rFonts w:ascii="Times New Roman" w:hAnsi="Times New Roman"/>
                <w:b w:val="0"/>
                <w:sz w:val="22"/>
                <w:szCs w:val="22"/>
              </w:rPr>
              <w:t>14</w:t>
            </w:r>
            <w:r>
              <w:rPr>
                <w:rFonts w:ascii="Times New Roman" w:hAnsi="Times New Roman"/>
                <w:b w:val="0"/>
                <w:sz w:val="22"/>
                <w:szCs w:val="22"/>
                <w:lang w:val="vi-VN"/>
              </w:rPr>
              <w:t>;</w:t>
            </w:r>
          </w:p>
          <w:p>
            <w:pPr>
              <w:rPr>
                <w:sz w:val="22"/>
                <w:szCs w:val="22"/>
              </w:rPr>
            </w:pPr>
            <w:r>
              <w:rPr>
                <w:sz w:val="22"/>
                <w:szCs w:val="22"/>
              </w:rPr>
              <w:t>- Văn phòng Tỉnh ủy;</w:t>
            </w:r>
          </w:p>
          <w:p>
            <w:pPr>
              <w:pStyle w:val="Heading1"/>
              <w:jc w:val="both"/>
              <w:rPr>
                <w:rFonts w:ascii="Times New Roman" w:hAnsi="Times New Roman"/>
                <w:b w:val="0"/>
                <w:sz w:val="22"/>
                <w:szCs w:val="22"/>
              </w:rPr>
            </w:pPr>
            <w:r>
              <w:rPr>
                <w:rFonts w:ascii="Times New Roman" w:hAnsi="Times New Roman"/>
                <w:b w:val="0"/>
                <w:sz w:val="22"/>
                <w:szCs w:val="22"/>
                <w:lang w:val="vi-VN"/>
              </w:rPr>
              <w:t xml:space="preserve">- Văn phòng </w:t>
            </w:r>
            <w:r>
              <w:rPr>
                <w:rFonts w:ascii="Times New Roman" w:hAnsi="Times New Roman"/>
                <w:b w:val="0"/>
                <w:sz w:val="22"/>
                <w:szCs w:val="22"/>
              </w:rPr>
              <w:t xml:space="preserve">Đoàn ĐBQH và </w:t>
            </w:r>
            <w:r>
              <w:rPr>
                <w:rFonts w:ascii="Times New Roman" w:hAnsi="Times New Roman"/>
                <w:b w:val="0"/>
                <w:sz w:val="22"/>
                <w:szCs w:val="22"/>
                <w:lang w:val="vi-VN"/>
              </w:rPr>
              <w:t>HĐND tỉnh;</w:t>
            </w:r>
          </w:p>
          <w:p>
            <w:pPr>
              <w:rPr>
                <w:sz w:val="22"/>
                <w:szCs w:val="22"/>
              </w:rPr>
            </w:pPr>
            <w:r>
              <w:rPr>
                <w:sz w:val="22"/>
                <w:szCs w:val="22"/>
              </w:rPr>
              <w:t>- Văn phòng UBND tỉnh;</w:t>
            </w:r>
          </w:p>
          <w:p>
            <w:pPr>
              <w:pStyle w:val="Heading1"/>
              <w:jc w:val="both"/>
              <w:rPr>
                <w:rFonts w:ascii="Times New Roman" w:hAnsi="Times New Roman"/>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lang w:val="vi-VN"/>
              </w:rPr>
              <w:t>.</w:t>
            </w:r>
          </w:p>
        </w:tc>
        <w:tc>
          <w:tcPr>
            <w:tcW w:w="2707" w:type="pct"/>
          </w:tcPr>
          <w:p>
            <w:pPr>
              <w:jc w:val="center"/>
              <w:rPr>
                <w:b/>
                <w:sz w:val="26"/>
                <w:szCs w:val="26"/>
                <w:lang w:val="da-DK"/>
              </w:rPr>
            </w:pPr>
            <w:r>
              <w:rPr>
                <w:b/>
                <w:sz w:val="26"/>
                <w:szCs w:val="26"/>
                <w:lang w:val="da-DK"/>
              </w:rPr>
              <w:t>TM. BAN KINH TẾ - NGÂN SÁCH</w:t>
            </w:r>
          </w:p>
          <w:p>
            <w:pPr>
              <w:jc w:val="center"/>
              <w:rPr>
                <w:b/>
                <w:sz w:val="26"/>
                <w:szCs w:val="26"/>
                <w:lang w:val="da-DK"/>
              </w:rPr>
            </w:pPr>
            <w:r>
              <w:rPr>
                <w:b/>
                <w:sz w:val="26"/>
                <w:szCs w:val="26"/>
                <w:lang w:val="da-DK"/>
              </w:rPr>
              <w:t>TRƯỞNG BAN</w:t>
            </w:r>
          </w:p>
          <w:p>
            <w:pPr>
              <w:jc w:val="center"/>
              <w:rPr>
                <w:sz w:val="26"/>
                <w:szCs w:val="26"/>
                <w:lang w:val="da-DK"/>
              </w:rPr>
            </w:pPr>
          </w:p>
          <w:p>
            <w:pPr>
              <w:jc w:val="center"/>
              <w:rPr>
                <w:b/>
                <w:sz w:val="26"/>
                <w:szCs w:val="26"/>
                <w:lang w:val="vi-VN"/>
              </w:rPr>
            </w:pPr>
          </w:p>
          <w:p>
            <w:pPr>
              <w:jc w:val="center"/>
              <w:rPr>
                <w:i/>
                <w:sz w:val="26"/>
                <w:szCs w:val="26"/>
                <w:lang w:val="sv-SE"/>
              </w:rPr>
            </w:pPr>
          </w:p>
          <w:p>
            <w:pPr>
              <w:jc w:val="center"/>
              <w:rPr>
                <w:i/>
                <w:sz w:val="26"/>
                <w:szCs w:val="26"/>
                <w:lang w:val="sv-SE"/>
              </w:rPr>
            </w:pPr>
          </w:p>
          <w:p>
            <w:pPr>
              <w:jc w:val="center"/>
              <w:rPr>
                <w:i/>
                <w:sz w:val="26"/>
                <w:szCs w:val="26"/>
                <w:lang w:val="sv-SE"/>
              </w:rPr>
            </w:pPr>
          </w:p>
          <w:p>
            <w:pPr>
              <w:jc w:val="center"/>
              <w:rPr>
                <w:b/>
                <w:sz w:val="26"/>
                <w:szCs w:val="26"/>
                <w:lang w:val="vi-VN"/>
              </w:rPr>
            </w:pPr>
          </w:p>
          <w:p>
            <w:pPr>
              <w:jc w:val="center"/>
              <w:rPr>
                <w:b/>
                <w:sz w:val="26"/>
                <w:szCs w:val="26"/>
                <w:lang w:val="da-DK"/>
              </w:rPr>
            </w:pPr>
          </w:p>
          <w:p>
            <w:pPr>
              <w:jc w:val="center"/>
              <w:rPr>
                <w:b/>
                <w:sz w:val="26"/>
                <w:szCs w:val="26"/>
                <w:lang w:val="da-DK"/>
              </w:rPr>
            </w:pPr>
          </w:p>
          <w:p>
            <w:pPr>
              <w:jc w:val="center"/>
              <w:rPr>
                <w:sz w:val="28"/>
                <w:szCs w:val="28"/>
                <w:lang w:val="es-PR"/>
              </w:rPr>
            </w:pPr>
            <w:r>
              <w:rPr>
                <w:b/>
                <w:sz w:val="26"/>
                <w:szCs w:val="26"/>
                <w:lang w:val="es-PR"/>
              </w:rPr>
              <w:t>Nguyễn Thị Thúy Nga</w:t>
            </w:r>
          </w:p>
        </w:tc>
      </w:tr>
    </w:tbl>
    <w:p>
      <w:pPr>
        <w:rPr>
          <w:sz w:val="2"/>
          <w:szCs w:val="2"/>
          <w:lang w:val="vi-VN"/>
        </w:rPr>
      </w:pPr>
    </w:p>
    <w:sectPr>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9E40D" w16cid:durableId="247602E3"/>
  <w16cid:commentId w16cid:paraId="2DC74EFA" w16cid:durableId="247602E4"/>
  <w16cid:commentId w16cid:paraId="7E04AEF8" w16cid:durableId="247602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firstLine="720"/>
        <w:jc w:val="both"/>
      </w:pPr>
      <w:r>
        <w:rPr>
          <w:rStyle w:val="FootnoteReference"/>
        </w:rPr>
        <w:footnoteRef/>
      </w:r>
      <w:r>
        <w:t xml:space="preserve"> Năm 2021 là 2.556.060 triệu đồng, năm 2022 là 2.370.726 triệu đồng</w:t>
      </w:r>
    </w:p>
  </w:footnote>
  <w:footnote w:id="2">
    <w:p>
      <w:pPr>
        <w:pStyle w:val="FootnoteText"/>
        <w:ind w:firstLine="720"/>
        <w:jc w:val="both"/>
      </w:pPr>
      <w:r>
        <w:rPr>
          <w:rStyle w:val="FootnoteReference"/>
        </w:rPr>
        <w:footnoteRef/>
      </w:r>
      <w:r>
        <w:t xml:space="preserve"> </w:t>
      </w:r>
      <w:r>
        <w:rPr>
          <w:lang w:val="pt-BR"/>
        </w:rPr>
        <w:t xml:space="preserve">sau khi bố trí </w:t>
      </w:r>
      <w:r>
        <w:rPr>
          <w:color w:val="000000" w:themeColor="text1"/>
        </w:rPr>
        <w:t>đảm bảo nguồn vốn thực hiện các nhiệm vụ quy định tại điểm a, b, c, d khoản 2 Điều 59 Luật Ngân sách Nhà nước năm 2015</w:t>
      </w:r>
    </w:p>
  </w:footnote>
  <w:footnote w:id="3">
    <w:p>
      <w:pPr>
        <w:pStyle w:val="BodyText"/>
        <w:widowControl w:val="0"/>
        <w:spacing w:after="0"/>
        <w:ind w:firstLine="720"/>
        <w:jc w:val="both"/>
        <w:rPr>
          <w:sz w:val="20"/>
          <w:szCs w:val="20"/>
        </w:rPr>
      </w:pPr>
      <w:r>
        <w:rPr>
          <w:rStyle w:val="FootnoteReference"/>
          <w:sz w:val="20"/>
          <w:szCs w:val="20"/>
        </w:rPr>
        <w:footnoteRef/>
      </w:r>
      <w:r>
        <w:rPr>
          <w:sz w:val="20"/>
          <w:szCs w:val="20"/>
        </w:rPr>
        <w:t xml:space="preserve"> Luật </w:t>
      </w:r>
      <w:r>
        <w:rPr>
          <w:rFonts w:hint="eastAsia"/>
          <w:sz w:val="20"/>
          <w:szCs w:val="20"/>
        </w:rPr>
        <w:t>Đ</w:t>
      </w:r>
      <w:r>
        <w:rPr>
          <w:sz w:val="20"/>
          <w:szCs w:val="20"/>
        </w:rPr>
        <w:t>ầu t</w:t>
      </w:r>
      <w:r>
        <w:rPr>
          <w:rFonts w:hint="eastAsia"/>
          <w:sz w:val="20"/>
          <w:szCs w:val="20"/>
        </w:rPr>
        <w:t>ư</w:t>
      </w:r>
      <w:r>
        <w:rPr>
          <w:sz w:val="20"/>
          <w:szCs w:val="20"/>
        </w:rPr>
        <w:t xml:space="preserve"> công, Luật Ngân sách nhà n</w:t>
      </w:r>
      <w:r>
        <w:rPr>
          <w:rFonts w:hint="eastAsia"/>
          <w:sz w:val="20"/>
          <w:szCs w:val="20"/>
        </w:rPr>
        <w:t>ư</w:t>
      </w:r>
      <w:r>
        <w:rPr>
          <w:sz w:val="20"/>
          <w:szCs w:val="20"/>
        </w:rPr>
        <w:t>ớc, các V</w:t>
      </w:r>
      <w:r>
        <w:rPr>
          <w:rFonts w:hint="eastAsia"/>
          <w:sz w:val="20"/>
          <w:szCs w:val="20"/>
        </w:rPr>
        <w:t>ă</w:t>
      </w:r>
      <w:r>
        <w:rPr>
          <w:sz w:val="20"/>
          <w:szCs w:val="20"/>
        </w:rPr>
        <w:t>n bản h</w:t>
      </w:r>
      <w:r>
        <w:rPr>
          <w:rFonts w:hint="eastAsia"/>
          <w:sz w:val="20"/>
          <w:szCs w:val="20"/>
        </w:rPr>
        <w:t>ư</w:t>
      </w:r>
      <w:r>
        <w:rPr>
          <w:sz w:val="20"/>
          <w:szCs w:val="20"/>
        </w:rPr>
        <w:t>ớng dẫn thực hiện và các Nghị quyết: số 245/2020/NQ-HĐND ngày 08/12/2020, số 68/2022/NQ-HĐND ngày 15/7/2022 của HĐND tỉnh quy định về nguyên tắc, tiêu chí và định mức phân bổ vốn đầu tư công nguồn ngân sách địa phương giai đoạn 2021-2025 tỉnh Hà Tĩnh…</w:t>
      </w:r>
    </w:p>
  </w:footnote>
  <w:footnote w:id="4">
    <w:p>
      <w:pPr>
        <w:pStyle w:val="BodyText"/>
        <w:widowControl w:val="0"/>
        <w:spacing w:after="0"/>
        <w:ind w:firstLine="720"/>
        <w:jc w:val="both"/>
        <w:rPr>
          <w:sz w:val="20"/>
          <w:szCs w:val="20"/>
        </w:rPr>
      </w:pPr>
      <w:r>
        <w:rPr>
          <w:rStyle w:val="FootnoteReference"/>
          <w:sz w:val="20"/>
          <w:szCs w:val="20"/>
        </w:rPr>
        <w:footnoteRef/>
      </w:r>
      <w:r>
        <w:rPr>
          <w:sz w:val="20"/>
          <w:szCs w:val="20"/>
        </w:rPr>
        <w:t xml:space="preserve"> Ban Chấp hành Đảng bộ tỉnh (tại Thông báo số 808-TB/TU ngày 24/5/2023), Ban Thường vụ Tỉnh ủy (tại Thông báo số 807-TB/TU ngày 19/5/2023); Thường trực Hội đồng nhân dan tỉnh (tại Văn bản số 298/HĐND-HĐ</w:t>
      </w:r>
      <w:r>
        <w:rPr>
          <w:sz w:val="20"/>
          <w:szCs w:val="20"/>
          <w:vertAlign w:val="subscript"/>
        </w:rPr>
        <w:t xml:space="preserve">1 </w:t>
      </w:r>
      <w:r>
        <w:rPr>
          <w:sz w:val="20"/>
          <w:szCs w:val="20"/>
        </w:rPr>
        <w:t>ngày 29/6/2023) về ph</w:t>
      </w:r>
      <w:r>
        <w:rPr>
          <w:rFonts w:hint="eastAsia"/>
          <w:sz w:val="20"/>
          <w:szCs w:val="20"/>
        </w:rPr>
        <w:t>ươ</w:t>
      </w:r>
      <w:r>
        <w:rPr>
          <w:sz w:val="20"/>
          <w:szCs w:val="20"/>
        </w:rPr>
        <w:t>ng án sử dụng nguồn t</w:t>
      </w:r>
      <w:r>
        <w:rPr>
          <w:rFonts w:hint="eastAsia"/>
          <w:sz w:val="20"/>
          <w:szCs w:val="20"/>
        </w:rPr>
        <w:t>ă</w:t>
      </w:r>
      <w:r>
        <w:rPr>
          <w:sz w:val="20"/>
          <w:szCs w:val="20"/>
        </w:rPr>
        <w:t>ng thu, tiết kiệm chi (TT-TKC) ngân sách tỉnh n</w:t>
      </w:r>
      <w:r>
        <w:rPr>
          <w:rFonts w:hint="eastAsia"/>
          <w:sz w:val="20"/>
          <w:szCs w:val="20"/>
        </w:rPr>
        <w:t>ă</w:t>
      </w:r>
      <w:r>
        <w:rPr>
          <w:sz w:val="20"/>
          <w:szCs w:val="20"/>
        </w:rPr>
        <w:t>m 2021, n</w:t>
      </w:r>
      <w:r>
        <w:rPr>
          <w:rFonts w:hint="eastAsia"/>
          <w:sz w:val="20"/>
          <w:szCs w:val="20"/>
        </w:rPr>
        <w:t>ă</w:t>
      </w:r>
      <w:r>
        <w:rPr>
          <w:sz w:val="20"/>
          <w:szCs w:val="20"/>
        </w:rPr>
        <w:t xml:space="preserve">m 2022 và dự kiến giai </w:t>
      </w:r>
      <w:r>
        <w:rPr>
          <w:rFonts w:hint="eastAsia"/>
          <w:sz w:val="20"/>
          <w:szCs w:val="20"/>
        </w:rPr>
        <w:t>đ</w:t>
      </w:r>
      <w:r>
        <w:rPr>
          <w:sz w:val="20"/>
          <w:szCs w:val="20"/>
        </w:rPr>
        <w:t xml:space="preserve">oạn 2023-2025 </w:t>
      </w:r>
      <w:r>
        <w:rPr>
          <w:rFonts w:hint="eastAsia"/>
          <w:sz w:val="20"/>
          <w:szCs w:val="20"/>
        </w:rPr>
        <w:t>đ</w:t>
      </w:r>
      <w:r>
        <w:rPr>
          <w:sz w:val="20"/>
          <w:szCs w:val="20"/>
        </w:rPr>
        <w:t xml:space="preserve">ể bổ sung nguồn vốn </w:t>
      </w:r>
      <w:r>
        <w:rPr>
          <w:rFonts w:hint="eastAsia"/>
          <w:sz w:val="20"/>
          <w:szCs w:val="20"/>
        </w:rPr>
        <w:t>đ</w:t>
      </w:r>
      <w:r>
        <w:rPr>
          <w:sz w:val="20"/>
          <w:szCs w:val="20"/>
        </w:rPr>
        <w:t>ầu t</w:t>
      </w:r>
      <w:r>
        <w:rPr>
          <w:rFonts w:hint="eastAsia"/>
          <w:sz w:val="20"/>
          <w:szCs w:val="20"/>
        </w:rPr>
        <w:t>ư</w:t>
      </w:r>
      <w:r>
        <w:rPr>
          <w:sz w:val="20"/>
          <w:szCs w:val="20"/>
        </w:rPr>
        <w:t xml:space="preserve"> các công trình, dự án</w:t>
      </w:r>
    </w:p>
  </w:footnote>
  <w:footnote w:id="5">
    <w:p>
      <w:pPr>
        <w:pStyle w:val="FootnoteText"/>
        <w:ind w:firstLine="720"/>
        <w:jc w:val="both"/>
      </w:pPr>
      <w:r>
        <w:rPr>
          <w:rStyle w:val="FootnoteReference"/>
        </w:rPr>
        <w:footnoteRef/>
      </w:r>
      <w:r>
        <w:t xml:space="preserve"> Dự kiến: Năm 2023, 2024: mỗi năm 1.900.000 triệu đồng, năm 2025: 1.800.000 triệu đồng.</w:t>
      </w:r>
    </w:p>
  </w:footnote>
  <w:footnote w:id="6">
    <w:p>
      <w:pPr>
        <w:pStyle w:val="FootnoteText"/>
        <w:ind w:firstLine="720"/>
        <w:jc w:val="both"/>
        <w:rPr>
          <w:lang w:val="en-GB"/>
        </w:rPr>
      </w:pPr>
      <w:r>
        <w:rPr>
          <w:rStyle w:val="FootnoteReference"/>
        </w:rPr>
        <w:footnoteRef/>
      </w:r>
      <w:r>
        <w:t xml:space="preserve"> Tại các văn bản số: 660-TB/TU ngày 21/10/2022, 1425-CV/TU ngày 23/11/2022, 1473-CV/TU ngày 13/12/2022, 670-TB/TU ngày 02/11/2022, 740-TB/TU ngày 02/3/2023; Thường trực HĐND tỉnh thống nhất tại các văn bản số: 420/HĐND ngày 26/10/2022, 489/HĐND ngày 28/11/2022, 571/HĐND ngày 28/12/2022, 91/HĐND ngày 16/3/2023; và HĐND tỉnh quyết định tại Nghị quyết số 101/NQ-HĐND ngày 16/12/2022.</w:t>
      </w:r>
    </w:p>
  </w:footnote>
  <w:footnote w:id="7">
    <w:p>
      <w:pPr>
        <w:pStyle w:val="FootnoteText"/>
        <w:ind w:firstLine="720"/>
        <w:jc w:val="both"/>
        <w:rPr>
          <w:spacing w:val="-2"/>
          <w:lang w:val="en-GB"/>
        </w:rPr>
      </w:pPr>
      <w:r>
        <w:rPr>
          <w:rStyle w:val="FootnoteReference"/>
          <w:spacing w:val="-2"/>
        </w:rPr>
        <w:footnoteRef/>
      </w:r>
      <w:r>
        <w:rPr>
          <w:spacing w:val="-2"/>
        </w:rPr>
        <w:t xml:space="preserve"> </w:t>
      </w:r>
      <w:r>
        <w:rPr>
          <w:spacing w:val="-2"/>
          <w:lang w:val="en-GB"/>
        </w:rPr>
        <w:t xml:space="preserve">Gồm các dự án: </w:t>
      </w:r>
      <w:r>
        <w:rPr>
          <w:spacing w:val="-2"/>
          <w:shd w:val="clear" w:color="auto" w:fill="FFFFFF"/>
        </w:rPr>
        <w:t>Trường trung cấp nghề Hà Tĩnh; Dự án Xử lý khắc phục hư hỏng Kè biển Cẩm Nhượng, huyện Cẩm Xuyên; Dự án Nâng cấp, mở rộng đường Nguyễn Thiếp, thị xã Hồng Lĩnh, giai đoạn 1; Dự án Cải tạo, nâng cấp hồ sinh thái khu di tích Ngã ba Đồng Lộc; Dự án xây dựng hệ thống điện trang trí cầu Cửa Hội bắc qua sông Lam, tỉnh Nghệ An và tỉnh Hà Tĩnh (phía tỉnh Hà Tĩnh) và đèn chiếu sáng đường đầu cầu phía huyện Nghi Xuân; Dự án mở rộng Trung tâm điều dưỡng người có công và Bảo trợ xã hội Hà Tĩnh.</w:t>
      </w:r>
    </w:p>
  </w:footnote>
  <w:footnote w:id="8">
    <w:p>
      <w:pPr>
        <w:pStyle w:val="FootnoteText"/>
        <w:ind w:firstLine="720"/>
        <w:jc w:val="both"/>
      </w:pPr>
      <w:r>
        <w:rPr>
          <w:rStyle w:val="FootnoteReference"/>
        </w:rPr>
        <w:footnoteRef/>
      </w:r>
      <w:r>
        <w:t xml:space="preserve"> (1) Khu xạ trị tại Bệnh viện đa khoa tỉnh Hà Tĩnh sử dụng nguồn giảm chi sự nghiệp y tế; (2) Trụ sở làm việc Công an các xã biên giới đất liền tại các huyện Hương Sơn, Hương Khê và Vũ Quang sử dụng nguồn thực hiện Đề án bảo đảm cơ sở vật chất cho công an xã, thị trấn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44635"/>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revisionView w:inkAnnotations="0"/>
  <w:defaultTabStop w:val="720"/>
  <w:drawingGridHorizontalSpacing w:val="14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rPr>
      <w:sz w:val="28"/>
      <w:szCs w:val="28"/>
    </w:r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nhideWhenUsed/>
    <w:pPr>
      <w:spacing w:before="100" w:beforeAutospacing="1" w:after="100" w:afterAutospacing="1"/>
    </w:pPr>
    <w:rPr>
      <w:rFonts w:eastAsiaTheme="minorEastAsia"/>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rPr>
      <w:sz w:val="28"/>
      <w:szCs w:val="28"/>
    </w:r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rPr>
      <w:sz w:val="28"/>
      <w:szCs w:val="28"/>
    </w:r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pPr>
      <w:spacing w:after="12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Pr>
      <w:rFonts w:ascii="Calibri" w:eastAsia="Calibri" w:hAnsi="Calibri"/>
      <w:b/>
      <w:bCs/>
      <w:sz w:val="20"/>
      <w:szCs w:val="20"/>
      <w:lang w:val="vi-VN" w:eastAsia="vi-VN"/>
    </w:rPr>
  </w:style>
  <w:style w:type="paragraph" w:customStyle="1" w:styleId="Macdinh">
    <w:name w:val="Mac dinh"/>
    <w:basedOn w:val="Normal"/>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rPr>
      <w:sz w:val="24"/>
      <w:szCs w:val="24"/>
    </w:rPr>
  </w:style>
  <w:style w:type="character" w:styleId="Hyperlink">
    <w:name w:val="Hyperlink"/>
    <w:basedOn w:val="DefaultParagraphFont"/>
    <w:uiPriority w:val="99"/>
    <w:semiHidden/>
    <w:unhideWhenUsed/>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sz w:val="28"/>
      <w:szCs w:val="28"/>
      <w:vertAlign w:val="superscript"/>
    </w:rPr>
  </w:style>
  <w:style w:type="character" w:customStyle="1" w:styleId="04BodyChar">
    <w:name w:val="04. Body Char"/>
    <w:link w:val="04Body"/>
    <w:locked/>
    <w:rPr>
      <w:szCs w:val="26"/>
    </w:rPr>
  </w:style>
  <w:style w:type="paragraph" w:customStyle="1" w:styleId="04Body">
    <w:name w:val="04. Body"/>
    <w:basedOn w:val="Normal"/>
    <w:link w:val="04BodyChar"/>
    <w:qFormat/>
    <w:pPr>
      <w:spacing w:before="120" w:after="120" w:line="264" w:lineRule="auto"/>
      <w:ind w:firstLine="720"/>
      <w:jc w:val="both"/>
    </w:pPr>
    <w:rPr>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3131">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7376426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53631239">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97878713">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ndhatinh.vn/dbnd/portal/folder/ky-hop-thu-vi-2/archives/862018nq-hdnd.htm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43F6-D622-49CA-9200-D71C68BE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
  <cp:lastModifiedBy/>
  <cp:revision>1</cp:revision>
  <dcterms:created xsi:type="dcterms:W3CDTF">2023-07-11T00:59:00Z</dcterms:created>
  <dcterms:modified xsi:type="dcterms:W3CDTF">2023-07-11T14:13:00Z</dcterms:modified>
</cp:coreProperties>
</file>