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8" w:type="dxa"/>
        <w:jc w:val="center"/>
        <w:tblLayout w:type="fixed"/>
        <w:tblLook w:val="0000" w:firstRow="0" w:lastRow="0" w:firstColumn="0" w:lastColumn="0" w:noHBand="0" w:noVBand="0"/>
      </w:tblPr>
      <w:tblGrid>
        <w:gridCol w:w="3238"/>
        <w:gridCol w:w="5760"/>
      </w:tblGrid>
      <w:tr w:rsidR="00880DD4" w:rsidRPr="00880DD4" w:rsidTr="00304817">
        <w:trPr>
          <w:trHeight w:val="1005"/>
          <w:jc w:val="center"/>
        </w:trPr>
        <w:tc>
          <w:tcPr>
            <w:tcW w:w="3238" w:type="dxa"/>
          </w:tcPr>
          <w:p w:rsidR="00A85BA0" w:rsidRPr="00880DD4" w:rsidRDefault="00A85BA0" w:rsidP="00304817">
            <w:pPr>
              <w:jc w:val="center"/>
              <w:rPr>
                <w:b/>
                <w:sz w:val="26"/>
                <w:szCs w:val="26"/>
              </w:rPr>
            </w:pPr>
            <w:bookmarkStart w:id="0" w:name="_GoBack"/>
            <w:bookmarkEnd w:id="0"/>
            <w:r w:rsidRPr="00880DD4">
              <w:rPr>
                <w:b/>
                <w:noProof/>
                <w:sz w:val="26"/>
                <w:szCs w:val="26"/>
              </w:rPr>
              <w:t xml:space="preserve">UỶ BAN NHÂN DÂN               </w:t>
            </w:r>
            <w:r w:rsidRPr="00880DD4">
              <w:rPr>
                <w:b/>
                <w:sz w:val="26"/>
                <w:szCs w:val="26"/>
              </w:rPr>
              <w:t xml:space="preserve"> TỈNH HÀ TĨNH</w:t>
            </w:r>
          </w:p>
          <w:p w:rsidR="00A85BA0" w:rsidRPr="00880DD4" w:rsidRDefault="00A85BA0" w:rsidP="00304817">
            <w:pPr>
              <w:rPr>
                <w:sz w:val="23"/>
                <w:szCs w:val="23"/>
              </w:rPr>
            </w:pPr>
            <w:r w:rsidRPr="00880DD4">
              <w:rPr>
                <w:noProof/>
                <w:sz w:val="23"/>
                <w:szCs w:val="23"/>
                <w:lang w:val="en-US"/>
              </w:rPr>
              <mc:AlternateContent>
                <mc:Choice Requires="wps">
                  <w:drawing>
                    <wp:anchor distT="0" distB="0" distL="114300" distR="114300" simplePos="0" relativeHeight="251659264" behindDoc="0" locked="0" layoutInCell="1" allowOverlap="1" wp14:anchorId="2540C49A" wp14:editId="40C32023">
                      <wp:simplePos x="0" y="0"/>
                      <wp:positionH relativeFrom="column">
                        <wp:posOffset>627888</wp:posOffset>
                      </wp:positionH>
                      <wp:positionV relativeFrom="paragraph">
                        <wp:posOffset>39370</wp:posOffset>
                      </wp:positionV>
                      <wp:extent cx="685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0D8F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3.1pt" to="10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"/>
                  </w:pict>
                </mc:Fallback>
              </mc:AlternateContent>
            </w:r>
          </w:p>
          <w:p w:rsidR="00A85BA0" w:rsidRPr="00880DD4" w:rsidRDefault="00A85BA0" w:rsidP="00304817">
            <w:pPr>
              <w:jc w:val="center"/>
              <w:rPr>
                <w:sz w:val="13"/>
                <w:szCs w:val="23"/>
              </w:rPr>
            </w:pPr>
          </w:p>
          <w:p w:rsidR="00A85BA0" w:rsidRPr="00880DD4" w:rsidRDefault="00A85BA0" w:rsidP="00304817">
            <w:pPr>
              <w:rPr>
                <w:sz w:val="13"/>
                <w:szCs w:val="23"/>
              </w:rPr>
            </w:pPr>
          </w:p>
          <w:p w:rsidR="00A85BA0" w:rsidRPr="00880DD4" w:rsidRDefault="00A85BA0" w:rsidP="00304817">
            <w:pPr>
              <w:jc w:val="center"/>
              <w:rPr>
                <w:sz w:val="23"/>
                <w:szCs w:val="23"/>
              </w:rPr>
            </w:pPr>
          </w:p>
        </w:tc>
        <w:tc>
          <w:tcPr>
            <w:tcW w:w="5760" w:type="dxa"/>
          </w:tcPr>
          <w:p w:rsidR="00A85BA0" w:rsidRPr="00880DD4" w:rsidRDefault="00A85BA0" w:rsidP="00304817">
            <w:pPr>
              <w:jc w:val="center"/>
              <w:rPr>
                <w:sz w:val="26"/>
                <w:szCs w:val="26"/>
              </w:rPr>
            </w:pPr>
            <w:r w:rsidRPr="00880DD4">
              <w:rPr>
                <w:b/>
                <w:sz w:val="26"/>
                <w:szCs w:val="26"/>
              </w:rPr>
              <w:t>CỘNG HOÀ XÃ HỘI CHỦ NGHĨA VIỆT NAM</w:t>
            </w:r>
          </w:p>
          <w:p w:rsidR="00A85BA0" w:rsidRPr="00880DD4" w:rsidRDefault="00A85BA0" w:rsidP="00304817">
            <w:r w:rsidRPr="00880DD4">
              <w:rPr>
                <w:sz w:val="29"/>
                <w:szCs w:val="29"/>
              </w:rPr>
              <w:t xml:space="preserve">                </w:t>
            </w:r>
            <w:r w:rsidRPr="00880DD4">
              <w:rPr>
                <w:b/>
                <w:sz w:val="25"/>
                <w:szCs w:val="25"/>
              </w:rPr>
              <w:t xml:space="preserve"> </w:t>
            </w:r>
            <w:r w:rsidRPr="00880DD4">
              <w:rPr>
                <w:rFonts w:hint="eastAsia"/>
                <w:b/>
              </w:rPr>
              <w:t>Đ</w:t>
            </w:r>
            <w:r w:rsidRPr="00880DD4">
              <w:rPr>
                <w:b/>
              </w:rPr>
              <w:t>ộc lập - Tự do - Hạnh phúc</w:t>
            </w:r>
            <w:r w:rsidRPr="00880DD4">
              <w:t xml:space="preserve">         </w:t>
            </w:r>
          </w:p>
          <w:p w:rsidR="00A85BA0" w:rsidRPr="00880DD4" w:rsidRDefault="00A85BA0" w:rsidP="00304817">
            <w:pPr>
              <w:jc w:val="center"/>
              <w:rPr>
                <w:b/>
                <w:i/>
                <w:sz w:val="29"/>
                <w:szCs w:val="17"/>
              </w:rPr>
            </w:pPr>
            <w:r w:rsidRPr="00880DD4">
              <w:rPr>
                <w:noProof/>
                <w:sz w:val="35"/>
                <w:szCs w:val="23"/>
                <w:vertAlign w:val="superscript"/>
                <w:lang w:val="en-US"/>
              </w:rPr>
              <mc:AlternateContent>
                <mc:Choice Requires="wps">
                  <w:drawing>
                    <wp:anchor distT="0" distB="0" distL="114300" distR="114300" simplePos="0" relativeHeight="251660288" behindDoc="0" locked="0" layoutInCell="1" allowOverlap="1" wp14:anchorId="04C53363" wp14:editId="1C511B75">
                      <wp:simplePos x="0" y="0"/>
                      <wp:positionH relativeFrom="column">
                        <wp:posOffset>853440</wp:posOffset>
                      </wp:positionH>
                      <wp:positionV relativeFrom="paragraph">
                        <wp:posOffset>22860</wp:posOffset>
                      </wp:positionV>
                      <wp:extent cx="2055495" cy="0"/>
                      <wp:effectExtent l="0" t="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568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8pt" to="22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I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m+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"/>
                  </w:pict>
                </mc:Fallback>
              </mc:AlternateContent>
            </w:r>
            <w:r w:rsidRPr="00880DD4">
              <w:rPr>
                <w:sz w:val="35"/>
                <w:szCs w:val="23"/>
                <w:vertAlign w:val="superscript"/>
              </w:rPr>
              <w:t xml:space="preserve"> </w:t>
            </w:r>
            <w:r w:rsidRPr="00880DD4">
              <w:rPr>
                <w:sz w:val="39"/>
                <w:szCs w:val="23"/>
                <w:vertAlign w:val="superscript"/>
              </w:rPr>
              <w:t xml:space="preserve"> </w:t>
            </w:r>
            <w:r w:rsidRPr="00880DD4">
              <w:rPr>
                <w:sz w:val="35"/>
                <w:szCs w:val="23"/>
                <w:vertAlign w:val="superscript"/>
              </w:rPr>
              <w:t xml:space="preserve">                                                                                                                                        </w:t>
            </w:r>
          </w:p>
          <w:p w:rsidR="00A85BA0" w:rsidRPr="00880DD4" w:rsidRDefault="00A85BA0" w:rsidP="00C3376C">
            <w:pPr>
              <w:rPr>
                <w:lang w:val="en-US"/>
              </w:rPr>
            </w:pPr>
            <w:r w:rsidRPr="00880DD4">
              <w:rPr>
                <w:i/>
                <w:sz w:val="23"/>
                <w:szCs w:val="23"/>
              </w:rPr>
              <w:t xml:space="preserve">            </w:t>
            </w:r>
            <w:r w:rsidRPr="00880DD4">
              <w:rPr>
                <w:i/>
              </w:rPr>
              <w:t xml:space="preserve">    Hà Tĩnh, ngày </w:t>
            </w:r>
            <w:r w:rsidR="00C3376C" w:rsidRPr="00880DD4">
              <w:rPr>
                <w:i/>
                <w:lang w:val="en-US"/>
              </w:rPr>
              <w:t>05</w:t>
            </w:r>
            <w:r w:rsidRPr="00880DD4">
              <w:rPr>
                <w:i/>
              </w:rPr>
              <w:t xml:space="preserve"> tháng 6 n</w:t>
            </w:r>
            <w:r w:rsidRPr="00880DD4">
              <w:rPr>
                <w:rFonts w:hint="eastAsia"/>
                <w:i/>
              </w:rPr>
              <w:t>ă</w:t>
            </w:r>
            <w:r w:rsidRPr="00880DD4">
              <w:rPr>
                <w:i/>
              </w:rPr>
              <w:t>m 20</w:t>
            </w:r>
            <w:r w:rsidR="00C3376C" w:rsidRPr="00880DD4">
              <w:rPr>
                <w:i/>
                <w:lang w:val="en-US"/>
              </w:rPr>
              <w:t>20</w:t>
            </w:r>
          </w:p>
        </w:tc>
      </w:tr>
    </w:tbl>
    <w:p w:rsidR="00A85BA0" w:rsidRPr="00880DD4" w:rsidRDefault="00A85BA0" w:rsidP="00A85BA0">
      <w:pPr>
        <w:tabs>
          <w:tab w:val="left" w:pos="355"/>
        </w:tabs>
        <w:jc w:val="center"/>
        <w:rPr>
          <w:sz w:val="8"/>
          <w:szCs w:val="32"/>
        </w:rPr>
      </w:pPr>
    </w:p>
    <w:p w:rsidR="00A85BA0" w:rsidRPr="00880DD4" w:rsidRDefault="00A85BA0" w:rsidP="00A85BA0">
      <w:pPr>
        <w:spacing w:after="60"/>
        <w:jc w:val="center"/>
        <w:rPr>
          <w:b/>
        </w:rPr>
      </w:pPr>
      <w:r w:rsidRPr="00880DD4">
        <w:rPr>
          <w:b/>
        </w:rPr>
        <w:t>BÁO CÁO</w:t>
      </w:r>
    </w:p>
    <w:p w:rsidR="00A85BA0" w:rsidRPr="00880DD4" w:rsidRDefault="00A85BA0" w:rsidP="00A85BA0">
      <w:pPr>
        <w:tabs>
          <w:tab w:val="left" w:pos="355"/>
        </w:tabs>
        <w:jc w:val="center"/>
        <w:rPr>
          <w:b/>
        </w:rPr>
      </w:pPr>
      <w:r w:rsidRPr="00880DD4">
        <w:rPr>
          <w:b/>
        </w:rPr>
        <w:t xml:space="preserve"> Tóm tắt nội dung các nghị quyết chuyên đề</w:t>
      </w:r>
    </w:p>
    <w:p w:rsidR="00A85BA0" w:rsidRPr="00880DD4" w:rsidRDefault="00A85BA0" w:rsidP="00A85BA0">
      <w:pPr>
        <w:tabs>
          <w:tab w:val="left" w:pos="355"/>
        </w:tabs>
        <w:jc w:val="center"/>
        <w:rPr>
          <w:b/>
        </w:rPr>
      </w:pPr>
      <w:r w:rsidRPr="00880DD4">
        <w:rPr>
          <w:b/>
        </w:rPr>
        <w:t>trình HĐND tỉnh tại kỳ họp thứ 1</w:t>
      </w:r>
      <w:r w:rsidR="0059559E" w:rsidRPr="00880DD4">
        <w:rPr>
          <w:b/>
          <w:lang w:val="en-US"/>
        </w:rPr>
        <w:t>5</w:t>
      </w:r>
      <w:r w:rsidRPr="00880DD4">
        <w:rPr>
          <w:b/>
        </w:rPr>
        <w:t>, HĐND tỉnh khoá XVII</w:t>
      </w:r>
    </w:p>
    <w:p w:rsidR="00A85BA0" w:rsidRPr="00880DD4" w:rsidRDefault="00A85BA0" w:rsidP="00A85BA0">
      <w:pPr>
        <w:tabs>
          <w:tab w:val="left" w:pos="355"/>
        </w:tabs>
        <w:jc w:val="center"/>
        <w:rPr>
          <w:i/>
        </w:rPr>
      </w:pPr>
      <w:r w:rsidRPr="00880DD4">
        <w:rPr>
          <w:i/>
        </w:rPr>
        <w:t>(Báo cáo của Ủy ban nhân dân tỉnh phục vụ tiếp xúc cử tri)</w:t>
      </w:r>
    </w:p>
    <w:p w:rsidR="00A85BA0" w:rsidRPr="00C87081" w:rsidRDefault="00A85BA0" w:rsidP="00A85BA0">
      <w:pPr>
        <w:tabs>
          <w:tab w:val="left" w:pos="355"/>
        </w:tabs>
        <w:rPr>
          <w:color w:val="FF0000"/>
          <w:sz w:val="12"/>
          <w:szCs w:val="32"/>
          <w:lang w:val="nb-NO"/>
        </w:rPr>
      </w:pPr>
    </w:p>
    <w:p w:rsidR="00A85BA0" w:rsidRPr="00C87081" w:rsidRDefault="00A85BA0" w:rsidP="00A85BA0">
      <w:pPr>
        <w:tabs>
          <w:tab w:val="left" w:pos="355"/>
        </w:tabs>
        <w:rPr>
          <w:color w:val="FF0000"/>
          <w:sz w:val="12"/>
          <w:szCs w:val="32"/>
          <w:lang w:val="nb-NO"/>
        </w:rPr>
      </w:pPr>
    </w:p>
    <w:p w:rsidR="00A85BA0" w:rsidRPr="00C87081" w:rsidRDefault="00A85BA0" w:rsidP="00A85BA0">
      <w:pPr>
        <w:tabs>
          <w:tab w:val="left" w:pos="355"/>
        </w:tabs>
        <w:rPr>
          <w:color w:val="FF0000"/>
          <w:sz w:val="12"/>
          <w:szCs w:val="32"/>
          <w:lang w:val="nb-NO"/>
        </w:rPr>
      </w:pPr>
    </w:p>
    <w:p w:rsidR="00A85BA0" w:rsidRPr="00754AF8" w:rsidRDefault="00754AF8" w:rsidP="00743135">
      <w:pPr>
        <w:spacing w:after="60"/>
        <w:ind w:firstLine="720"/>
        <w:jc w:val="both"/>
        <w:rPr>
          <w:lang w:val="nb-NO"/>
        </w:rPr>
      </w:pPr>
      <w:r w:rsidRPr="00754AF8">
        <w:rPr>
          <w:lang w:val="nb-NO"/>
        </w:rPr>
        <w:t xml:space="preserve">Thực hiện Kế hoạch số 218/KH-HĐND ngày 27/5/2020 của Thường trực HĐND tỉnh về chuẩn bị kỳ họp thứ 15 - HĐND tỉnh khoá XVII; </w:t>
      </w:r>
      <w:r w:rsidR="00A85BA0" w:rsidRPr="00754AF8">
        <w:rPr>
          <w:lang w:val="nb-NO"/>
        </w:rPr>
        <w:t>Ủy ban nhân dân tỉnh tóm tắt nội dung các nghị quyết chuyên đề trình HĐND tỉnh tại kỳ họp thứ 1</w:t>
      </w:r>
      <w:r w:rsidRPr="00754AF8">
        <w:rPr>
          <w:lang w:val="nb-NO"/>
        </w:rPr>
        <w:t>5</w:t>
      </w:r>
      <w:r w:rsidR="00A85BA0" w:rsidRPr="00754AF8">
        <w:rPr>
          <w:lang w:val="nb-NO"/>
        </w:rPr>
        <w:t xml:space="preserve">, HĐND tỉnh khoá XVII, cụ thể như sau:    </w:t>
      </w:r>
    </w:p>
    <w:p w:rsidR="00360171" w:rsidRPr="00C87081" w:rsidRDefault="00D122D6" w:rsidP="00743135">
      <w:pPr>
        <w:pStyle w:val="ListParagraph"/>
        <w:spacing w:after="60" w:line="240" w:lineRule="auto"/>
        <w:ind w:left="0" w:firstLine="720"/>
        <w:contextualSpacing/>
        <w:jc w:val="both"/>
        <w:rPr>
          <w:rFonts w:ascii="Times New Roman" w:hAnsi="Times New Roman" w:cs="Times New Roman"/>
          <w:b/>
          <w:i/>
          <w:sz w:val="28"/>
          <w:szCs w:val="28"/>
        </w:rPr>
      </w:pPr>
      <w:r w:rsidRPr="00C87081">
        <w:rPr>
          <w:rFonts w:ascii="Times New Roman" w:hAnsi="Times New Roman" w:cs="Times New Roman"/>
          <w:b/>
          <w:i/>
          <w:spacing w:val="-2"/>
          <w:sz w:val="28"/>
          <w:szCs w:val="28"/>
        </w:rPr>
        <w:t xml:space="preserve">1. </w:t>
      </w:r>
      <w:r w:rsidR="004E005C" w:rsidRPr="00C87081">
        <w:rPr>
          <w:rFonts w:ascii="Times New Roman" w:hAnsi="Times New Roman" w:cs="Times New Roman"/>
          <w:b/>
          <w:i/>
          <w:spacing w:val="-2"/>
          <w:sz w:val="28"/>
          <w:szCs w:val="28"/>
        </w:rPr>
        <w:t>Nghị quyết về một số chính sách hỗ trợ xây dựng tiêu chuẩn, quy chuẩn cho sản</w:t>
      </w:r>
      <w:r w:rsidR="004E005C" w:rsidRPr="00C87081">
        <w:rPr>
          <w:rFonts w:ascii="Times New Roman" w:hAnsi="Times New Roman" w:cs="Times New Roman"/>
          <w:b/>
          <w:i/>
          <w:sz w:val="28"/>
          <w:szCs w:val="28"/>
        </w:rPr>
        <w:t xml:space="preserve"> phẩm, hàng hóa, dịch vụ tỉnh Hà Tĩnh đáp ứng yêu cầu hội nhập quốc tế</w:t>
      </w:r>
      <w:r w:rsidR="00F90767" w:rsidRPr="00C87081">
        <w:rPr>
          <w:rFonts w:ascii="Times New Roman" w:hAnsi="Times New Roman" w:cs="Times New Roman"/>
          <w:b/>
          <w:i/>
          <w:sz w:val="28"/>
          <w:szCs w:val="28"/>
        </w:rPr>
        <w:t>.</w:t>
      </w:r>
    </w:p>
    <w:p w:rsidR="00360171" w:rsidRPr="00C87081" w:rsidRDefault="00360171" w:rsidP="00743135">
      <w:pPr>
        <w:spacing w:after="60"/>
        <w:ind w:firstLine="720"/>
        <w:jc w:val="both"/>
        <w:rPr>
          <w:i/>
        </w:rPr>
      </w:pPr>
      <w:r w:rsidRPr="00C87081">
        <w:t>Nghị quyết số 52-NQ/TW, ngày 27/9/2019 của Bộ Chính trị về về một số chủ trương, chính sách chủ động tham gia cuộc cách mạng công nghiệp lần thứ tư,</w:t>
      </w:r>
      <w:r w:rsidRPr="00C87081">
        <w:rPr>
          <w:i/>
        </w:rPr>
        <w:t xml:space="preserve"> </w:t>
      </w:r>
      <w:r w:rsidRPr="00C87081">
        <w:t>có nêu:</w:t>
      </w:r>
      <w:r w:rsidRPr="00C87081">
        <w:rPr>
          <w:i/>
        </w:rPr>
        <w:t xml:space="preserve">“Xây dựng và triển khai các chương trình hỗ trợ các doanh nghiệp nghiên cứu và ứng dụng công nghệ, thực hiện chuyển đổi số, nâng cao năng suất, chất lượng, hiệu quả, sức cạnh tranh của nền kinh tế”. </w:t>
      </w:r>
      <w:r w:rsidRPr="00C87081">
        <w:t>Tuy nhiên, hiện nay</w:t>
      </w:r>
      <w:r w:rsidR="00B55AAB" w:rsidRPr="00C87081">
        <w:rPr>
          <w:lang w:val="en-US"/>
        </w:rPr>
        <w:t xml:space="preserve"> trên địa bàn</w:t>
      </w:r>
      <w:r w:rsidRPr="00C87081">
        <w:t xml:space="preserve"> tỉnh Hà Tĩnh chưa có các chương trình phù hợp với tình hình thực tế của địa phương nhằm hỗ trợ các doanh nghiệp nâng cao năng suất, chất lượng sản phẩm, hàng hóa, dịch vụ đáp ứng yêu cầu hội nhập quốc tế hiện nay thông qua việc xây dựng, áp dụng tiêu chuẩn, quy chuẩn kỹ thuật cho sản phẩm, hàng hóa, dịch vụ.</w:t>
      </w:r>
      <w:r w:rsidRPr="00C87081">
        <w:rPr>
          <w:i/>
        </w:rPr>
        <w:t xml:space="preserve"> </w:t>
      </w:r>
    </w:p>
    <w:p w:rsidR="00360171" w:rsidRPr="00C87081" w:rsidRDefault="00360171" w:rsidP="00743135">
      <w:pPr>
        <w:spacing w:after="60"/>
        <w:ind w:firstLine="720"/>
        <w:jc w:val="both"/>
        <w:rPr>
          <w:lang w:val="en-US"/>
        </w:rPr>
      </w:pPr>
      <w:r w:rsidRPr="00C87081">
        <w:t xml:space="preserve">Để đẩy mạnh hoạt động xây dựng, áp dụng tiêu chuẩn, quy chuẩn kỹ thuật trong hoạt động sản xuất, kinh doanh góp phần nâng cao năng suất, chất lượng đáp ứng yêu cầu hội nhập quốc tế, Ủy ban nhân dân tỉnh </w:t>
      </w:r>
      <w:r w:rsidR="00B55AAB" w:rsidRPr="00C87081">
        <w:rPr>
          <w:lang w:val="en-US"/>
        </w:rPr>
        <w:t xml:space="preserve">dự kiến sẽ trình HĐND tỉnh thông qua </w:t>
      </w:r>
      <w:r w:rsidR="00B55AAB" w:rsidRPr="00C87081">
        <w:rPr>
          <w:b/>
          <w:i/>
          <w:spacing w:val="-2"/>
        </w:rPr>
        <w:t>Nghị quyết về một số chính sách</w:t>
      </w:r>
      <w:r w:rsidR="00B55AAB" w:rsidRPr="00C87081">
        <w:rPr>
          <w:b/>
          <w:i/>
          <w:spacing w:val="-2"/>
          <w:lang w:val="en-US"/>
        </w:rPr>
        <w:t xml:space="preserve"> h</w:t>
      </w:r>
      <w:r w:rsidRPr="00C87081">
        <w:rPr>
          <w:b/>
          <w:i/>
        </w:rPr>
        <w:t>ỗ trợ xây dựng tiêu chuẩn, quy chuẩn cho sản phẩm, hàng hóa, dịch vụ tỉnh Hà Tĩnh đáp ứng yêu cầu hội nhập quốc tế”</w:t>
      </w:r>
      <w:r w:rsidR="00B55AAB" w:rsidRPr="00C87081">
        <w:rPr>
          <w:b/>
          <w:lang w:val="en-US"/>
        </w:rPr>
        <w:t xml:space="preserve">, </w:t>
      </w:r>
      <w:r w:rsidR="00B55AAB" w:rsidRPr="00C87081">
        <w:rPr>
          <w:lang w:val="en-US"/>
        </w:rPr>
        <w:t>với các nội dung chính như sau:</w:t>
      </w:r>
    </w:p>
    <w:p w:rsidR="00B55AAB" w:rsidRPr="00C87081" w:rsidRDefault="0059559E" w:rsidP="00743135">
      <w:pPr>
        <w:spacing w:after="60"/>
        <w:ind w:firstLine="709"/>
        <w:jc w:val="both"/>
        <w:rPr>
          <w:lang w:val="en-US"/>
        </w:rPr>
      </w:pPr>
      <w:r w:rsidRPr="00C87081">
        <w:rPr>
          <w:lang w:val="en-US"/>
        </w:rPr>
        <w:t>-</w:t>
      </w:r>
      <w:r w:rsidR="00B55AAB" w:rsidRPr="00C87081">
        <w:t xml:space="preserve"> Hỗ trợ thúc đẩy hoạt động tiêu chuẩn, quy chuẩn kỹ thuật</w:t>
      </w:r>
      <w:r w:rsidR="00217947" w:rsidRPr="00C87081">
        <w:rPr>
          <w:lang w:val="en-US"/>
        </w:rPr>
        <w:t>.</w:t>
      </w:r>
    </w:p>
    <w:p w:rsidR="00B55AAB" w:rsidRPr="00C87081" w:rsidRDefault="0059559E" w:rsidP="00743135">
      <w:pPr>
        <w:spacing w:after="60"/>
        <w:ind w:firstLine="709"/>
        <w:jc w:val="both"/>
      </w:pPr>
      <w:r w:rsidRPr="00C87081">
        <w:rPr>
          <w:lang w:val="en-US"/>
        </w:rPr>
        <w:t>-</w:t>
      </w:r>
      <w:r w:rsidR="00B55AAB" w:rsidRPr="00C87081">
        <w:t xml:space="preserve"> Hỗ trợ xây dựng, áp dụng và chứng nhận các hệ thống quản lý chất lượng theo tiêu chuẩn quốc tế, công cụ cải tiến năng suất chất lượng và các hoạt động nâng cao năng lực sản xuất, kinh doanh.</w:t>
      </w:r>
    </w:p>
    <w:p w:rsidR="00B55AAB" w:rsidRPr="00C87081" w:rsidRDefault="0059559E" w:rsidP="00743135">
      <w:pPr>
        <w:spacing w:after="60"/>
        <w:ind w:firstLine="709"/>
        <w:jc w:val="both"/>
        <w:rPr>
          <w:lang w:val="en-US"/>
        </w:rPr>
      </w:pPr>
      <w:r w:rsidRPr="00C87081">
        <w:rPr>
          <w:lang w:val="en-US"/>
        </w:rPr>
        <w:t>-</w:t>
      </w:r>
      <w:r w:rsidR="00B55AAB" w:rsidRPr="00C87081">
        <w:t xml:space="preserve"> Hỗ trợ xây dựng, áp dụng tiêu chuẩn, quy chuẩn kỹ thuật</w:t>
      </w:r>
      <w:r w:rsidR="00B55AAB" w:rsidRPr="00C87081">
        <w:rPr>
          <w:lang w:val="en-US"/>
        </w:rPr>
        <w:t>.</w:t>
      </w:r>
    </w:p>
    <w:p w:rsidR="00B55AAB" w:rsidRPr="00C87081" w:rsidRDefault="0059559E" w:rsidP="00743135">
      <w:pPr>
        <w:spacing w:after="60"/>
        <w:ind w:firstLine="709"/>
        <w:jc w:val="both"/>
        <w:rPr>
          <w:lang w:val="en-US"/>
        </w:rPr>
      </w:pPr>
      <w:r w:rsidRPr="00C87081">
        <w:rPr>
          <w:lang w:val="en-US"/>
        </w:rPr>
        <w:t>-</w:t>
      </w:r>
      <w:r w:rsidR="00B55AAB" w:rsidRPr="00C87081">
        <w:t xml:space="preserve"> </w:t>
      </w:r>
      <w:r w:rsidR="00B55AAB" w:rsidRPr="00C87081">
        <w:rPr>
          <w:lang w:val="en-US"/>
        </w:rPr>
        <w:t>H</w:t>
      </w:r>
      <w:r w:rsidR="00B55AAB" w:rsidRPr="00C87081">
        <w:t>ỗ trợ doanh nghiệp tham gia giải thưởng chất lượng quốc gia, giải thưởng chất lượng quốc tế Châu Á - Thái Bình Dương</w:t>
      </w:r>
      <w:r w:rsidR="00217947" w:rsidRPr="00C87081">
        <w:rPr>
          <w:lang w:val="en-US"/>
        </w:rPr>
        <w:t>.</w:t>
      </w:r>
    </w:p>
    <w:p w:rsidR="00A85BA0" w:rsidRPr="00C87081" w:rsidRDefault="0059559E" w:rsidP="00743135">
      <w:pPr>
        <w:spacing w:after="60"/>
        <w:ind w:firstLine="709"/>
        <w:jc w:val="both"/>
        <w:rPr>
          <w:lang w:val="en-US"/>
        </w:rPr>
      </w:pPr>
      <w:r w:rsidRPr="00C87081">
        <w:rPr>
          <w:lang w:val="en-US"/>
        </w:rPr>
        <w:t>-</w:t>
      </w:r>
      <w:r w:rsidR="00B55AAB" w:rsidRPr="00C87081">
        <w:t xml:space="preserve"> </w:t>
      </w:r>
      <w:r w:rsidR="00B55AAB" w:rsidRPr="00C87081">
        <w:rPr>
          <w:lang w:val="en-US"/>
        </w:rPr>
        <w:t>H</w:t>
      </w:r>
      <w:r w:rsidR="00B55AAB" w:rsidRPr="00C87081">
        <w:t>ỗ trợ tổ chức đánh giá sự phù hợp đối với sản phẩm, hàng hóa, dịch vụ phù hợp với tiêu chuẩn, quy chuẩn kỹ thuật</w:t>
      </w:r>
      <w:r w:rsidR="00217947" w:rsidRPr="00C87081">
        <w:rPr>
          <w:lang w:val="en-US"/>
        </w:rPr>
        <w:t>.</w:t>
      </w:r>
    </w:p>
    <w:p w:rsidR="00762B84" w:rsidRPr="00C87081" w:rsidRDefault="00D122D6" w:rsidP="00743135">
      <w:pPr>
        <w:spacing w:after="60"/>
        <w:ind w:firstLine="709"/>
        <w:jc w:val="both"/>
        <w:rPr>
          <w:b/>
          <w:i/>
          <w:lang w:val="en-US"/>
        </w:rPr>
      </w:pPr>
      <w:r w:rsidRPr="00C87081">
        <w:rPr>
          <w:b/>
          <w:i/>
          <w:lang w:val="en-US"/>
        </w:rPr>
        <w:lastRenderedPageBreak/>
        <w:t>2</w:t>
      </w:r>
      <w:r w:rsidR="00762B84" w:rsidRPr="00C87081">
        <w:rPr>
          <w:b/>
          <w:i/>
          <w:lang w:val="en-US"/>
        </w:rPr>
        <w:t>.</w:t>
      </w:r>
      <w:r w:rsidR="00762B84" w:rsidRPr="00C87081">
        <w:rPr>
          <w:b/>
          <w:i/>
        </w:rPr>
        <w:t xml:space="preserve"> </w:t>
      </w:r>
      <w:r w:rsidR="00CD32AE" w:rsidRPr="00C87081">
        <w:rPr>
          <w:b/>
          <w:i/>
          <w:lang w:val="en-US"/>
        </w:rPr>
        <w:t>Nghị quyết t</w:t>
      </w:r>
      <w:r w:rsidR="00762B84" w:rsidRPr="00C87081">
        <w:rPr>
          <w:b/>
          <w:i/>
        </w:rPr>
        <w:t>hông qua danh mục công trình dự án thu hồi đất, chuyển mục đích sử dụng đất trồng lúa, đất rừng phòng hộ, đất rừng đặc dụng bổ sung 06 tháng cuối năm 2020.</w:t>
      </w:r>
    </w:p>
    <w:p w:rsidR="00BF5721" w:rsidRPr="00C87081" w:rsidRDefault="00BF5721" w:rsidP="00743135">
      <w:pPr>
        <w:spacing w:after="60"/>
        <w:ind w:firstLine="720"/>
        <w:jc w:val="both"/>
        <w:rPr>
          <w:lang w:val="nb-NO"/>
        </w:rPr>
      </w:pPr>
      <w:r w:rsidRPr="00C87081">
        <w:rPr>
          <w:lang w:val="nb-NO"/>
        </w:rPr>
        <w:t xml:space="preserve">Danh mục các công trình, dự án cần thu hồi đất và chuyển mục đích sử dụng đất trong năm 2020 trên địa bàn tỉnh đã được HĐND tỉnh thông qua tại Nghị quyết số 171/NQ-HĐND ngày 15/12/2019. Tuy vậy, theo báo cáo và đề nghị của Sở Tài nguyên và Môi trường hiện có một số công trình, dự án cần phải thực hiện thu hồi đất, chuyển mục đích sử dụng đất trong năm 2020. </w:t>
      </w:r>
    </w:p>
    <w:p w:rsidR="00BF5721" w:rsidRPr="00C87081" w:rsidRDefault="00BF5721" w:rsidP="00743135">
      <w:pPr>
        <w:spacing w:after="60"/>
        <w:ind w:firstLine="720"/>
        <w:jc w:val="both"/>
        <w:rPr>
          <w:lang w:val="nb-NO"/>
        </w:rPr>
      </w:pPr>
      <w:r w:rsidRPr="00C87081">
        <w:rPr>
          <w:lang w:val="nb-NO"/>
        </w:rPr>
        <w:t>UBND tỉnh đang giao Sở Tài nguyên và Môi trường chủ trì, tổng để tổng hợp, bổ sung Danh mục công trình, dự án cần thu hồi đất, chuyển mục đích sử dụng đất (bổ sung) 6 tháng cuối năm 2020.</w:t>
      </w:r>
    </w:p>
    <w:p w:rsidR="00587558" w:rsidRPr="005B6B36" w:rsidRDefault="00F752DA" w:rsidP="00743135">
      <w:pPr>
        <w:tabs>
          <w:tab w:val="num" w:pos="993"/>
        </w:tabs>
        <w:spacing w:after="60"/>
        <w:ind w:firstLine="720"/>
        <w:jc w:val="both"/>
        <w:rPr>
          <w:b/>
          <w:i/>
          <w:lang w:val="en-US"/>
        </w:rPr>
      </w:pPr>
      <w:r w:rsidRPr="005B6B36">
        <w:rPr>
          <w:b/>
          <w:i/>
          <w:lang w:val="en-US"/>
        </w:rPr>
        <w:t>3</w:t>
      </w:r>
      <w:r w:rsidR="00CD32AE" w:rsidRPr="005B6B36">
        <w:rPr>
          <w:b/>
          <w:i/>
          <w:lang w:val="en-US"/>
        </w:rPr>
        <w:t>. Nghị quyết t</w:t>
      </w:r>
      <w:r w:rsidR="00CD32AE" w:rsidRPr="005B6B36">
        <w:rPr>
          <w:b/>
          <w:i/>
        </w:rPr>
        <w:t xml:space="preserve">hông qua cơ chế thu và sử dụng mức thu dịch vụ tuyển sinh các </w:t>
      </w:r>
      <w:r w:rsidR="00587558" w:rsidRPr="005B6B36">
        <w:rPr>
          <w:b/>
          <w:i/>
        </w:rPr>
        <w:t>cấp học trên địa bàn Hà Tĩnh</w:t>
      </w:r>
      <w:r w:rsidR="0074514E" w:rsidRPr="005B6B36">
        <w:rPr>
          <w:b/>
          <w:i/>
          <w:lang w:val="en-US"/>
        </w:rPr>
        <w:t>.</w:t>
      </w:r>
    </w:p>
    <w:p w:rsidR="00587558" w:rsidRPr="00587558" w:rsidRDefault="00587558" w:rsidP="00743135">
      <w:pPr>
        <w:tabs>
          <w:tab w:val="num" w:pos="993"/>
        </w:tabs>
        <w:spacing w:after="60"/>
        <w:ind w:firstLine="720"/>
        <w:jc w:val="both"/>
        <w:rPr>
          <w:b/>
          <w:i/>
          <w:color w:val="FF0000"/>
          <w:lang w:val="en-US"/>
        </w:rPr>
      </w:pPr>
      <w:r>
        <w:rPr>
          <w:iCs/>
        </w:rPr>
        <w:t xml:space="preserve">Căn cứ </w:t>
      </w:r>
      <w:r w:rsidRPr="00587558">
        <w:rPr>
          <w:iCs/>
        </w:rPr>
        <w:t>đ</w:t>
      </w:r>
      <w:r>
        <w:rPr>
          <w:iCs/>
        </w:rPr>
        <w:t>iểm c khoản 6 Điều 99 Luật Giáo dục ngày 14</w:t>
      </w:r>
      <w:r w:rsidRPr="00587558">
        <w:rPr>
          <w:iCs/>
        </w:rPr>
        <w:t>/</w:t>
      </w:r>
      <w:r>
        <w:rPr>
          <w:iCs/>
        </w:rPr>
        <w:t>6</w:t>
      </w:r>
      <w:r w:rsidRPr="00587558">
        <w:rPr>
          <w:iCs/>
        </w:rPr>
        <w:t>/</w:t>
      </w:r>
      <w:r>
        <w:rPr>
          <w:iCs/>
        </w:rPr>
        <w:t>2019</w:t>
      </w:r>
      <w:r w:rsidRPr="00587558">
        <w:rPr>
          <w:iCs/>
        </w:rPr>
        <w:t>, UBND tỉnh dự kiến sẽ trình HĐND tỉnh thông qua Nghị quyết thông qua cơ chế thu và sử dụng mức thu dịch vụ tuyển sinh các cấp học trên địa bàn Hà Tĩnh</w:t>
      </w:r>
      <w:r>
        <w:rPr>
          <w:iCs/>
          <w:lang w:val="en-US"/>
        </w:rPr>
        <w:t>, với một số nội dung cơ bản như sau:</w:t>
      </w:r>
    </w:p>
    <w:p w:rsidR="00587558" w:rsidRDefault="00587558" w:rsidP="00743135">
      <w:pPr>
        <w:tabs>
          <w:tab w:val="left" w:pos="993"/>
        </w:tabs>
        <w:spacing w:after="60"/>
        <w:ind w:firstLine="720"/>
        <w:jc w:val="both"/>
        <w:rPr>
          <w:iCs/>
        </w:rPr>
      </w:pPr>
      <w:r>
        <w:rPr>
          <w:iCs/>
          <w:lang w:val="en-US"/>
        </w:rPr>
        <w:t>-</w:t>
      </w:r>
      <w:r>
        <w:rPr>
          <w:iCs/>
        </w:rPr>
        <w:t xml:space="preserve"> Đối tượng phải đóng mức thu dịch vụ tuyển sinh: Học sinh lớp đầu cấp của các cấp học tuyển sinh bằng hình thức thi tuyển hoặc kết hợp cả thi tuyển và xét tuyển.</w:t>
      </w:r>
      <w:r w:rsidR="005B6B36">
        <w:rPr>
          <w:iCs/>
          <w:lang w:val="en-US"/>
        </w:rPr>
        <w:t xml:space="preserve"> </w:t>
      </w:r>
      <w:r>
        <w:rPr>
          <w:iCs/>
        </w:rPr>
        <w:t>Không thu đối với cấp học tuyển sinh bằng hình thức xét tuyển vì tuyển sinh bằng hình thức xét tuyển không phát sinh chi phí hoặc có phát sinh nhưng không đáng kể. Mặt khác, việc tuyển sinh bằng hình thức xét tuyển chủ yếu ở tiểu học và trung học cơ sở, những cấp học này phải huy động hết học sinh đến trường theo quy định của Luật Phổ cập giáo dục;</w:t>
      </w:r>
    </w:p>
    <w:p w:rsidR="00587558" w:rsidRDefault="00587558" w:rsidP="00743135">
      <w:pPr>
        <w:tabs>
          <w:tab w:val="left" w:pos="993"/>
        </w:tabs>
        <w:spacing w:after="60"/>
        <w:ind w:firstLine="720"/>
        <w:jc w:val="both"/>
        <w:rPr>
          <w:iCs/>
        </w:rPr>
      </w:pPr>
      <w:r>
        <w:rPr>
          <w:iCs/>
          <w:lang w:val="en-US"/>
        </w:rPr>
        <w:t>-</w:t>
      </w:r>
      <w:r>
        <w:rPr>
          <w:iCs/>
        </w:rPr>
        <w:t xml:space="preserve"> Mức thu dịch vụ tuyển sinh được xác định trên tổng chi phí hợp lý để tổ chức công tác tuyển sinh và số học sinh có nguyện vọng thi tuyển. </w:t>
      </w:r>
    </w:p>
    <w:p w:rsidR="00587558" w:rsidRDefault="005B6B36" w:rsidP="00743135">
      <w:pPr>
        <w:tabs>
          <w:tab w:val="left" w:pos="993"/>
        </w:tabs>
        <w:spacing w:after="60"/>
        <w:ind w:firstLine="720"/>
        <w:jc w:val="both"/>
        <w:rPr>
          <w:iCs/>
        </w:rPr>
      </w:pPr>
      <w:r>
        <w:rPr>
          <w:iCs/>
          <w:lang w:val="en-US"/>
        </w:rPr>
        <w:t xml:space="preserve">- </w:t>
      </w:r>
      <w:r w:rsidR="00587558">
        <w:rPr>
          <w:iCs/>
        </w:rPr>
        <w:t>Mức thu dịch vụ tuyển sinh được xác định theo lộ trình tính đúng, tính đủ chi phí.</w:t>
      </w:r>
    </w:p>
    <w:p w:rsidR="00587558" w:rsidRDefault="005B6B36" w:rsidP="00743135">
      <w:pPr>
        <w:tabs>
          <w:tab w:val="left" w:pos="993"/>
        </w:tabs>
        <w:spacing w:after="60"/>
        <w:ind w:firstLine="720"/>
        <w:jc w:val="both"/>
        <w:rPr>
          <w:lang w:val="nl-NL"/>
        </w:rPr>
      </w:pPr>
      <w:r>
        <w:rPr>
          <w:iCs/>
          <w:lang w:val="en-US"/>
        </w:rPr>
        <w:t>-</w:t>
      </w:r>
      <w:r w:rsidR="00587558">
        <w:rPr>
          <w:iCs/>
        </w:rPr>
        <w:t xml:space="preserve"> Tổng chi phí hợp lý được xác định căn cứ nội dung chi và mức chi quy định tại Thông tư </w:t>
      </w:r>
      <w:r w:rsidR="00587558">
        <w:t xml:space="preserve">liên tịch số 66/TTLT-BTC-BGDĐT ngày </w:t>
      </w:r>
      <w:r w:rsidR="00587558">
        <w:rPr>
          <w:bCs/>
          <w:lang w:val="pt-BR"/>
        </w:rPr>
        <w:t xml:space="preserve">24/4/2012 của </w:t>
      </w:r>
      <w:r>
        <w:rPr>
          <w:bCs/>
          <w:lang w:val="pt-BR"/>
        </w:rPr>
        <w:t>L</w:t>
      </w:r>
      <w:r w:rsidR="00587558">
        <w:rPr>
          <w:bCs/>
          <w:lang w:val="pt-BR"/>
        </w:rPr>
        <w:t xml:space="preserve">iên </w:t>
      </w:r>
      <w:r w:rsidR="00587558">
        <w:rPr>
          <w:szCs w:val="26"/>
          <w:lang w:val="nl-NL"/>
        </w:rPr>
        <w:t>Bộ Tài chính</w:t>
      </w:r>
      <w:r>
        <w:rPr>
          <w:szCs w:val="26"/>
          <w:lang w:val="nl-NL"/>
        </w:rPr>
        <w:t xml:space="preserve"> -</w:t>
      </w:r>
      <w:r w:rsidR="00587558">
        <w:rPr>
          <w:szCs w:val="26"/>
          <w:lang w:val="nl-NL"/>
        </w:rPr>
        <w:t xml:space="preserve"> Giáo dục và Đào tạo hướng dẫn về </w:t>
      </w:r>
      <w:r w:rsidR="00587558">
        <w:rPr>
          <w:lang w:val="nl-NL"/>
        </w:rPr>
        <w:t>nội dung, mức chi, công tác quản lý tài chính thực hiện xây dựng ngân hàng câu trắc nghiệm, tổ chức các kỳ thi phổ thông, chuẩn bị tham dự các kỳ thi Olympic quốc tế và khu vực.</w:t>
      </w:r>
    </w:p>
    <w:p w:rsidR="00587558" w:rsidRPr="005B6B36" w:rsidRDefault="005B6B36" w:rsidP="00743135">
      <w:pPr>
        <w:tabs>
          <w:tab w:val="left" w:pos="993"/>
        </w:tabs>
        <w:spacing w:after="60"/>
        <w:ind w:firstLine="720"/>
        <w:jc w:val="both"/>
        <w:rPr>
          <w:lang w:val="nl-NL"/>
        </w:rPr>
      </w:pPr>
      <w:r w:rsidRPr="005B6B36">
        <w:rPr>
          <w:lang w:val="nl-NL"/>
        </w:rPr>
        <w:t>-</w:t>
      </w:r>
      <w:r w:rsidR="00587558" w:rsidRPr="005B6B36">
        <w:rPr>
          <w:lang w:val="nl-NL"/>
        </w:rPr>
        <w:t xml:space="preserve"> Tổng thu dịch vụ tuyển sinh để lại 100% cho đơn vị tổ chức kỳ thi.</w:t>
      </w:r>
    </w:p>
    <w:p w:rsidR="00CD32AE" w:rsidRPr="005B6B36" w:rsidRDefault="00F752DA" w:rsidP="00743135">
      <w:pPr>
        <w:tabs>
          <w:tab w:val="num" w:pos="993"/>
        </w:tabs>
        <w:spacing w:after="60"/>
        <w:ind w:firstLine="720"/>
        <w:jc w:val="both"/>
        <w:rPr>
          <w:b/>
          <w:i/>
          <w:lang w:val="en-US"/>
        </w:rPr>
      </w:pPr>
      <w:r w:rsidRPr="005B6B36">
        <w:rPr>
          <w:b/>
          <w:i/>
          <w:lang w:val="en-US"/>
        </w:rPr>
        <w:t>4</w:t>
      </w:r>
      <w:r w:rsidR="00CD32AE" w:rsidRPr="005B6B36">
        <w:rPr>
          <w:b/>
          <w:i/>
          <w:lang w:val="en-US"/>
        </w:rPr>
        <w:t>. Nghị quyết s</w:t>
      </w:r>
      <w:r w:rsidR="00CD32AE" w:rsidRPr="005B6B36">
        <w:rPr>
          <w:b/>
          <w:i/>
        </w:rPr>
        <w:t xml:space="preserve">ửa đổi một số điểm của Nghị quyết số 143/2015/NQ-HĐND ngày 17/7/2015 của HĐND tỉnh </w:t>
      </w:r>
      <w:r w:rsidR="005B6B36" w:rsidRPr="005B6B36">
        <w:rPr>
          <w:b/>
          <w:i/>
          <w:lang w:val="en-US"/>
        </w:rPr>
        <w:t>q</w:t>
      </w:r>
      <w:r w:rsidR="00CD32AE" w:rsidRPr="005B6B36">
        <w:rPr>
          <w:b/>
          <w:i/>
        </w:rPr>
        <w:t>uy định một số chính sách đối với Trường THPT Chuyên Hà Tĩnh và giáo viên, học sinh các trường trung học phổ thông khác tham gia bồi dưỡng đội tuyển dự thi học sinh giỏi các môn văn hóa và cuộc thi khoa học kỷ thuật.</w:t>
      </w:r>
    </w:p>
    <w:p w:rsidR="005B6B36" w:rsidRDefault="005B6B36" w:rsidP="00743135">
      <w:pPr>
        <w:tabs>
          <w:tab w:val="left" w:pos="993"/>
        </w:tabs>
        <w:spacing w:after="60"/>
        <w:ind w:firstLine="709"/>
        <w:jc w:val="both"/>
        <w:rPr>
          <w:lang w:val="nl-NL"/>
        </w:rPr>
      </w:pPr>
      <w:r w:rsidRPr="005B6B36">
        <w:rPr>
          <w:lang w:val="nl-NL"/>
        </w:rPr>
        <w:t xml:space="preserve">Hiện nay, Một số nội dung trong công tác bồi dưỡng phát sinh nhưng chưa có trong Nghị quyết số 143/2015/NQ-HĐND ngày 17/7/2015 của HĐND </w:t>
      </w:r>
      <w:r>
        <w:rPr>
          <w:lang w:val="nl-NL"/>
        </w:rPr>
        <w:t xml:space="preserve">tỉnh, như: Chế độ ăn, ở của học sinh khi đưa đi bồi dưỡng tại các địa phương khác (Nghị quyết cũ theo phương án mời thầy đến trường để dạy, nhưng thực tế phương án này không thực hiện được); Chế độ hỗ trợ giáo viên trong thời gian bồi dưỡng </w:t>
      </w:r>
      <w:r>
        <w:rPr>
          <w:lang w:val="nl-NL"/>
        </w:rPr>
        <w:lastRenderedPageBreak/>
        <w:t>đội dự tuyển: Thực tế học sinh tham gia đội dự tuyển được lựa chọn từ học sinh lớp 12, lớp 11và lớp 10 của Trường THPT chuyên và các Trường THPT khác nên cần có thời gian bồi dưỡng để cập nhật kiến thức cho các em, ...</w:t>
      </w:r>
    </w:p>
    <w:p w:rsidR="005B6B36" w:rsidRDefault="005B6B36" w:rsidP="00743135">
      <w:pPr>
        <w:tabs>
          <w:tab w:val="left" w:pos="993"/>
        </w:tabs>
        <w:spacing w:after="60"/>
        <w:ind w:firstLine="709"/>
        <w:jc w:val="both"/>
        <w:rPr>
          <w:iCs/>
          <w:lang w:val="en-US"/>
        </w:rPr>
      </w:pPr>
      <w:r>
        <w:rPr>
          <w:lang w:val="nl-NL"/>
        </w:rPr>
        <w:t xml:space="preserve">Bên cạnh đó, một số mức chi chưa phù hợp thực tế như: </w:t>
      </w:r>
    </w:p>
    <w:p w:rsidR="005B6B36" w:rsidRDefault="005B6B36" w:rsidP="00743135">
      <w:pPr>
        <w:spacing w:after="60"/>
        <w:ind w:firstLine="720"/>
        <w:jc w:val="both"/>
        <w:rPr>
          <w:lang w:val="nl-NL"/>
        </w:rPr>
      </w:pPr>
      <w:r>
        <w:rPr>
          <w:lang w:val="nl-NL"/>
        </w:rPr>
        <w:t>- Tỷ lệ ưu đãi đối với phó chủ nhiệm đội tuyển: Trong đội dự tuyển có nhiều học sinh lớp 11, phó chủ nhiệm là người chịu trách nhiệm bồi dưỡng đội dự tuyển học sinh lớp 11, tỷ lệ ưu đãi theo quy định hiện nay là chưa phù hợp.</w:t>
      </w:r>
    </w:p>
    <w:p w:rsidR="005B6B36" w:rsidRDefault="005B6B36" w:rsidP="00743135">
      <w:pPr>
        <w:spacing w:after="60"/>
        <w:ind w:firstLine="720"/>
        <w:jc w:val="both"/>
        <w:rPr>
          <w:lang w:val="nl-NL"/>
        </w:rPr>
      </w:pPr>
      <w:r>
        <w:rPr>
          <w:lang w:val="nl-NL"/>
        </w:rPr>
        <w:t>- Tỷ lệ ưu đãi đối với Phó Hiệu trưởng:  Khi xây dựng Nghị quyết xác định tỷ lệ ưu đãi đối với Ban giám hiệu là trách nhiệm trong công tác quản lý, nhưng thực tế cả Ban Giám hiệu không những có trách nhiệm trong quản lý đội tuyển mà còn là những giáo viên trực tiếp bồi dưỡng tuyển (trước khi làm quản lý, hiệu trưởng, hiệu phó là những giáo viên dạy giỏi của trường), tỷ lệ ưu đãi đối với Hiệu phó hiện nay là chưa phù hợp.</w:t>
      </w:r>
    </w:p>
    <w:p w:rsidR="005B6B36" w:rsidRDefault="005B6B36" w:rsidP="00743135">
      <w:pPr>
        <w:spacing w:after="60"/>
        <w:ind w:firstLine="720"/>
        <w:jc w:val="both"/>
        <w:rPr>
          <w:lang w:val="nl-NL"/>
        </w:rPr>
      </w:pPr>
      <w:r>
        <w:rPr>
          <w:lang w:val="nl-NL"/>
        </w:rPr>
        <w:t>- Tiền trả thù lao bồi dưỡng đội tuyển: Khi xây dựng Nghị quyết tính theo mức lương cơ sở năm 2015 và mức chi đào tạo bồi dưỡng cán bộ, công chức của Bộ Tài chính, hiện nay mức lương cơ sở đã tăng và Bộ Tài chính đã thay đổi mức chi đào tạo, bồi dưỡng công chức;</w:t>
      </w:r>
    </w:p>
    <w:p w:rsidR="005B6B36" w:rsidRDefault="005B6B36" w:rsidP="00743135">
      <w:pPr>
        <w:spacing w:after="60"/>
        <w:ind w:firstLine="720"/>
        <w:jc w:val="both"/>
        <w:rPr>
          <w:iCs/>
          <w:lang w:val="en-US"/>
        </w:rPr>
      </w:pPr>
      <w:r>
        <w:rPr>
          <w:lang w:val="nl-NL"/>
        </w:rPr>
        <w:t xml:space="preserve">- Tiền thù lao đối với giáo sư: Khi xây dựng tính theo thị trường, có căn cứ mức chi đào tạo bồi dưỡng cán bộ, công chức của Bộ Tài chính. Hiện nay giá thị trường tăng, mức chi bồi dưỡng cán bộ, công chức của Bộ Tài chính thay đổi; nhiều địa phương áp dụng mức chi cao hơn.    </w:t>
      </w:r>
      <w:r>
        <w:rPr>
          <w:iCs/>
        </w:rPr>
        <w:t xml:space="preserve">  </w:t>
      </w:r>
    </w:p>
    <w:p w:rsidR="005B6B36" w:rsidRPr="005B6B36" w:rsidRDefault="005B6B36" w:rsidP="00743135">
      <w:pPr>
        <w:spacing w:after="60"/>
        <w:ind w:firstLine="720"/>
        <w:jc w:val="both"/>
        <w:rPr>
          <w:iCs/>
          <w:lang w:val="en-US"/>
        </w:rPr>
      </w:pPr>
      <w:r>
        <w:rPr>
          <w:iCs/>
          <w:lang w:val="en-US"/>
        </w:rPr>
        <w:t xml:space="preserve">Do đó, UBND tỉnh dự kiến sẽ trình HĐND tỉnh thông qua </w:t>
      </w:r>
      <w:r w:rsidRPr="005B6B36">
        <w:rPr>
          <w:iCs/>
          <w:lang w:val="en-US"/>
        </w:rPr>
        <w:t>Nghị quyết sửa đổi một số điểm của Nghị quyết số 143/2015/NQ-HĐND ngày 17/7/2015 của HĐND tỉnh quy định một số chính sách đối với Trường THPT Chuyên Hà Tĩnh và giáo viên, học sinh các trường trung học phổ thông khác tham gia bồi dưỡng đội tuyển dự thi học sinh giỏi các môn văn hóa và cuộc thi khoa học kỷ thuật</w:t>
      </w:r>
      <w:r>
        <w:rPr>
          <w:iCs/>
          <w:lang w:val="en-US"/>
        </w:rPr>
        <w:t>, với một số nội dung chính như sau:</w:t>
      </w:r>
    </w:p>
    <w:p w:rsidR="005B6B36" w:rsidRDefault="005B6B36" w:rsidP="00743135">
      <w:pPr>
        <w:numPr>
          <w:ilvl w:val="0"/>
          <w:numId w:val="12"/>
        </w:numPr>
        <w:tabs>
          <w:tab w:val="left" w:pos="993"/>
        </w:tabs>
        <w:spacing w:after="60"/>
        <w:ind w:left="0" w:firstLine="720"/>
        <w:jc w:val="both"/>
        <w:rPr>
          <w:iCs/>
        </w:rPr>
      </w:pPr>
      <w:r>
        <w:rPr>
          <w:iCs/>
        </w:rPr>
        <w:t>Sửa đổi ý 2.1.3 điểm 2.1 khoản 2 Điều 1: “Hỗ trợ tiền ăn, ở trong thời gian tham gia bồi dưỡng đội tuyển dự thi học sinh giỏi quốc gia, khu vực và quốc tế”;</w:t>
      </w:r>
    </w:p>
    <w:p w:rsidR="005B6B36" w:rsidRDefault="005B6B36" w:rsidP="00743135">
      <w:pPr>
        <w:numPr>
          <w:ilvl w:val="0"/>
          <w:numId w:val="12"/>
        </w:numPr>
        <w:tabs>
          <w:tab w:val="left" w:pos="993"/>
        </w:tabs>
        <w:spacing w:after="60"/>
        <w:ind w:left="0" w:firstLine="720"/>
        <w:jc w:val="both"/>
        <w:rPr>
          <w:iCs/>
        </w:rPr>
      </w:pPr>
      <w:r>
        <w:rPr>
          <w:iCs/>
        </w:rPr>
        <w:t>Bổ sung nội dung b ý 2.1.3 điểm 2.1 khoản 2 Điều 1: “Học sinh khi đi học bồi dưỡng ngoài địa bàn tỉnh Hà Tĩnh được hưởng chế độ công tác phí quy định tại Nghị quyết số 70/2017/NQ-HĐND ngày 13/12/2017 của Hội đồng nhân dân tỉnh”;</w:t>
      </w:r>
    </w:p>
    <w:p w:rsidR="005B6B36" w:rsidRDefault="005B6B36" w:rsidP="00743135">
      <w:pPr>
        <w:numPr>
          <w:ilvl w:val="0"/>
          <w:numId w:val="12"/>
        </w:numPr>
        <w:tabs>
          <w:tab w:val="left" w:pos="993"/>
        </w:tabs>
        <w:spacing w:after="60"/>
        <w:ind w:left="0" w:firstLine="720"/>
        <w:jc w:val="both"/>
        <w:rPr>
          <w:iCs/>
        </w:rPr>
      </w:pPr>
      <w:r>
        <w:rPr>
          <w:iCs/>
        </w:rPr>
        <w:t>Sửa đổi nội dung c ý 2.1.3 điểm 2.1 khoản 2 Điều 1: “Số ngày tham gia bồi dưỡng theo kế hoạch được Sở Giáo dục và Đào tạo phê duyệt, nhưng tối đa không quá 95 ngày cho một kỳ thi”;</w:t>
      </w:r>
    </w:p>
    <w:p w:rsidR="005B6B36" w:rsidRDefault="005B6B36" w:rsidP="00743135">
      <w:pPr>
        <w:numPr>
          <w:ilvl w:val="0"/>
          <w:numId w:val="12"/>
        </w:numPr>
        <w:tabs>
          <w:tab w:val="left" w:pos="993"/>
        </w:tabs>
        <w:spacing w:after="60"/>
        <w:ind w:left="0" w:firstLine="720"/>
        <w:jc w:val="both"/>
        <w:rPr>
          <w:iCs/>
        </w:rPr>
      </w:pPr>
      <w:r>
        <w:rPr>
          <w:iCs/>
        </w:rPr>
        <w:t xml:space="preserve">Sửa đổi chính sách ưu đãi đối với giáo viên phó chủ nhiệm đội tuyển tại nội dung a ý 2.2.1 điểm 2.2 khoản 2 Điều 1: “Giáo viên phó chủ nhiệm đội tuyển có học sinh đạt giải trong kỳ thi học sinh giỏi quốc tế được hưởng mức ưu đãi bằng 80% mức của chủ nhiệm đội tuyển”;   </w:t>
      </w:r>
    </w:p>
    <w:p w:rsidR="005B6B36" w:rsidRDefault="005B6B36" w:rsidP="00743135">
      <w:pPr>
        <w:numPr>
          <w:ilvl w:val="0"/>
          <w:numId w:val="12"/>
        </w:numPr>
        <w:tabs>
          <w:tab w:val="left" w:pos="993"/>
        </w:tabs>
        <w:spacing w:after="60"/>
        <w:ind w:left="0" w:firstLine="720"/>
        <w:jc w:val="both"/>
        <w:rPr>
          <w:iCs/>
        </w:rPr>
      </w:pPr>
      <w:r>
        <w:rPr>
          <w:iCs/>
        </w:rPr>
        <w:t xml:space="preserve">Sửa đổi chính sách ưu đãi đối với giáo viên phó chủ nhiệm đội tuyển tại nội dung b ý 2.2.1 điểm 2.2 khoản 2 Điều 1: “giáo viên phó chủ nhiệm đội tuyển được hưởng mức ưu đãi bằng 80% của giáo viên chủ nhiệm đội tuyển”;   </w:t>
      </w:r>
    </w:p>
    <w:p w:rsidR="005B6B36" w:rsidRDefault="005B6B36" w:rsidP="00743135">
      <w:pPr>
        <w:numPr>
          <w:ilvl w:val="0"/>
          <w:numId w:val="12"/>
        </w:numPr>
        <w:tabs>
          <w:tab w:val="left" w:pos="993"/>
        </w:tabs>
        <w:spacing w:after="60"/>
        <w:ind w:left="0" w:firstLine="720"/>
        <w:jc w:val="both"/>
        <w:rPr>
          <w:iCs/>
        </w:rPr>
      </w:pPr>
      <w:r>
        <w:rPr>
          <w:iCs/>
        </w:rPr>
        <w:lastRenderedPageBreak/>
        <w:t xml:space="preserve">Sửa đổi chính sách ưu đãi đối với giáo viên phó chủ nhiệm đội tuyển tại nội dung c ý 2.2.1 điểm 2.2 khoản 2 Điều 1: “giáo viên phó chủ nhiệm đội tuyển được hưởng mức ưu đãi bằng 80% của giáo viên chủ nhiệm đội tuyển”;  </w:t>
      </w:r>
    </w:p>
    <w:p w:rsidR="005B6B36" w:rsidRDefault="005B6B36" w:rsidP="00743135">
      <w:pPr>
        <w:numPr>
          <w:ilvl w:val="0"/>
          <w:numId w:val="12"/>
        </w:numPr>
        <w:tabs>
          <w:tab w:val="left" w:pos="993"/>
        </w:tabs>
        <w:spacing w:after="60"/>
        <w:ind w:left="0" w:firstLine="720"/>
        <w:jc w:val="both"/>
        <w:rPr>
          <w:iCs/>
        </w:rPr>
      </w:pPr>
      <w:r>
        <w:rPr>
          <w:iCs/>
        </w:rPr>
        <w:t xml:space="preserve">Sửa đổi chính sách ưu đãi đối với Hiệu phó tại nội dung đ ý 2.2.1 điểm 2.2 khoản 2 Điều 1: “Hiệu phó được hưởng mức ưu đãi bằng 80% mức ưu đãi của Hiệu trưởng”;  </w:t>
      </w:r>
    </w:p>
    <w:p w:rsidR="005B6B36" w:rsidRDefault="005B6B36" w:rsidP="00743135">
      <w:pPr>
        <w:numPr>
          <w:ilvl w:val="0"/>
          <w:numId w:val="12"/>
        </w:numPr>
        <w:shd w:val="clear" w:color="auto" w:fill="FFFFFF"/>
        <w:tabs>
          <w:tab w:val="left" w:pos="993"/>
        </w:tabs>
        <w:spacing w:after="60"/>
        <w:ind w:left="0" w:firstLine="720"/>
        <w:jc w:val="both"/>
      </w:pPr>
      <w:r>
        <w:rPr>
          <w:iCs/>
        </w:rPr>
        <w:t>Sửa đổi chế độ bồi dưỡng dạy đội tuyển quốc gia, quốc tế tại nội dung a ý 2.2.2 điểm 2.2 khoản 2 Điều 1: “</w:t>
      </w:r>
      <w:r>
        <w:rPr>
          <w:color w:val="000000"/>
        </w:rPr>
        <w:t xml:space="preserve">Đối với giáo viên các trường trung học phổ thông trong tỉnh dạy đội tuyển thi quốc gia, quốc tế được trả tiền thù lao tối đa 1.200.000 đồng/buổi (mỗi buổi </w:t>
      </w:r>
      <w:r>
        <w:t>5 tiết</w:t>
      </w:r>
      <w:r>
        <w:rPr>
          <w:color w:val="000000"/>
        </w:rPr>
        <w:t>). Thời gian hưởng theo thời gian thực tế dạy đội tuyển trong kế hoạch được cấp có thẩm quyền phê duyệt, nhưng tối đa không quá 100 buổi cho một kỳ thi.</w:t>
      </w:r>
    </w:p>
    <w:p w:rsidR="005B6B36" w:rsidRDefault="005B6B36" w:rsidP="00743135">
      <w:pPr>
        <w:numPr>
          <w:ilvl w:val="0"/>
          <w:numId w:val="12"/>
        </w:numPr>
        <w:shd w:val="clear" w:color="auto" w:fill="FFFFFF"/>
        <w:tabs>
          <w:tab w:val="left" w:pos="993"/>
        </w:tabs>
        <w:spacing w:after="60"/>
        <w:ind w:left="0" w:firstLine="720"/>
        <w:jc w:val="both"/>
      </w:pPr>
      <w:r>
        <w:rPr>
          <w:iCs/>
        </w:rPr>
        <w:t>Sửa đổi chế độ bồi dưỡng dạy đội tuyển quốc gia, quốc tế tại nội dung b ý 2.2.2 điểm 2.2 khoản 2 Điều 1:</w:t>
      </w:r>
      <w:r>
        <w:t xml:space="preserve"> “Trường hợp cần thiết, Trường THPT Chuyên Hà Tĩnh báo cáo Sở Giáo dục và Đào tạo quyết định việc mời giáo viên là giáo sư, tiến sĩ ở trong nước và chuyên gia nước ngoài dạy đội tuyển thi quốc gia, quốc tế. Tiền thù lao cho đối tượng này được trả theo hợp đồng, nhưng mức trả 01 buổi cho 5 tiết giảng tối đa không quá 5 triệu đồng (năm triệu đồng) và không quá 10 ngày cho mỗi đội tuyển dự thi quốc gia, không quá 15 ngày cho mỗi đội tuyển dự thi quốc tế”.</w:t>
      </w:r>
    </w:p>
    <w:p w:rsidR="005B6B36" w:rsidRPr="005B6B36" w:rsidRDefault="005B6B36" w:rsidP="00743135">
      <w:pPr>
        <w:numPr>
          <w:ilvl w:val="0"/>
          <w:numId w:val="12"/>
        </w:numPr>
        <w:shd w:val="clear" w:color="auto" w:fill="FFFFFF"/>
        <w:tabs>
          <w:tab w:val="left" w:pos="993"/>
        </w:tabs>
        <w:spacing w:after="60"/>
        <w:ind w:left="0" w:firstLine="720"/>
        <w:jc w:val="both"/>
      </w:pPr>
      <w:r>
        <w:rPr>
          <w:iCs/>
        </w:rPr>
        <w:t>Bổ sung chế độ bồi dưỡng dạy đội dự tuyển chọn đội tuyển dự thi quốc gia tại ý 2.2.2 điểm 2.2 khoản 2 Điều 1:</w:t>
      </w:r>
      <w:r>
        <w:t xml:space="preserve"> “c) </w:t>
      </w:r>
      <w:r>
        <w:rPr>
          <w:color w:val="000000"/>
        </w:rPr>
        <w:t xml:space="preserve">Đối với giáo viên các trường trung học phổ thông trong tỉnh dạy đội dự tuyển để chọn đội tuyển dự thi quốc gia được trả tiền thù lao tối đa 1.000.000 đồng/buổi (mỗi buổi </w:t>
      </w:r>
      <w:r>
        <w:t>5 tiết</w:t>
      </w:r>
      <w:r>
        <w:rPr>
          <w:color w:val="000000"/>
        </w:rPr>
        <w:t>). Thời gian hưởng theo thời gian thực tế dạy đội dự tuyển trong kế hoạch được cấp có thẩm quyền phê duyệt, nhưng tối đa không quá 40 buổi cho một kỳ thi”.</w:t>
      </w:r>
    </w:p>
    <w:p w:rsidR="00173C9D" w:rsidRPr="00754AF8" w:rsidRDefault="00F752DA" w:rsidP="00743135">
      <w:pPr>
        <w:spacing w:after="60"/>
        <w:ind w:firstLine="720"/>
        <w:jc w:val="both"/>
        <w:rPr>
          <w:b/>
          <w:i/>
          <w:sz w:val="24"/>
          <w:szCs w:val="24"/>
          <w:lang w:val="en-US"/>
        </w:rPr>
      </w:pPr>
      <w:r w:rsidRPr="00754AF8">
        <w:rPr>
          <w:b/>
          <w:i/>
          <w:lang w:val="en-US"/>
        </w:rPr>
        <w:t>5</w:t>
      </w:r>
      <w:r w:rsidR="00173C9D" w:rsidRPr="00754AF8">
        <w:rPr>
          <w:b/>
          <w:i/>
          <w:lang w:val="en-US"/>
        </w:rPr>
        <w:t xml:space="preserve">. </w:t>
      </w:r>
      <w:r w:rsidR="00173C9D" w:rsidRPr="00754AF8">
        <w:rPr>
          <w:b/>
          <w:i/>
        </w:rPr>
        <w:t xml:space="preserve">Nghị quyết quyết định chủ trương chuyển đổi mục đích sử dụng rừng sang mục đích khác của các dự án thuộc thẩm quyền của </w:t>
      </w:r>
      <w:r w:rsidR="00E96EB9" w:rsidRPr="00754AF8">
        <w:rPr>
          <w:b/>
          <w:i/>
          <w:lang w:val="en-US"/>
        </w:rPr>
        <w:t>HĐND</w:t>
      </w:r>
      <w:r w:rsidR="00173C9D" w:rsidRPr="00754AF8">
        <w:rPr>
          <w:b/>
          <w:i/>
        </w:rPr>
        <w:t xml:space="preserve"> tỉnh</w:t>
      </w:r>
    </w:p>
    <w:p w:rsidR="00754AF8" w:rsidRPr="00754AF8" w:rsidRDefault="00754AF8" w:rsidP="00743135">
      <w:pPr>
        <w:spacing w:after="60"/>
        <w:ind w:firstLine="720"/>
        <w:jc w:val="both"/>
        <w:rPr>
          <w:spacing w:val="-2"/>
          <w:lang w:val="en-US"/>
        </w:rPr>
      </w:pPr>
      <w:r w:rsidRPr="00754AF8">
        <w:rPr>
          <w:spacing w:val="-2"/>
          <w:lang w:val="nb-NO"/>
        </w:rPr>
        <w:t xml:space="preserve">UBND tỉnh dự kiến trình HĐND tỉnh thông qua Nghị quyết </w:t>
      </w:r>
      <w:r w:rsidRPr="00754AF8">
        <w:rPr>
          <w:spacing w:val="-2"/>
        </w:rPr>
        <w:t>quyết định chủ trương chuyển mục đích sử dụng rừng sang mục đích khác của một số dự án. Hiện nay, UBND tỉnh đang chỉ đạo Sở Nông nghiệp và PTNT kiểm tra, rà soát, tổng hợp tham mưu UBND tỉnh trình HĐND tỉnh tại kỳ họp giữa năm 2020</w:t>
      </w:r>
      <w:r w:rsidRPr="00754AF8">
        <w:rPr>
          <w:spacing w:val="-2"/>
          <w:lang w:val="en-US"/>
        </w:rPr>
        <w:t>.</w:t>
      </w:r>
    </w:p>
    <w:p w:rsidR="00D95C3D" w:rsidRPr="00351039" w:rsidRDefault="00F752DA" w:rsidP="00743135">
      <w:pPr>
        <w:spacing w:after="60"/>
        <w:ind w:firstLine="567"/>
        <w:jc w:val="both"/>
        <w:rPr>
          <w:b/>
          <w:bCs/>
          <w:i/>
          <w:lang w:val="pt-BR"/>
        </w:rPr>
      </w:pPr>
      <w:r w:rsidRPr="00351039">
        <w:rPr>
          <w:b/>
          <w:bCs/>
          <w:i/>
          <w:lang w:val="pt-BR"/>
        </w:rPr>
        <w:t>6</w:t>
      </w:r>
      <w:r w:rsidR="00801BE6" w:rsidRPr="00351039">
        <w:rPr>
          <w:b/>
          <w:bCs/>
          <w:i/>
          <w:lang w:val="pt-BR"/>
        </w:rPr>
        <w:t>. Nghị quyết về thực hiện công tác dân số trong tình hình mới trên địa bàn tỉnh Hà Tĩnh giai đoạn 2021-2030.</w:t>
      </w:r>
    </w:p>
    <w:p w:rsidR="001E54A7" w:rsidRPr="00351039" w:rsidRDefault="001E54A7" w:rsidP="00743135">
      <w:pPr>
        <w:pStyle w:val="BodyText"/>
        <w:tabs>
          <w:tab w:val="left" w:pos="567"/>
        </w:tabs>
        <w:spacing w:after="60"/>
        <w:ind w:firstLine="567"/>
        <w:jc w:val="both"/>
      </w:pPr>
      <w:r w:rsidRPr="00351039">
        <w:t xml:space="preserve">Thời gian qua, công tác dân số của Hà Tĩnh đã đạt được </w:t>
      </w:r>
      <w:r w:rsidRPr="00351039">
        <w:rPr>
          <w:rStyle w:val="fontstyle01"/>
          <w:color w:val="auto"/>
        </w:rPr>
        <w:t>những kết quả quan trọng góp phần vào sự nghiệp phát triển kinh tế - xã hội, nâng cao chất lượng cuộc sống của nhân dân trong tỉnh. Nhận thức và hành động của đại</w:t>
      </w:r>
      <w:r w:rsidRPr="00351039">
        <w:br/>
      </w:r>
      <w:r w:rsidRPr="00351039">
        <w:rPr>
          <w:rStyle w:val="fontstyle01"/>
          <w:color w:val="auto"/>
        </w:rPr>
        <w:t>bộ phận người dân về chính sách dân số - kế hoạch hoá gia đình (DS-KHHGĐ) đã có những chuyển biến tích cực; quy mô gia đình có 2 con được</w:t>
      </w:r>
      <w:r w:rsidRPr="00351039">
        <w:br/>
      </w:r>
      <w:r w:rsidRPr="00351039">
        <w:rPr>
          <w:rStyle w:val="fontstyle01"/>
          <w:color w:val="auto"/>
        </w:rPr>
        <w:t>chấp nhận ngày càng rộng rãi; tốc độ tăng tỷ số giới tính khi sinh bước đầu được khống chế; các mô hình, đề án về can thiệp cơ cấu dân số và nâng cao chất lượng dân số được triển khai thực hiện có hiệu quả.</w:t>
      </w:r>
    </w:p>
    <w:p w:rsidR="001E54A7" w:rsidRPr="00351039" w:rsidRDefault="001E54A7" w:rsidP="00743135">
      <w:pPr>
        <w:spacing w:after="60"/>
        <w:ind w:firstLine="567"/>
        <w:jc w:val="both"/>
      </w:pPr>
      <w:r w:rsidRPr="00351039">
        <w:t xml:space="preserve">Tuy vậy, những năm gần đây tại một số địa phương, đơn vị đã xuất hiện tư tưởng chủ quan với kết quả đạt được bước đầu, chưa quan tâm đúng mức và lâu </w:t>
      </w:r>
      <w:r w:rsidRPr="00351039">
        <w:lastRenderedPageBreak/>
        <w:t xml:space="preserve">dài đối với công tác dân số. Điều này, đã góp phần làm cho việc thực hiện các mục tiêu, chỉ tiêu, các hoạt động liên quan đến chất lượng dân số gặp rất nhiều khó khăn, thách thức. Cả nước đã đạt mức sinh thay thế từ năm 2006 và công tác dân số đã chuyển trọng tâm từ kế hoạch hóa gia đình (KHHGĐ) sang dân số và phát triển nhằm nâng cao chất lượng dân số, chất lượng sống một cách bền vững thì Hà Tĩnh vẫn chưa hoàn thành công tác giảm sinh, là một trong những tỉnh có mức sinh cao của cả nước (tổng tỷ suất sinh - số con trung bình của một phụ nữ suốt thời kỳ sinh đẻ năm 2019 là 2,83 con/phụ nữ, tỷ lệ này của cả nước 2,09 con/phụ nữ, khu vực Bắc Trung Bộ và Duyên hải miền Trung là 2,32 con/phụ nữ). Tỷ suất sinh thô của tỉnh năm 2019 là 17,9‰, cao hơn cả nước (16,3‰), đứng thứ 15/63 tỉnh, thành phố trên toàn quốc và thứ 3 khu vực Bắc Trung Bộ và Duyên hải miền Trung. Tỷ số </w:t>
      </w:r>
      <w:r w:rsidRPr="00351039">
        <w:rPr>
          <w:lang w:val="da-DK"/>
        </w:rPr>
        <w:t xml:space="preserve">giới tính khi sinh năm 2019 ở mức cao (115,2 bé trai/100 bé gái); tình trạng </w:t>
      </w:r>
      <w:r w:rsidRPr="00351039">
        <w:t xml:space="preserve">vi phạm chính sách dân số, nhất là việc sinh con thứ 3 trở lên trong cán bộ, đảng viên còn phổ biến, v.v… </w:t>
      </w:r>
      <w:r w:rsidRPr="00351039">
        <w:rPr>
          <w:lang w:val="da-DK"/>
        </w:rPr>
        <w:t>Chất lượng hoạt động của đ</w:t>
      </w:r>
      <w:r w:rsidRPr="00351039">
        <w:t>ội ngũ cán bộ dân số cấp xã, cộng tác viên (CTV) thôn, tổ dân phố s</w:t>
      </w:r>
      <w:r w:rsidRPr="00351039">
        <w:rPr>
          <w:lang w:val="da-DK"/>
        </w:rPr>
        <w:t>au kiện toàn</w:t>
      </w:r>
      <w:r w:rsidRPr="00351039">
        <w:t xml:space="preserve"> còn bất cập.</w:t>
      </w:r>
    </w:p>
    <w:p w:rsidR="00351039" w:rsidRPr="00351039" w:rsidRDefault="001E54A7" w:rsidP="00743135">
      <w:pPr>
        <w:spacing w:after="60"/>
        <w:ind w:firstLine="567"/>
        <w:jc w:val="both"/>
        <w:rPr>
          <w:lang w:val="en-US"/>
        </w:rPr>
      </w:pPr>
      <w:r w:rsidRPr="00351039">
        <w:t>Để giải quyết những vấn đề cấp bách nêu trên, đòi hỏi phải có những giải pháp mạnh, đồng bộ nhằm nhanh chóng g</w:t>
      </w:r>
      <w:r w:rsidRPr="00351039">
        <w:rPr>
          <w:spacing w:val="-2"/>
        </w:rPr>
        <w:t xml:space="preserve">iảm mức sinh, phấn đấu đạt mức sinh thay thế, đưa tỷ số giới tính khi sinh về mức cân bằng tự nhiên; thích ứng với già hóa dân số; phân bố dân số hợp lý và nâng cao chất lượng dân số, góp phần phát triển bền vững kinh tế - xã hội của tỉnh. Thực hiện </w:t>
      </w:r>
      <w:r w:rsidRPr="00351039">
        <w:t xml:space="preserve">Nghị quyết số 21-NQ/TW, ngày 25/10/2017 của Hội nghị lần thứ sáu Ban Chấp hành Trung ương Đảng khóa XII về công tác dân số trong tình hình mới, Chương trình hành động số </w:t>
      </w:r>
      <w:r w:rsidRPr="00351039">
        <w:rPr>
          <w:iCs/>
        </w:rPr>
        <w:t xml:space="preserve">955-CTr/TU ngày 16/3/2018 của Tỉnh ủy Hà Tĩnh thực hiện Nghị quyết số 21-NQ/TW và </w:t>
      </w:r>
      <w:r w:rsidRPr="00351039">
        <w:t>các văn bản chỉ đạo từ Trung ương đến địa phương về công tác dân số; trên cơ sở này, Ủy ban nhân dân tỉnh xây dựng “</w:t>
      </w:r>
      <w:r w:rsidRPr="00351039">
        <w:rPr>
          <w:b/>
          <w:i/>
        </w:rPr>
        <w:t>Đề án thực hiện công tác dân số trong tình hình mới trên địa bàn tỉnh Hà Tĩnh giai đoạn 2021 - 2030”</w:t>
      </w:r>
      <w:r w:rsidR="00351039" w:rsidRPr="00351039">
        <w:rPr>
          <w:lang w:val="en-US"/>
        </w:rPr>
        <w:t>, với mục tiêu đến năm 2030, cụ thể:</w:t>
      </w:r>
    </w:p>
    <w:p w:rsidR="00351039" w:rsidRPr="00351039" w:rsidRDefault="00351039" w:rsidP="00743135">
      <w:pPr>
        <w:spacing w:after="60"/>
        <w:ind w:firstLine="567"/>
        <w:jc w:val="both"/>
        <w:rPr>
          <w:vertAlign w:val="superscript"/>
        </w:rPr>
      </w:pPr>
      <w:r w:rsidRPr="00351039">
        <w:t>- Tổng tỷ suất sinh đạt khoảng 2,51 con/phụ nữ, quy mô dân số 1,376 triệu người.</w:t>
      </w:r>
    </w:p>
    <w:p w:rsidR="00351039" w:rsidRPr="00351039" w:rsidRDefault="00351039" w:rsidP="00743135">
      <w:pPr>
        <w:spacing w:after="60"/>
        <w:ind w:firstLine="567"/>
        <w:jc w:val="both"/>
      </w:pPr>
      <w:r w:rsidRPr="00351039">
        <w:t>- Giảm 50% chênh lệch mức sinh giữa nông thôn và thành thị; 100% phụ nữ trong độ tuổi sinh đẻ đều được tiếp cận thuận tiện với các biện pháp tránh thai hiện đại.</w:t>
      </w:r>
    </w:p>
    <w:p w:rsidR="00351039" w:rsidRPr="00351039" w:rsidRDefault="00351039" w:rsidP="00743135">
      <w:pPr>
        <w:shd w:val="clear" w:color="auto" w:fill="FFFFFF"/>
        <w:spacing w:after="60"/>
        <w:ind w:firstLine="567"/>
        <w:jc w:val="both"/>
      </w:pPr>
      <w:r w:rsidRPr="00351039">
        <w:t>- Bảo vệ và phát triển các dân tộc thiểu số theo chính sách hiện hành. Đối với dân tộc Chứt, hỗ trợ cải thiện tình trạng dân số cả về số lượng và chất lượng, phấn đấu không có tảo hôn, hôn nhân cận huyết thống.</w:t>
      </w:r>
    </w:p>
    <w:p w:rsidR="00351039" w:rsidRPr="00351039" w:rsidRDefault="00351039" w:rsidP="00743135">
      <w:pPr>
        <w:spacing w:after="60"/>
        <w:ind w:firstLine="567"/>
        <w:jc w:val="both"/>
        <w:rPr>
          <w:vertAlign w:val="superscript"/>
        </w:rPr>
      </w:pPr>
      <w:r w:rsidRPr="00351039">
        <w:t>- Tỷ số giới tính khi sinh đạt khoảng 108 bé trai/100 bé gái sinh ra sống; tỷ lệ trẻ em dưới 15 tuổi đạt khoảng 22,5%; tỷ lệ người từ 65 tuổi trở lên đạt khoảng 11,3%, tỷ lệ phụ thuộc chung đạt khoảng 51%.</w:t>
      </w:r>
    </w:p>
    <w:p w:rsidR="00351039" w:rsidRPr="00351039" w:rsidRDefault="00351039" w:rsidP="00743135">
      <w:pPr>
        <w:spacing w:after="60"/>
        <w:ind w:firstLine="567"/>
        <w:jc w:val="both"/>
      </w:pPr>
      <w:r w:rsidRPr="00351039">
        <w:t>- Tỷ lệ nam, nữ thanh niên được tư vấn sức khỏe trước khi kết hôn đạt 90%; 70% phụ nữ mang thai được tầm soát ít nhất 4 loại bệnh tật bẩm sinh phổ biến nhất; 70% trẻ sơ sinh được tầm soát ít nhất 5 bệnh bẩm sinh phổ biến nhất.</w:t>
      </w:r>
    </w:p>
    <w:p w:rsidR="00351039" w:rsidRPr="00351039" w:rsidRDefault="00351039" w:rsidP="00743135">
      <w:pPr>
        <w:spacing w:after="60"/>
        <w:ind w:firstLine="567"/>
        <w:jc w:val="both"/>
      </w:pPr>
      <w:r w:rsidRPr="00351039">
        <w:t>- Tuổi thọ bình quân đạt 75 tuổi, trong đó thời gian sống khỏe mạnh đạt tối thiểu 68 năm.</w:t>
      </w:r>
    </w:p>
    <w:p w:rsidR="00351039" w:rsidRPr="00351039" w:rsidRDefault="00351039" w:rsidP="00743135">
      <w:pPr>
        <w:shd w:val="clear" w:color="auto" w:fill="FFFFFF"/>
        <w:spacing w:after="60"/>
        <w:ind w:firstLine="567"/>
        <w:jc w:val="both"/>
        <w:rPr>
          <w:rFonts w:eastAsia="MS Mincho"/>
          <w:lang w:eastAsia="ja-JP" w:bidi="mr-IN"/>
        </w:rPr>
      </w:pPr>
      <w:r w:rsidRPr="00351039">
        <w:rPr>
          <w:rFonts w:eastAsia="MS Mincho"/>
          <w:lang w:eastAsia="ja-JP" w:bidi="mr-IN"/>
        </w:rPr>
        <w:lastRenderedPageBreak/>
        <w:t>- Chiều cao trung bình người Hà Tĩnh 18 tuổi đối với nam đạt 168,5 cm, nữ đạt 157,5 cm. Chỉ số phát triển con người (HDI) tương đương mức bình quân chung của cả nước.</w:t>
      </w:r>
    </w:p>
    <w:p w:rsidR="00351039" w:rsidRPr="00351039" w:rsidRDefault="00351039" w:rsidP="00743135">
      <w:pPr>
        <w:spacing w:after="60"/>
        <w:ind w:firstLine="567"/>
        <w:jc w:val="both"/>
      </w:pPr>
      <w:r w:rsidRPr="00351039">
        <w:t>- Tỷ lệ dân số đô thị đạt 35%. Bố trí, sắp xếp dân cư hợp lý ở vùng biên giới, vùng đặc biệt khó khăn. Bảo đảm người di cư được tiếp cận đầy đủ và công bằng các dịch vụ xã hội cơ bản.</w:t>
      </w:r>
    </w:p>
    <w:p w:rsidR="00351039" w:rsidRPr="00351039" w:rsidRDefault="00351039" w:rsidP="00743135">
      <w:pPr>
        <w:spacing w:after="60"/>
        <w:ind w:firstLine="567"/>
        <w:jc w:val="both"/>
      </w:pPr>
      <w:r w:rsidRPr="00351039">
        <w:t>- 100% dân số được đăng ký, quản lý trong hệ thống cơ sở dữ liệu dân cư thống nhất trên toàn tỉnh và quy mô toàn quốc.</w:t>
      </w:r>
    </w:p>
    <w:p w:rsidR="00351039" w:rsidRPr="00351039" w:rsidRDefault="00351039" w:rsidP="00743135">
      <w:pPr>
        <w:spacing w:after="60"/>
        <w:ind w:firstLine="567"/>
        <w:jc w:val="both"/>
      </w:pPr>
      <w:r w:rsidRPr="00351039">
        <w:t>- 100% các ngành, các lĩnh vực sử dụng dữ liệu chuyên ngành dân số vào xây dựng chiến lược, quy hoạch, kế hoạch, chương trình, dự án phát triển kinh tế - xã hội.</w:t>
      </w:r>
    </w:p>
    <w:p w:rsidR="00351039" w:rsidRPr="00351039" w:rsidRDefault="00351039" w:rsidP="00743135">
      <w:pPr>
        <w:shd w:val="clear" w:color="auto" w:fill="FFFFFF"/>
        <w:spacing w:after="60"/>
        <w:ind w:firstLine="567"/>
        <w:jc w:val="both"/>
      </w:pPr>
      <w:r w:rsidRPr="00351039">
        <w:t>- Ít nhất 50% số xã, phường đạt tiêu chí môi trường thân thiện với người cao tuổi; 100% người cao tuổi được quản lý sức khỏe, được khám, chữa bệnh, được chăm sóc tại gia đình, cộng đồng, cơ sở chăm sóc tập trung.</w:t>
      </w:r>
    </w:p>
    <w:p w:rsidR="00801BE6" w:rsidRPr="00F83A3C" w:rsidRDefault="00F752DA" w:rsidP="00743135">
      <w:pPr>
        <w:spacing w:after="60"/>
        <w:ind w:firstLine="720"/>
        <w:jc w:val="both"/>
        <w:rPr>
          <w:rFonts w:ascii="Times New Roman Bold" w:hAnsi="Times New Roman Bold"/>
          <w:b/>
          <w:i/>
          <w:shd w:val="clear" w:color="auto" w:fill="FFFFFF"/>
          <w:lang w:val="en-US"/>
        </w:rPr>
      </w:pPr>
      <w:r w:rsidRPr="00F83A3C">
        <w:rPr>
          <w:rFonts w:ascii="Times New Roman Bold" w:hAnsi="Times New Roman Bold"/>
          <w:b/>
          <w:i/>
          <w:shd w:val="clear" w:color="auto" w:fill="FFFFFF"/>
          <w:lang w:val="en-US"/>
        </w:rPr>
        <w:t>7</w:t>
      </w:r>
      <w:r w:rsidR="00801BE6" w:rsidRPr="00F83A3C">
        <w:rPr>
          <w:rFonts w:ascii="Times New Roman Bold" w:hAnsi="Times New Roman Bold"/>
          <w:b/>
          <w:i/>
          <w:shd w:val="clear" w:color="auto" w:fill="FFFFFF"/>
        </w:rPr>
        <w:t>. Nghị quyết về đảm bảo tài chính cho các hoạt động phòng, chống HIV/AIDS trên địa bàn tỉnh Hà Tĩnh giai đoạn 2021-2025 và những năm tiếp theo.</w:t>
      </w:r>
    </w:p>
    <w:p w:rsidR="00F83A3C" w:rsidRDefault="00F83A3C" w:rsidP="00743135">
      <w:pPr>
        <w:spacing w:after="60"/>
        <w:ind w:firstLine="567"/>
        <w:jc w:val="both"/>
        <w:rPr>
          <w:lang w:val="sv-SE"/>
        </w:rPr>
      </w:pPr>
      <w:r>
        <w:rPr>
          <w:lang w:val="sv-SE"/>
        </w:rPr>
        <w:t>Mặc dù trong những năm qua các hoạt động phòng, chống HIV/AIDS được triển khai một cách quyết liệt, đồng bộ từ cấp tỉnh đến cơ sở, nhưng tình hình dịch HIV/AIDS ở Hà Tĩnh vẫn diễn biến phức tạp. Tỷ lệ người nhiễm mới HIV so với cùng kỳ những năm trước đây giảm không đáng kể, nếu không được kiểm soát tốt nguy cơ tiềm ẩn và dịch HIV/AIDS tiếp tục lây lan nhanh trong cộng động.</w:t>
      </w:r>
    </w:p>
    <w:p w:rsidR="00F83A3C" w:rsidRDefault="00F83A3C" w:rsidP="00743135">
      <w:pPr>
        <w:spacing w:after="60"/>
        <w:ind w:firstLine="567"/>
        <w:jc w:val="both"/>
      </w:pPr>
      <w:r>
        <w:t>Hiện nay</w:t>
      </w:r>
      <w:r>
        <w:rPr>
          <w:lang w:val="en-US"/>
        </w:rPr>
        <w:t>,</w:t>
      </w:r>
      <w:r>
        <w:t xml:space="preserve"> các nguồn ngân sách hỗ trợ cho công tác phòng, chống HIV/AIDS đã cắt giảm, trong đó chủ yếu dựa vào nguồn ngân sách địa phương theo Nghị quyết số 92/2014/NQ-HĐND ngày 16/7/2014 của </w:t>
      </w:r>
      <w:r>
        <w:rPr>
          <w:lang w:val="en-US"/>
        </w:rPr>
        <w:t>HĐND</w:t>
      </w:r>
      <w:r>
        <w:t xml:space="preserve"> tỉnh</w:t>
      </w:r>
      <w:r>
        <w:rPr>
          <w:lang w:val="en-US"/>
        </w:rPr>
        <w:t xml:space="preserve"> </w:t>
      </w:r>
      <w:r>
        <w:t xml:space="preserve">về việc “Bảo đảm tài chính cho các hoạt động phòng, chống HIV/AIDS giai đoạn 2014-2020 tỉnh Hà Tĩnh”. Năm 2021, Nghị quyết số 92/2014/NQ-HĐND đã hết hiệu lực, đồng nghĩa không có nguồn ngân sách hoạt động phòng, chống HIV/AIDS cho những năm tiếp theo. </w:t>
      </w:r>
    </w:p>
    <w:p w:rsidR="00F83A3C" w:rsidRPr="00483B6E" w:rsidRDefault="00F83A3C" w:rsidP="00743135">
      <w:pPr>
        <w:spacing w:after="60"/>
        <w:ind w:firstLine="567"/>
        <w:jc w:val="both"/>
      </w:pPr>
      <w:r w:rsidRPr="00F83A3C">
        <w:rPr>
          <w:lang w:val="en-US"/>
        </w:rPr>
        <w:tab/>
        <w:t xml:space="preserve">Vì vậy, </w:t>
      </w:r>
      <w:r>
        <w:rPr>
          <w:lang w:val="en-US"/>
        </w:rPr>
        <w:t xml:space="preserve">UBND tỉnh dự kiến sẽ trình HĐND tỉnh thông qua </w:t>
      </w:r>
      <w:r w:rsidRPr="00F83A3C">
        <w:rPr>
          <w:lang w:val="en-US"/>
        </w:rPr>
        <w:t>Nghị quyết về đảm bảo tài chính cho các hoạt động phòng, chống HIV/AIDS trên địa bàn tỉnh Hà Tĩnh giai đoạn 2021-2025 và những năm tiếp theo</w:t>
      </w:r>
      <w:r>
        <w:rPr>
          <w:lang w:val="en-US"/>
        </w:rPr>
        <w:t xml:space="preserve"> để </w:t>
      </w:r>
      <w:r>
        <w:t>Bảo đảm tài chính cho các hoạt động phòng, chống HIV/AIDS giai đoạn 2021-2025 và những năm tiếp theo</w:t>
      </w:r>
      <w:r>
        <w:rPr>
          <w:lang w:val="en-US"/>
        </w:rPr>
        <w:t>, với t</w:t>
      </w:r>
      <w:r>
        <w:t xml:space="preserve">ổng nhu cầu kinh phí cho các hoạt động phòng, chống HIV/AIDS giai </w:t>
      </w:r>
      <w:r w:rsidRPr="00483B6E">
        <w:t>đoạn 2021-2025 là 23,868 tỷ đồng, trung bình một năm 4.773 tỷ đồng.</w:t>
      </w:r>
    </w:p>
    <w:p w:rsidR="006517D6" w:rsidRPr="00483B6E" w:rsidRDefault="00F752DA" w:rsidP="00743135">
      <w:pPr>
        <w:spacing w:after="60"/>
        <w:ind w:firstLine="720"/>
        <w:jc w:val="both"/>
        <w:rPr>
          <w:b/>
          <w:i/>
          <w:lang w:val="en-US"/>
        </w:rPr>
      </w:pPr>
      <w:r w:rsidRPr="00483B6E">
        <w:rPr>
          <w:b/>
          <w:i/>
          <w:lang w:val="en-US"/>
        </w:rPr>
        <w:t>8</w:t>
      </w:r>
      <w:r w:rsidR="006517D6" w:rsidRPr="00483B6E">
        <w:rPr>
          <w:b/>
          <w:i/>
          <w:lang w:val="en-US"/>
        </w:rPr>
        <w:t>.</w:t>
      </w:r>
      <w:r w:rsidR="006517D6" w:rsidRPr="00483B6E">
        <w:rPr>
          <w:b/>
          <w:i/>
        </w:rPr>
        <w:t xml:space="preserve"> Nghị quyết về chủ trương đầu tư các dự án đầu tư công nhóm B, nhóm C thuộc thẩm quyền tỉnh quản lý</w:t>
      </w:r>
      <w:r w:rsidR="007E2FBF" w:rsidRPr="00483B6E">
        <w:rPr>
          <w:b/>
          <w:i/>
          <w:lang w:val="en-US"/>
        </w:rPr>
        <w:t xml:space="preserve"> (sửa đổi và bổ sung mới)</w:t>
      </w:r>
      <w:r w:rsidR="006517D6" w:rsidRPr="00483B6E">
        <w:rPr>
          <w:b/>
          <w:i/>
        </w:rPr>
        <w:t xml:space="preserve">. </w:t>
      </w:r>
    </w:p>
    <w:p w:rsidR="00483B6E" w:rsidRPr="00483B6E" w:rsidRDefault="00483B6E" w:rsidP="00743135">
      <w:pPr>
        <w:spacing w:after="60"/>
        <w:ind w:firstLine="720"/>
        <w:jc w:val="both"/>
        <w:rPr>
          <w:lang w:val="nb-NO"/>
        </w:rPr>
      </w:pPr>
      <w:r w:rsidRPr="00483B6E">
        <w:rPr>
          <w:lang w:val="nb-NO"/>
        </w:rPr>
        <w:t>UBND tỉnh dự kiến trình HĐND tỉnh thông qua Nghị quyết về chủ trương đầu tư một số dự án đầu tư công nhóm B, nhóm C trọng điểm. Hiện nay, UBND tỉnh đang giao Sở Kế hoạch và Đầu tư phối hợp với Sở Tài chính tổ chức thẩm định các dự án để báo cáo UBND tỉnh trình HĐND tỉnh thông qua tại kỳ họp.</w:t>
      </w:r>
    </w:p>
    <w:p w:rsidR="000D101F" w:rsidRDefault="000D101F" w:rsidP="00743135">
      <w:pPr>
        <w:spacing w:after="60"/>
        <w:ind w:firstLine="720"/>
        <w:jc w:val="both"/>
        <w:rPr>
          <w:b/>
          <w:i/>
          <w:lang w:val="en-US"/>
        </w:rPr>
      </w:pPr>
    </w:p>
    <w:p w:rsidR="006517D6" w:rsidRPr="00971077" w:rsidRDefault="00F752DA" w:rsidP="00743135">
      <w:pPr>
        <w:spacing w:after="60"/>
        <w:ind w:firstLine="720"/>
        <w:jc w:val="both"/>
        <w:rPr>
          <w:b/>
          <w:i/>
          <w:lang w:val="nb-NO"/>
        </w:rPr>
      </w:pPr>
      <w:r w:rsidRPr="00971077">
        <w:rPr>
          <w:b/>
          <w:i/>
          <w:lang w:val="en-US"/>
        </w:rPr>
        <w:lastRenderedPageBreak/>
        <w:t>9</w:t>
      </w:r>
      <w:r w:rsidR="006517D6" w:rsidRPr="00971077">
        <w:rPr>
          <w:b/>
          <w:i/>
        </w:rPr>
        <w:t xml:space="preserve">. </w:t>
      </w:r>
      <w:r w:rsidR="00AE1455" w:rsidRPr="00971077">
        <w:rPr>
          <w:b/>
          <w:i/>
          <w:lang w:val="nb-NO"/>
        </w:rPr>
        <w:t>Nghị quyết về sáp nhập một số thôn, xóm, khối phố trên địa bàn tỉnh.</w:t>
      </w:r>
    </w:p>
    <w:p w:rsidR="00971077" w:rsidRPr="00924E61" w:rsidRDefault="00971077" w:rsidP="00743135">
      <w:pPr>
        <w:spacing w:after="60"/>
        <w:ind w:firstLine="720"/>
        <w:jc w:val="both"/>
        <w:rPr>
          <w:lang w:val="nb-NO"/>
        </w:rPr>
      </w:pPr>
      <w:r w:rsidRPr="00924E61">
        <w:rPr>
          <w:lang w:val="nb-NO"/>
        </w:rPr>
        <w:t xml:space="preserve">UBND tỉnh dự kiến trình HĐND </w:t>
      </w:r>
      <w:r w:rsidRPr="0097530E">
        <w:rPr>
          <w:lang w:val="nb-NO"/>
        </w:rPr>
        <w:t xml:space="preserve">tỉnh thông qua </w:t>
      </w:r>
      <w:r w:rsidRPr="00971077">
        <w:rPr>
          <w:lang w:val="nb-NO"/>
        </w:rPr>
        <w:t>Nghị quyết về sáp nhập một số thôn, xóm, khối phố trên địa bàn tỉnh</w:t>
      </w:r>
      <w:r w:rsidRPr="00924E61">
        <w:rPr>
          <w:lang w:val="nb-NO"/>
        </w:rPr>
        <w:t>, cụ thể:</w:t>
      </w:r>
    </w:p>
    <w:p w:rsidR="00971077" w:rsidRPr="00971077" w:rsidRDefault="00971077" w:rsidP="00743135">
      <w:pPr>
        <w:spacing w:after="60"/>
        <w:ind w:firstLine="720"/>
        <w:jc w:val="both"/>
        <w:rPr>
          <w:i/>
          <w:lang w:val="nb-NO"/>
        </w:rPr>
      </w:pPr>
      <w:r w:rsidRPr="00971077">
        <w:rPr>
          <w:i/>
          <w:lang w:val="nb-NO"/>
        </w:rPr>
        <w:t>9.1. Thị trấn Cẩm Xuyên, huyện Cẩm Xuyên:</w:t>
      </w:r>
    </w:p>
    <w:p w:rsidR="00971077" w:rsidRPr="00971077" w:rsidRDefault="00971077" w:rsidP="00743135">
      <w:pPr>
        <w:spacing w:after="60"/>
        <w:ind w:firstLine="720"/>
        <w:jc w:val="both"/>
        <w:rPr>
          <w:lang w:val="nb-NO"/>
        </w:rPr>
      </w:pPr>
      <w:r>
        <w:rPr>
          <w:lang w:val="nb-NO"/>
        </w:rPr>
        <w:t>-</w:t>
      </w:r>
      <w:r w:rsidRPr="00971077">
        <w:rPr>
          <w:lang w:val="nb-NO"/>
        </w:rPr>
        <w:t xml:space="preserve"> Đổi tên thôn 2 (xã Cẩm Huy cũ) thành thôn 2A;</w:t>
      </w:r>
    </w:p>
    <w:p w:rsidR="00971077" w:rsidRPr="00971077" w:rsidRDefault="00971077" w:rsidP="00743135">
      <w:pPr>
        <w:spacing w:after="60"/>
        <w:ind w:firstLine="720"/>
        <w:jc w:val="both"/>
        <w:rPr>
          <w:lang w:val="nb-NO"/>
        </w:rPr>
      </w:pPr>
      <w:r>
        <w:rPr>
          <w:lang w:val="nb-NO"/>
        </w:rPr>
        <w:t>-</w:t>
      </w:r>
      <w:r w:rsidRPr="00971077">
        <w:rPr>
          <w:lang w:val="nb-NO"/>
        </w:rPr>
        <w:t xml:space="preserve"> Đổi tên thôn 4 (xã Cẩm Huy cũ) thành thôn 4A;</w:t>
      </w:r>
    </w:p>
    <w:p w:rsidR="00971077" w:rsidRPr="00971077" w:rsidRDefault="00971077" w:rsidP="00743135">
      <w:pPr>
        <w:spacing w:after="60"/>
        <w:ind w:firstLine="720"/>
        <w:jc w:val="both"/>
        <w:rPr>
          <w:lang w:val="nb-NO"/>
        </w:rPr>
      </w:pPr>
      <w:r>
        <w:rPr>
          <w:lang w:val="nb-NO"/>
        </w:rPr>
        <w:t>-</w:t>
      </w:r>
      <w:r w:rsidRPr="00971077">
        <w:rPr>
          <w:lang w:val="nb-NO"/>
        </w:rPr>
        <w:t xml:space="preserve"> Đổi tên thôn 6 (xã Cẩm Huy cũ) thành thôn 6A.</w:t>
      </w:r>
    </w:p>
    <w:p w:rsidR="00971077" w:rsidRPr="00971077" w:rsidRDefault="00971077" w:rsidP="00743135">
      <w:pPr>
        <w:spacing w:after="60"/>
        <w:ind w:firstLine="720"/>
        <w:jc w:val="both"/>
        <w:rPr>
          <w:i/>
          <w:lang w:val="nb-NO"/>
        </w:rPr>
      </w:pPr>
      <w:r w:rsidRPr="00971077">
        <w:rPr>
          <w:i/>
          <w:lang w:val="nb-NO"/>
        </w:rPr>
        <w:t>9.2. Xã Nam Phúc Thăng, huyện Cẩm Xuyên:</w:t>
      </w:r>
    </w:p>
    <w:p w:rsidR="00971077" w:rsidRPr="00971077" w:rsidRDefault="00971077" w:rsidP="00743135">
      <w:pPr>
        <w:spacing w:after="60"/>
        <w:ind w:firstLine="720"/>
        <w:jc w:val="both"/>
        <w:rPr>
          <w:lang w:val="nb-NO"/>
        </w:rPr>
      </w:pPr>
      <w:r>
        <w:rPr>
          <w:lang w:val="nb-NO"/>
        </w:rPr>
        <w:t>-</w:t>
      </w:r>
      <w:r w:rsidRPr="00971077">
        <w:rPr>
          <w:lang w:val="nb-NO"/>
        </w:rPr>
        <w:t xml:space="preserve"> Đổi tên thôn 1 (xã Cẩm Thăng cũ) thành thôn 1A;</w:t>
      </w:r>
    </w:p>
    <w:p w:rsidR="00971077" w:rsidRPr="00971077" w:rsidRDefault="00971077" w:rsidP="00743135">
      <w:pPr>
        <w:spacing w:after="60"/>
        <w:ind w:firstLine="720"/>
        <w:jc w:val="both"/>
        <w:rPr>
          <w:lang w:val="nb-NO"/>
        </w:rPr>
      </w:pPr>
      <w:r>
        <w:rPr>
          <w:lang w:val="nb-NO"/>
        </w:rPr>
        <w:t>-</w:t>
      </w:r>
      <w:r w:rsidRPr="00971077">
        <w:rPr>
          <w:lang w:val="nb-NO"/>
        </w:rPr>
        <w:t xml:space="preserve"> Đổi tên thôn 2 (xã Cẩm Thăng cũ) thành thôn 2A;</w:t>
      </w:r>
    </w:p>
    <w:p w:rsidR="00971077" w:rsidRPr="00971077" w:rsidRDefault="00971077" w:rsidP="00743135">
      <w:pPr>
        <w:spacing w:after="60"/>
        <w:ind w:firstLine="720"/>
        <w:jc w:val="both"/>
        <w:rPr>
          <w:lang w:val="nb-NO"/>
        </w:rPr>
      </w:pPr>
      <w:r>
        <w:rPr>
          <w:lang w:val="nb-NO"/>
        </w:rPr>
        <w:t>-</w:t>
      </w:r>
      <w:r w:rsidRPr="00971077">
        <w:rPr>
          <w:lang w:val="nb-NO"/>
        </w:rPr>
        <w:t xml:space="preserve"> Đổi tên thôn 3 (xã Cẩm Thăng cũ) thành thôn 3A;</w:t>
      </w:r>
    </w:p>
    <w:p w:rsidR="00971077" w:rsidRPr="00971077" w:rsidRDefault="00971077" w:rsidP="00743135">
      <w:pPr>
        <w:spacing w:after="60"/>
        <w:ind w:firstLine="720"/>
        <w:jc w:val="both"/>
        <w:rPr>
          <w:lang w:val="nb-NO"/>
        </w:rPr>
      </w:pPr>
      <w:r>
        <w:rPr>
          <w:lang w:val="nb-NO"/>
        </w:rPr>
        <w:t>-</w:t>
      </w:r>
      <w:r w:rsidRPr="00971077">
        <w:rPr>
          <w:lang w:val="nb-NO"/>
        </w:rPr>
        <w:t xml:space="preserve"> Đổi tên thôn 4 (xã Cẩm Thăng cũ) thành thôn 4A;</w:t>
      </w:r>
    </w:p>
    <w:p w:rsidR="00971077" w:rsidRPr="00971077" w:rsidRDefault="00971077" w:rsidP="00743135">
      <w:pPr>
        <w:spacing w:after="60"/>
        <w:ind w:firstLine="720"/>
        <w:jc w:val="both"/>
        <w:rPr>
          <w:lang w:val="nb-NO"/>
        </w:rPr>
      </w:pPr>
      <w:r>
        <w:rPr>
          <w:lang w:val="nb-NO"/>
        </w:rPr>
        <w:t>-</w:t>
      </w:r>
      <w:r w:rsidRPr="00971077">
        <w:rPr>
          <w:lang w:val="nb-NO"/>
        </w:rPr>
        <w:t xml:space="preserve"> Đổi tên thôn 5 (xã Cẩm Thăng cũ) thành thôn 5A;</w:t>
      </w:r>
    </w:p>
    <w:p w:rsidR="00971077" w:rsidRPr="00971077" w:rsidRDefault="00971077" w:rsidP="00743135">
      <w:pPr>
        <w:spacing w:after="60"/>
        <w:ind w:firstLine="720"/>
        <w:jc w:val="both"/>
        <w:rPr>
          <w:lang w:val="nb-NO"/>
        </w:rPr>
      </w:pPr>
      <w:r>
        <w:rPr>
          <w:lang w:val="nb-NO"/>
        </w:rPr>
        <w:t>-</w:t>
      </w:r>
      <w:r w:rsidRPr="00971077">
        <w:rPr>
          <w:lang w:val="nb-NO"/>
        </w:rPr>
        <w:t xml:space="preserve"> Đổi tên thôn 6 (xã Cẩm Thăng cũ) thành thôn 6A;</w:t>
      </w:r>
    </w:p>
    <w:p w:rsidR="00971077" w:rsidRPr="00971077" w:rsidRDefault="00971077" w:rsidP="00743135">
      <w:pPr>
        <w:spacing w:after="60"/>
        <w:ind w:firstLine="720"/>
        <w:jc w:val="both"/>
        <w:rPr>
          <w:lang w:val="nb-NO"/>
        </w:rPr>
      </w:pPr>
      <w:r>
        <w:rPr>
          <w:lang w:val="nb-NO"/>
        </w:rPr>
        <w:t>-</w:t>
      </w:r>
      <w:r w:rsidRPr="00971077">
        <w:rPr>
          <w:lang w:val="nb-NO"/>
        </w:rPr>
        <w:t xml:space="preserve"> Đổi tên thôn 7 (xã Cẩm Thăng cũ) thành thôn 7A.</w:t>
      </w:r>
    </w:p>
    <w:p w:rsidR="00971077" w:rsidRPr="00971077" w:rsidRDefault="00971077" w:rsidP="00743135">
      <w:pPr>
        <w:spacing w:after="60"/>
        <w:ind w:firstLine="720"/>
        <w:jc w:val="both"/>
        <w:rPr>
          <w:i/>
          <w:lang w:val="nb-NO"/>
        </w:rPr>
      </w:pPr>
      <w:r w:rsidRPr="00971077">
        <w:rPr>
          <w:i/>
          <w:lang w:val="nb-NO"/>
        </w:rPr>
        <w:t>9.3. Thị trấn Thạch Hà, huyện Thạch Hà</w:t>
      </w:r>
    </w:p>
    <w:p w:rsidR="00971077" w:rsidRPr="00971077" w:rsidRDefault="00971077" w:rsidP="00743135">
      <w:pPr>
        <w:spacing w:after="60"/>
        <w:ind w:firstLine="720"/>
        <w:jc w:val="both"/>
        <w:rPr>
          <w:lang w:val="nb-NO"/>
        </w:rPr>
      </w:pPr>
      <w:r>
        <w:rPr>
          <w:lang w:val="nb-NO"/>
        </w:rPr>
        <w:t>-</w:t>
      </w:r>
      <w:r w:rsidRPr="00971077">
        <w:rPr>
          <w:lang w:val="nb-NO"/>
        </w:rPr>
        <w:t xml:space="preserve"> Điều chỉnh, sáp nhập thôn Thanh Mỹ, thôn Hương Lộc và một phần thôn Thanh Minh (thuộc xã Thạch Thanh cũ), đặt tên thôn là thôn 12;</w:t>
      </w:r>
    </w:p>
    <w:p w:rsidR="00971077" w:rsidRPr="00971077" w:rsidRDefault="00971077" w:rsidP="00743135">
      <w:pPr>
        <w:spacing w:after="60"/>
        <w:ind w:firstLine="720"/>
        <w:jc w:val="both"/>
        <w:rPr>
          <w:lang w:val="nb-NO"/>
        </w:rPr>
      </w:pPr>
      <w:r>
        <w:rPr>
          <w:lang w:val="nb-NO"/>
        </w:rPr>
        <w:t>-</w:t>
      </w:r>
      <w:r w:rsidRPr="00971077">
        <w:rPr>
          <w:lang w:val="nb-NO"/>
        </w:rPr>
        <w:t xml:space="preserve"> Điều chính, sáp nhập thôn Phúc Lạc, thôn Thanh Châu và một phần thôn Thanh Minh (thuộc xã Thạch Thanh cũ), đặt tên là thôn 15;</w:t>
      </w:r>
    </w:p>
    <w:p w:rsidR="00971077" w:rsidRPr="00971077" w:rsidRDefault="00971077" w:rsidP="00743135">
      <w:pPr>
        <w:spacing w:after="60"/>
        <w:ind w:firstLine="720"/>
        <w:jc w:val="both"/>
        <w:rPr>
          <w:lang w:val="nb-NO"/>
        </w:rPr>
      </w:pPr>
      <w:r>
        <w:rPr>
          <w:lang w:val="nb-NO"/>
        </w:rPr>
        <w:t>-</w:t>
      </w:r>
      <w:r w:rsidRPr="00971077">
        <w:rPr>
          <w:lang w:val="nb-NO"/>
        </w:rPr>
        <w:t xml:space="preserve"> Sáp nhập thôn Sơn Vĩnh và thôn Hòa Hợp (thuộc xã Thạch Thanh cũ), đặt tên là thôn 13;</w:t>
      </w:r>
    </w:p>
    <w:p w:rsidR="00971077" w:rsidRPr="00971077" w:rsidRDefault="00971077" w:rsidP="00743135">
      <w:pPr>
        <w:spacing w:after="60"/>
        <w:ind w:firstLine="720"/>
        <w:jc w:val="both"/>
        <w:rPr>
          <w:lang w:val="nb-NO"/>
        </w:rPr>
      </w:pPr>
      <w:r>
        <w:rPr>
          <w:lang w:val="nb-NO"/>
        </w:rPr>
        <w:t>-</w:t>
      </w:r>
      <w:r w:rsidRPr="00971077">
        <w:rPr>
          <w:lang w:val="nb-NO"/>
        </w:rPr>
        <w:t xml:space="preserve"> Sáp nhập thôn Thanh Giang và thôn Chương Bình (thuộc xã Thạch Thanh cũ), đặt tên là thôn 14.</w:t>
      </w:r>
    </w:p>
    <w:p w:rsidR="00971077" w:rsidRPr="00971077" w:rsidRDefault="00971077" w:rsidP="00743135">
      <w:pPr>
        <w:spacing w:after="60"/>
        <w:ind w:firstLine="720"/>
        <w:jc w:val="both"/>
        <w:rPr>
          <w:i/>
          <w:lang w:val="nb-NO"/>
        </w:rPr>
      </w:pPr>
      <w:r w:rsidRPr="00971077">
        <w:rPr>
          <w:i/>
          <w:lang w:val="nb-NO"/>
        </w:rPr>
        <w:t>9.4. Xã Tân Lâm Hương, huyện Thạch Hà</w:t>
      </w:r>
    </w:p>
    <w:p w:rsidR="00971077" w:rsidRPr="00971077" w:rsidRDefault="00971077" w:rsidP="00743135">
      <w:pPr>
        <w:spacing w:after="60"/>
        <w:ind w:firstLine="720"/>
        <w:jc w:val="both"/>
        <w:rPr>
          <w:lang w:val="nb-NO"/>
        </w:rPr>
      </w:pPr>
      <w:r>
        <w:rPr>
          <w:lang w:val="nb-NO"/>
        </w:rPr>
        <w:t>-</w:t>
      </w:r>
      <w:r w:rsidRPr="00971077">
        <w:rPr>
          <w:lang w:val="nb-NO"/>
        </w:rPr>
        <w:t xml:space="preserve"> Đổi tên thôn Tân Tiến (xã Thạch Hương cũ) thành thôn Văn Bình;</w:t>
      </w:r>
    </w:p>
    <w:p w:rsidR="00971077" w:rsidRPr="00971077" w:rsidRDefault="00971077" w:rsidP="00743135">
      <w:pPr>
        <w:spacing w:after="60"/>
        <w:ind w:firstLine="720"/>
        <w:jc w:val="both"/>
        <w:rPr>
          <w:lang w:val="nb-NO"/>
        </w:rPr>
      </w:pPr>
      <w:r>
        <w:rPr>
          <w:lang w:val="nb-NO"/>
        </w:rPr>
        <w:t>-</w:t>
      </w:r>
      <w:r w:rsidRPr="00971077">
        <w:rPr>
          <w:lang w:val="nb-NO"/>
        </w:rPr>
        <w:t xml:space="preserve"> Đổi tên thôn Tân Hòa (xã Thạch Hương cũ) thành thôn Tân Hòa 1.</w:t>
      </w:r>
    </w:p>
    <w:p w:rsidR="00ED34B9" w:rsidRDefault="007B4B7C" w:rsidP="00ED34B9">
      <w:pPr>
        <w:spacing w:after="60"/>
        <w:ind w:firstLine="720"/>
        <w:jc w:val="both"/>
        <w:rPr>
          <w:b/>
          <w:i/>
          <w:lang w:val="en-US"/>
        </w:rPr>
      </w:pPr>
      <w:r w:rsidRPr="00C87081">
        <w:rPr>
          <w:b/>
          <w:i/>
          <w:lang w:val="en-US"/>
        </w:rPr>
        <w:t>1</w:t>
      </w:r>
      <w:r w:rsidR="00F752DA" w:rsidRPr="00C87081">
        <w:rPr>
          <w:b/>
          <w:i/>
          <w:lang w:val="en-US"/>
        </w:rPr>
        <w:t>0</w:t>
      </w:r>
      <w:r w:rsidRPr="00C87081">
        <w:rPr>
          <w:b/>
          <w:i/>
          <w:lang w:val="en-US"/>
        </w:rPr>
        <w:t xml:space="preserve">. </w:t>
      </w:r>
      <w:r w:rsidRPr="00C87081">
        <w:rPr>
          <w:b/>
          <w:i/>
        </w:rPr>
        <w:t xml:space="preserve">Nghị quyết về việc điều chỉnh, bổ sung khoản 2 Điều 1 Nghị quyết số 183/NQ-HĐND ngày 15/12/2019 của Hội đồng nhân dân tỉnh về việc thông qua Kế hoạch biên chế công chức trong các cơ quan, tổ chức hành chính; số lượng người làm việc trong các đơn vị sự nghiệp công lập, tổ chức hội và chỉ tiêu lao động hợp đồng năm 2020 (bổ sung, điều chỉnh số người làm việc trong các đơn vị sự nghiệp công lập năm 2020). </w:t>
      </w:r>
    </w:p>
    <w:p w:rsidR="00C87081" w:rsidRPr="00C87081" w:rsidRDefault="00C87081" w:rsidP="00ED34B9">
      <w:pPr>
        <w:spacing w:after="60"/>
        <w:ind w:firstLine="720"/>
        <w:jc w:val="both"/>
        <w:rPr>
          <w:spacing w:val="-2"/>
        </w:rPr>
      </w:pPr>
      <w:r w:rsidRPr="00C87081">
        <w:rPr>
          <w:lang w:val="nb-NO"/>
        </w:rPr>
        <w:t xml:space="preserve">UBND tỉnh dự kiến trình HĐND tỉnh thông qua Nghị quyết </w:t>
      </w:r>
      <w:r w:rsidRPr="00C87081">
        <w:rPr>
          <w:spacing w:val="-2"/>
        </w:rPr>
        <w:t>Đ</w:t>
      </w:r>
      <w:r w:rsidRPr="00C87081">
        <w:rPr>
          <w:rStyle w:val="fontstyle01"/>
          <w:color w:val="auto"/>
        </w:rPr>
        <w:t xml:space="preserve">iều chỉnh, bổ sung khoản 2 Điều 1 Nghị quyết số 183/NQ-HĐND ngày 15/12/2019 của Hội đồng nhân dân tỉnh </w:t>
      </w:r>
      <w:r w:rsidRPr="00C87081">
        <w:rPr>
          <w:spacing w:val="-2"/>
        </w:rPr>
        <w:t>thông qua Kế hoạch biên chế công chức trong các cơ quan, tổ chức hành chính; số lượng người làm việc trong các đơn vị sự nghiệp công lập, tổ chức hội và chỉ tiêu lao động hợp đồng năm 2020, như sau:</w:t>
      </w:r>
    </w:p>
    <w:p w:rsidR="00C87081" w:rsidRPr="00C87081" w:rsidRDefault="00C87081" w:rsidP="00ED34B9">
      <w:pPr>
        <w:spacing w:after="60"/>
        <w:ind w:firstLine="720"/>
        <w:jc w:val="both"/>
        <w:rPr>
          <w:spacing w:val="-2"/>
        </w:rPr>
      </w:pPr>
      <w:r w:rsidRPr="00C87081">
        <w:t>Tổng số người làm việc các đơn vị sự nghiệp công lập năm 2020 giao 27.116</w:t>
      </w:r>
      <w:r w:rsidRPr="00C87081">
        <w:rPr>
          <w:spacing w:val="-2"/>
        </w:rPr>
        <w:t>, trong đó:</w:t>
      </w:r>
    </w:p>
    <w:p w:rsidR="00C87081" w:rsidRPr="00C87081" w:rsidRDefault="00C87081" w:rsidP="00ED34B9">
      <w:pPr>
        <w:spacing w:after="60"/>
        <w:ind w:firstLine="720"/>
        <w:jc w:val="both"/>
        <w:rPr>
          <w:spacing w:val="-2"/>
        </w:rPr>
      </w:pPr>
      <w:r w:rsidRPr="00C87081">
        <w:t>- Số người làm việc sự nghiệp giáo dục và đào tạo: 22.887.</w:t>
      </w:r>
    </w:p>
    <w:p w:rsidR="00C87081" w:rsidRPr="00C87081" w:rsidRDefault="00C87081" w:rsidP="00ED34B9">
      <w:pPr>
        <w:spacing w:after="60"/>
        <w:ind w:firstLine="720"/>
        <w:jc w:val="both"/>
        <w:rPr>
          <w:spacing w:val="-2"/>
        </w:rPr>
      </w:pPr>
      <w:r w:rsidRPr="00C87081">
        <w:rPr>
          <w:spacing w:val="-2"/>
        </w:rPr>
        <w:lastRenderedPageBreak/>
        <w:t>- Số người làm việc sự nghiệp kinh tế và sự nghiệp khác: 625 (thực hiện c</w:t>
      </w:r>
      <w:r w:rsidRPr="00C87081">
        <w:t>huyển 26 người làm việc tại các đơn vị sự nghiệp thuộc Tỉnh đoàn, Hội Nông dân tỉnh gồm Tổng đội Thanh niên xung phong - Xây dựng kinh tế vùng Tây Sơn - Hương Sơn (6), Tổng đội Thanh niên xung phong - Xây dựng kinh tế vùng Phúc Trạch - Hương Khê (4), Trung tâm Hướng nghiệp và Phát triển kinh tế thủy sản Thanh niên xung phong Hà Tĩnh (3), Trường Trung cấp nghề Lý Tự Trọng (2) và Trung tâm Dạy nghề và Hỗ trợ nông dân (11) sang khối Đảng, đoàn thể quản lý</w:t>
      </w:r>
      <w:r w:rsidRPr="00C87081">
        <w:rPr>
          <w:spacing w:val="-2"/>
        </w:rPr>
        <w:t>).</w:t>
      </w:r>
    </w:p>
    <w:p w:rsidR="003E28CB" w:rsidRPr="008B626E" w:rsidRDefault="003E28CB" w:rsidP="00ED34B9">
      <w:pPr>
        <w:tabs>
          <w:tab w:val="left" w:pos="0"/>
        </w:tabs>
        <w:spacing w:after="60"/>
        <w:ind w:firstLine="709"/>
        <w:jc w:val="both"/>
        <w:rPr>
          <w:b/>
          <w:i/>
          <w:lang w:val="en-US"/>
        </w:rPr>
      </w:pPr>
      <w:r w:rsidRPr="008B626E">
        <w:rPr>
          <w:b/>
          <w:i/>
          <w:lang w:val="en-US"/>
        </w:rPr>
        <w:t>11. Tờ trình và dự thảo Nghị quyết về đặt tên một số tuyến đường trên địa bàn các huyện, thành phố, thị xã.</w:t>
      </w:r>
    </w:p>
    <w:p w:rsidR="003E28CB" w:rsidRDefault="004B1E3D" w:rsidP="00ED34B9">
      <w:pPr>
        <w:spacing w:after="60"/>
        <w:ind w:firstLine="720"/>
        <w:jc w:val="both"/>
        <w:rPr>
          <w:b/>
          <w:i/>
        </w:rPr>
      </w:pPr>
      <w:r w:rsidRPr="00C87081">
        <w:rPr>
          <w:lang w:val="nb-NO"/>
        </w:rPr>
        <w:t xml:space="preserve">UBND tỉnh dự kiến trình HĐND tỉnh thông qua Nghị quyết </w:t>
      </w:r>
      <w:r w:rsidRPr="004B1E3D">
        <w:rPr>
          <w:lang w:val="nb-NO"/>
        </w:rPr>
        <w:t>về đặt tên một số tuyến đường trên địa bàn các huyện, thành phố, thị xã</w:t>
      </w:r>
      <w:r>
        <w:rPr>
          <w:lang w:val="nb-NO"/>
        </w:rPr>
        <w:t xml:space="preserve">. Hiện nay, UBND tỉnh đang chỉ đạo Sở Văn hóa, Thể thao và Du lịch </w:t>
      </w:r>
      <w:r>
        <w:t xml:space="preserve">phối hợp với </w:t>
      </w:r>
      <w:r w:rsidR="00CB1A8C">
        <w:rPr>
          <w:lang w:val="en-US"/>
        </w:rPr>
        <w:t xml:space="preserve">UBND </w:t>
      </w:r>
      <w:r>
        <w:t>các huyện</w:t>
      </w:r>
      <w:r>
        <w:rPr>
          <w:lang w:val="en-US"/>
        </w:rPr>
        <w:t xml:space="preserve">, thành phố, thị xã </w:t>
      </w:r>
      <w:r>
        <w:t>kiểm tra, soát xét cụ thể</w:t>
      </w:r>
      <w:r>
        <w:rPr>
          <w:lang w:val="en-US"/>
        </w:rPr>
        <w:t xml:space="preserve"> để tham mưu UBND tỉnh </w:t>
      </w:r>
      <w:r w:rsidR="00CB1A8C">
        <w:rPr>
          <w:lang w:val="en-US"/>
        </w:rPr>
        <w:t>trình HĐND tỉnh tại kỳ họp giữa năm 2020.</w:t>
      </w:r>
    </w:p>
    <w:p w:rsidR="00743135" w:rsidRPr="00743135" w:rsidRDefault="00743135" w:rsidP="00ED34B9">
      <w:pPr>
        <w:pStyle w:val="Noidung"/>
        <w:spacing w:before="0" w:after="60" w:line="240" w:lineRule="auto"/>
        <w:rPr>
          <w:b/>
          <w:i/>
          <w:szCs w:val="28"/>
        </w:rPr>
      </w:pPr>
      <w:r w:rsidRPr="00743135">
        <w:rPr>
          <w:b/>
          <w:i/>
          <w:szCs w:val="28"/>
        </w:rPr>
        <w:t>12. Tờ trình và dự thảo Nghị quyết thông qua nhóm chính sách hỗ trợ phục hồi, phát triển sản xuất kinh doanh và kinh tế trong điều kiện ảnh hưởng bởi dịch Covid-19 (phí lệ phí, thuế trước bạ, hỗ trợ xuất nhập khẩu, du lịch, nông nghiệp, vận tải…).</w:t>
      </w:r>
    </w:p>
    <w:p w:rsidR="00483B6E" w:rsidRDefault="00483B6E" w:rsidP="00ED34B9">
      <w:pPr>
        <w:pStyle w:val="Noidung"/>
        <w:spacing w:before="0" w:after="60" w:line="240" w:lineRule="auto"/>
        <w:rPr>
          <w:highlight w:val="white"/>
        </w:rPr>
      </w:pPr>
      <w:r>
        <w:rPr>
          <w:highlight w:val="white"/>
        </w:rPr>
        <w:t>Dịch Covid-19 đã lan rộng và bùng phát trên toàn cầu, tác động sâu rộng, ảnh hưởng đến mọi mặt của đời sống kinh tế - xã hội; ảnh hưởng đến tâm lý, đời sống của người dân, làm gián đoạn chuỗi cung ứng, đình trệ các hoạt động sản xuất, kinh doanh trên nhiều lĩnh vực; cuộc sống sinh hoạt người dân cả nước nói chung và Hà Tĩnh nói riêng bị ảnh hưởng nặng nề.</w:t>
      </w:r>
    </w:p>
    <w:p w:rsidR="00483B6E" w:rsidRDefault="00483B6E" w:rsidP="00ED34B9">
      <w:pPr>
        <w:pStyle w:val="Noidung"/>
        <w:spacing w:before="0" w:after="60" w:line="240" w:lineRule="auto"/>
        <w:rPr>
          <w:highlight w:val="white"/>
        </w:rPr>
      </w:pPr>
      <w:r>
        <w:rPr>
          <w:highlight w:val="white"/>
        </w:rPr>
        <w:t xml:space="preserve">Với tinh thần “chống dịch như chống giặc”, thời gian qua hệ thống chính trị cả tỉnh đã tập trung chỉ đạo và thực hiện quyết liệt, đạt nhiều kết quả tích cực; ban hành nhiều văn bản chỉ đạo và tổ chức các hoạt động triển khai phòng, chống dịch kịp thời. Đến nay, Hà Tĩnh đã cơ bản được kiểm soát tình hình dịch bệnh, </w:t>
      </w:r>
      <w:r>
        <w:rPr>
          <w:highlight w:val="white"/>
          <w:lang w:val="nl-NL"/>
        </w:rPr>
        <w:t>được Trung ương xếp vào nhóm “nguy cơ thấp” về mức lây nhiễm</w:t>
      </w:r>
      <w:r>
        <w:rPr>
          <w:highlight w:val="white"/>
        </w:rPr>
        <w:t xml:space="preserve">. </w:t>
      </w:r>
    </w:p>
    <w:p w:rsidR="00483B6E" w:rsidRDefault="00483B6E" w:rsidP="00ED34B9">
      <w:pPr>
        <w:pStyle w:val="Noidung"/>
        <w:spacing w:before="0" w:after="60" w:line="240" w:lineRule="auto"/>
        <w:rPr>
          <w:highlight w:val="white"/>
        </w:rPr>
      </w:pPr>
      <w:bookmarkStart w:id="1" w:name="_Toc40640130"/>
      <w:r>
        <w:rPr>
          <w:szCs w:val="28"/>
          <w:highlight w:val="white"/>
        </w:rPr>
        <w:t>Tuy vậy,</w:t>
      </w:r>
      <w:bookmarkEnd w:id="1"/>
      <w:r>
        <w:rPr>
          <w:szCs w:val="28"/>
          <w:highlight w:val="white"/>
        </w:rPr>
        <w:t xml:space="preserve"> </w:t>
      </w:r>
      <w:r>
        <w:rPr>
          <w:highlight w:val="white"/>
        </w:rPr>
        <w:t>l</w:t>
      </w:r>
      <w:r>
        <w:rPr>
          <w:highlight w:val="white"/>
          <w:lang w:val="vi-VN"/>
        </w:rPr>
        <w:t>ực lượng doanh nghiệp (DN)</w:t>
      </w:r>
      <w:r>
        <w:rPr>
          <w:highlight w:val="white"/>
        </w:rPr>
        <w:t xml:space="preserve"> là bộ phận quan trọng của nền kinh tế</w:t>
      </w:r>
      <w:r>
        <w:rPr>
          <w:highlight w:val="white"/>
          <w:lang w:val="vi-VN"/>
        </w:rPr>
        <w:t xml:space="preserve">, hiện đang </w:t>
      </w:r>
      <w:r>
        <w:rPr>
          <w:highlight w:val="white"/>
        </w:rPr>
        <w:t>chịu rất nhiều tổn thất</w:t>
      </w:r>
      <w:r>
        <w:rPr>
          <w:highlight w:val="white"/>
          <w:lang w:val="vi-VN"/>
        </w:rPr>
        <w:t xml:space="preserve">. </w:t>
      </w:r>
      <w:r>
        <w:rPr>
          <w:highlight w:val="white"/>
        </w:rPr>
        <w:t>Đặc biệt,</w:t>
      </w:r>
      <w:r>
        <w:rPr>
          <w:highlight w:val="white"/>
          <w:lang w:val="vi-VN"/>
        </w:rPr>
        <w:t xml:space="preserve"> trong các </w:t>
      </w:r>
      <w:r>
        <w:rPr>
          <w:color w:val="000000"/>
          <w:highlight w:val="white"/>
          <w:lang w:val="vi-VN"/>
        </w:rPr>
        <w:t>nhóm ngành</w:t>
      </w:r>
      <w:r>
        <w:rPr>
          <w:highlight w:val="white"/>
          <w:lang w:val="vi-VN"/>
        </w:rPr>
        <w:t xml:space="preserve"> bị ảnh hưởng trực tiếp như</w:t>
      </w:r>
      <w:r>
        <w:rPr>
          <w:highlight w:val="white"/>
        </w:rPr>
        <w:t>: Du lịch, hậu cần du lịch, nhà hàng, khách sạn</w:t>
      </w:r>
      <w:r>
        <w:rPr>
          <w:highlight w:val="white"/>
          <w:lang w:val="vi-VN"/>
        </w:rPr>
        <w:t>, giáo dục</w:t>
      </w:r>
      <w:r>
        <w:rPr>
          <w:highlight w:val="white"/>
        </w:rPr>
        <w:t>, vận tải, xuất nhập khẩu, sản xuất</w:t>
      </w:r>
      <w:r>
        <w:rPr>
          <w:highlight w:val="white"/>
          <w:lang w:val="vi-VN"/>
        </w:rPr>
        <w:t>…</w:t>
      </w:r>
      <w:r>
        <w:rPr>
          <w:highlight w:val="white"/>
        </w:rPr>
        <w:t xml:space="preserve"> đã </w:t>
      </w:r>
      <w:r>
        <w:rPr>
          <w:highlight w:val="white"/>
          <w:lang w:val="vi-VN"/>
        </w:rPr>
        <w:t>rơi vào tình trạng “ngủ đông” trong suốt 3 tháng qua</w:t>
      </w:r>
      <w:r>
        <w:rPr>
          <w:highlight w:val="white"/>
        </w:rPr>
        <w:t xml:space="preserve">. </w:t>
      </w:r>
      <w:r>
        <w:rPr>
          <w:color w:val="000000"/>
          <w:highlight w:val="white"/>
          <w:lang w:val="vi-VN"/>
        </w:rPr>
        <w:t>Tr</w:t>
      </w:r>
      <w:r>
        <w:rPr>
          <w:color w:val="000000"/>
          <w:highlight w:val="white"/>
        </w:rPr>
        <w:t xml:space="preserve">ước </w:t>
      </w:r>
      <w:r>
        <w:rPr>
          <w:color w:val="000000"/>
          <w:highlight w:val="white"/>
          <w:lang w:val="vi-VN"/>
        </w:rPr>
        <w:t>tình hình</w:t>
      </w:r>
      <w:r>
        <w:rPr>
          <w:highlight w:val="white"/>
          <w:lang w:val="vi-VN"/>
        </w:rPr>
        <w:t xml:space="preserve"> </w:t>
      </w:r>
      <w:r>
        <w:rPr>
          <w:color w:val="000000"/>
          <w:highlight w:val="white"/>
          <w:lang w:val="vi-VN"/>
        </w:rPr>
        <w:t>dịch</w:t>
      </w:r>
      <w:r>
        <w:rPr>
          <w:highlight w:val="white"/>
          <w:lang w:val="vi-VN"/>
        </w:rPr>
        <w:t xml:space="preserve"> bệnh, </w:t>
      </w:r>
      <w:r>
        <w:rPr>
          <w:highlight w:val="white"/>
        </w:rPr>
        <w:t xml:space="preserve">nhiều DN phải đối mặt với “khó khăn kép”: Vừa thiếu hụt nguyên liệu đầu vào, vừa bị giảm mạnh thị trường đầu ra tiêu thụ hàng hoá và xuất khẩu. </w:t>
      </w:r>
    </w:p>
    <w:p w:rsidR="00483B6E" w:rsidRDefault="00483B6E" w:rsidP="00743135">
      <w:pPr>
        <w:pStyle w:val="Noidung"/>
        <w:spacing w:before="0" w:after="60" w:line="240" w:lineRule="auto"/>
        <w:rPr>
          <w:highlight w:val="white"/>
        </w:rPr>
      </w:pPr>
      <w:r>
        <w:rPr>
          <w:highlight w:val="white"/>
        </w:rPr>
        <w:t xml:space="preserve">Ngoài các yếu tố khó khăn nội tại sẵn có của doanh nghiệp như: Khó khăn về tài chính, thiếu lao động, thiếu mặt bằng sản xuất,...thì những tháng đầu năm 2020, ảnh hưởng do dịch Covid-19 đã tác động rất lớn đến hoạt động sản xuất kinh doanh, đặc biệt là các doanh nghiệp hoạt động trong lĩnh vực vận tải, du lịch, lưu trú và xuất khẩu hàng hóa,… sức mua giảm, thị trường các nước bị đóng cửa; hàng tồn kho lớn, nhu cầu tiêu dùng, xuất khẩu giảm mạnh dẫn đến phải thu hẹp sản xuất, ứ đọng vốn; nguồn nguyên liệu phục vụ sản xuất thiếu hụt do lâu nay phải nhập khẩu; lao động kỹ thuật cao, các chuyên gia sau kỳ nghỉ </w:t>
      </w:r>
      <w:r>
        <w:rPr>
          <w:highlight w:val="white"/>
        </w:rPr>
        <w:lastRenderedPageBreak/>
        <w:t xml:space="preserve">Tết Nguyên Đán do dịch bệnh nên chậm quay lại làm việc; doanh nghiệp mới thành lập khó tuyển dụng lao động… dẫn đến doanh thu giảm, lợi nhuận giảm, thậm chí là thua lỗ. Bên cạnh đó do yêu cầu giãn cách xã hội để hạn chế lây lan dịch bệnh, nhiều doanh nghiệp gặp khó khăn trong việc tập hợp lao động. Mặc dù hoạt động sản xuất bị thu hẹp hoặc tạm đóng cửa, nhưng các doanh nghiệp vẫn phải trả khoản vay nợ, lãi suất ngân hàng và các khoản chi </w:t>
      </w:r>
      <w:r>
        <w:rPr>
          <w:color w:val="000000"/>
          <w:highlight w:val="white"/>
        </w:rPr>
        <w:t>phí điện nước</w:t>
      </w:r>
      <w:r>
        <w:rPr>
          <w:highlight w:val="white"/>
        </w:rPr>
        <w:t xml:space="preserve">, tiền lương và bảo hiểm cho lao động, tạo gánh nặng cho doanh nghiệp…. </w:t>
      </w:r>
    </w:p>
    <w:p w:rsidR="00483B6E" w:rsidRDefault="00483B6E" w:rsidP="00743135">
      <w:pPr>
        <w:pStyle w:val="Noidung"/>
        <w:spacing w:before="0" w:after="60" w:line="240" w:lineRule="auto"/>
        <w:rPr>
          <w:szCs w:val="28"/>
          <w:highlight w:val="white"/>
        </w:rPr>
      </w:pPr>
      <w:bookmarkStart w:id="2" w:name="_Toc40640131"/>
      <w:r>
        <w:rPr>
          <w:szCs w:val="28"/>
          <w:highlight w:val="white"/>
        </w:rPr>
        <w:t xml:space="preserve">Nhằm tiếp tục hỗ trợ các doanh nghiệp phục hồi sản xuất kinh doanh, ngoài các giải pháp, cơ chế, chính sách hỗ trợ của Trung ương, tỉnh cũng cần đánh giá đầy đủ tác động của dịch bệnh đối với các doanh nghiệp trên địa bàn, rà soát các cơ chế chính sách đã ban hành để điều chỉnh, bổ sung cho phù hợp, góp phần hỗ trợ doanh nghiệp, thúc đẩy phát triển sản xuất kinh doanh. </w:t>
      </w:r>
    </w:p>
    <w:p w:rsidR="00483B6E" w:rsidRDefault="00743135" w:rsidP="00743135">
      <w:pPr>
        <w:pStyle w:val="Noidung"/>
        <w:spacing w:before="0" w:after="60" w:line="240" w:lineRule="auto"/>
      </w:pPr>
      <w:r>
        <w:t>Do</w:t>
      </w:r>
      <w:r w:rsidR="00483B6E" w:rsidRPr="00483B6E">
        <w:t xml:space="preserve"> vậy, </w:t>
      </w:r>
      <w:r w:rsidR="00483B6E">
        <w:t xml:space="preserve">UBND tỉnh dự kiến sẽ trình HĐND tỉnh thông qua </w:t>
      </w:r>
      <w:r w:rsidR="00483B6E" w:rsidRPr="00483B6E">
        <w:t>Nghị quyết về  nhóm chính sách hỗ trợ phục hồi và phát triển sản xuất kinh doanh và kinh tế trong điều kiện ảnh hưởng bởi Dịch Covid – 19 (phí lệ phí, thuế trước bạ, hỗ trợ xuất nhập khẩu, du lịch,…)</w:t>
      </w:r>
      <w:r w:rsidR="00483B6E">
        <w:t>, với các chính sách cụ thể như sau:</w:t>
      </w:r>
    </w:p>
    <w:p w:rsidR="00AA60BF" w:rsidRPr="0051568C" w:rsidRDefault="00AA60BF" w:rsidP="00AA60BF">
      <w:pPr>
        <w:pStyle w:val="Noidung"/>
        <w:spacing w:before="40"/>
        <w:rPr>
          <w:i/>
          <w:spacing w:val="-6"/>
          <w:lang w:val="vi-VN"/>
        </w:rPr>
      </w:pPr>
      <w:r w:rsidRPr="0051568C">
        <w:rPr>
          <w:i/>
          <w:spacing w:val="-6"/>
        </w:rPr>
        <w:t xml:space="preserve">12.1. </w:t>
      </w:r>
      <w:r w:rsidRPr="0051568C">
        <w:rPr>
          <w:i/>
          <w:spacing w:val="-6"/>
          <w:lang w:val="vi-VN"/>
        </w:rPr>
        <w:t>Sửa đổi, bổ sung một số điều của các Nghị quyết liên quan đến phí, lệ phí:</w:t>
      </w:r>
    </w:p>
    <w:p w:rsidR="00AA60BF" w:rsidRPr="00AA60BF" w:rsidRDefault="00AA60BF" w:rsidP="00AA60BF">
      <w:pPr>
        <w:spacing w:before="40"/>
        <w:ind w:firstLine="720"/>
        <w:jc w:val="both"/>
        <w:rPr>
          <w:i/>
        </w:rPr>
      </w:pPr>
      <w:r>
        <w:rPr>
          <w:i/>
          <w:lang w:val="en-US"/>
        </w:rPr>
        <w:t>a.</w:t>
      </w:r>
      <w:r w:rsidRPr="00AA60BF">
        <w:rPr>
          <w:i/>
        </w:rPr>
        <w:t xml:space="preserve"> Sửa đổi khoản 1 Điều 1, Nghị quyết số 148/2019/NQ-HĐND ngày 17/7/2019 của HĐND tỉnh Hà Tĩnh về việc sửa đổi, bổ sung một số điều của Nghị quyết số 26/2016/NQ-HĐND như sau:</w:t>
      </w:r>
    </w:p>
    <w:p w:rsidR="00AA60BF" w:rsidRDefault="00AA60BF" w:rsidP="00AA60BF">
      <w:pPr>
        <w:spacing w:before="40"/>
        <w:ind w:firstLine="720"/>
        <w:jc w:val="both"/>
        <w:rPr>
          <w:lang w:val="en-US"/>
        </w:rPr>
      </w:pPr>
      <w:r>
        <w:rPr>
          <w:lang w:val="en-US"/>
        </w:rPr>
        <w:t>-</w:t>
      </w:r>
      <w:r>
        <w:t xml:space="preserve"> Điều chỉnh mức phí sử dụng công trình kết cấu hạ tầng trong khu vực Cửa khẩu Quốc tế Cầu Treo để hỗ trợ tổ chức, cá nhân chịu ảnh hưởng bởi dịch Covid-19 như sau:</w:t>
      </w:r>
    </w:p>
    <w:p w:rsidR="00AA60BF" w:rsidRPr="00AA60BF" w:rsidRDefault="00AA60BF" w:rsidP="00AA60BF">
      <w:pPr>
        <w:spacing w:before="40"/>
        <w:ind w:firstLine="720"/>
        <w:jc w:val="both"/>
        <w:rPr>
          <w:sz w:val="6"/>
          <w:lang w:val="en-US"/>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7113"/>
        <w:gridCol w:w="1809"/>
      </w:tblGrid>
      <w:tr w:rsidR="00AA60BF" w:rsidRPr="0051568C" w:rsidTr="00ED34B9">
        <w:trPr>
          <w:trHeight w:val="90"/>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6C6E76" w:rsidP="00ED34B9">
            <w:pPr>
              <w:jc w:val="center"/>
              <w:rPr>
                <w:b/>
                <w:bCs/>
                <w:sz w:val="24"/>
                <w:szCs w:val="24"/>
                <w:lang w:val="en-US"/>
              </w:rPr>
            </w:pPr>
            <w:r w:rsidRPr="0051568C">
              <w:rPr>
                <w:b/>
                <w:bCs/>
                <w:sz w:val="24"/>
                <w:szCs w:val="24"/>
                <w:lang w:val="en-US"/>
              </w:rPr>
              <w:t>Stt</w:t>
            </w:r>
          </w:p>
        </w:tc>
        <w:tc>
          <w:tcPr>
            <w:tcW w:w="711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ED34B9">
            <w:pPr>
              <w:jc w:val="center"/>
              <w:rPr>
                <w:b/>
                <w:bCs/>
                <w:sz w:val="24"/>
                <w:szCs w:val="24"/>
              </w:rPr>
            </w:pPr>
            <w:r w:rsidRPr="0051568C">
              <w:rPr>
                <w:b/>
                <w:bCs/>
                <w:sz w:val="24"/>
                <w:szCs w:val="24"/>
              </w:rPr>
              <w:t>Phương tiện vận tải chở hàng hóa</w:t>
            </w:r>
          </w:p>
        </w:tc>
        <w:tc>
          <w:tcPr>
            <w:tcW w:w="1809" w:type="dxa"/>
            <w:tcBorders>
              <w:top w:val="single" w:sz="4" w:space="0" w:color="auto"/>
              <w:left w:val="single" w:sz="4" w:space="0" w:color="auto"/>
              <w:bottom w:val="single" w:sz="4" w:space="0" w:color="auto"/>
              <w:right w:val="single" w:sz="4" w:space="0" w:color="auto"/>
            </w:tcBorders>
            <w:hideMark/>
          </w:tcPr>
          <w:p w:rsidR="00AA60BF" w:rsidRPr="00ED34B9" w:rsidRDefault="00AA60BF" w:rsidP="00ED34B9">
            <w:pPr>
              <w:jc w:val="center"/>
              <w:rPr>
                <w:b/>
                <w:bCs/>
                <w:sz w:val="24"/>
                <w:szCs w:val="24"/>
                <w:lang w:val="en-US"/>
              </w:rPr>
            </w:pPr>
            <w:r w:rsidRPr="0051568C">
              <w:rPr>
                <w:b/>
                <w:bCs/>
                <w:sz w:val="24"/>
                <w:szCs w:val="24"/>
              </w:rPr>
              <w:t>Mức thu</w:t>
            </w:r>
            <w:r w:rsidR="00ED34B9">
              <w:rPr>
                <w:b/>
                <w:bCs/>
                <w:sz w:val="24"/>
                <w:szCs w:val="24"/>
                <w:lang w:val="en-US"/>
              </w:rPr>
              <w:t xml:space="preserve"> </w:t>
            </w:r>
            <w:r w:rsidRPr="0051568C">
              <w:rPr>
                <w:b/>
                <w:bCs/>
                <w:sz w:val="24"/>
                <w:szCs w:val="24"/>
              </w:rPr>
              <w:t>(đồng/xe/lượt</w:t>
            </w:r>
            <w:r w:rsidR="00ED34B9">
              <w:rPr>
                <w:b/>
                <w:bCs/>
                <w:sz w:val="24"/>
                <w:szCs w:val="24"/>
                <w:lang w:val="en-US"/>
              </w:rPr>
              <w:t>)</w:t>
            </w:r>
          </w:p>
        </w:tc>
      </w:tr>
      <w:tr w:rsidR="00AA60BF" w:rsidRPr="0051568C" w:rsidTr="00ED34B9">
        <w:trPr>
          <w:trHeight w:val="258"/>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center"/>
              <w:rPr>
                <w:b/>
                <w:bCs/>
                <w:sz w:val="24"/>
                <w:szCs w:val="24"/>
              </w:rPr>
            </w:pPr>
            <w:r w:rsidRPr="0051568C">
              <w:rPr>
                <w:b/>
                <w:bCs/>
                <w:sz w:val="24"/>
                <w:szCs w:val="24"/>
              </w:rPr>
              <w:t>I</w:t>
            </w:r>
          </w:p>
        </w:tc>
        <w:tc>
          <w:tcPr>
            <w:tcW w:w="8922" w:type="dxa"/>
            <w:gridSpan w:val="2"/>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rPr>
                <w:b/>
                <w:bCs/>
                <w:sz w:val="24"/>
                <w:szCs w:val="24"/>
              </w:rPr>
            </w:pPr>
            <w:r w:rsidRPr="0051568C">
              <w:rPr>
                <w:b/>
                <w:bCs/>
                <w:sz w:val="24"/>
                <w:szCs w:val="24"/>
              </w:rPr>
              <w:t>Phương tiện vận tải chở hàng hóa xuất, nhập khẩu, tạm xuất - tái nhập</w:t>
            </w:r>
          </w:p>
        </w:tc>
      </w:tr>
      <w:tr w:rsidR="00AA60BF" w:rsidRPr="0051568C" w:rsidTr="00ED34B9">
        <w:trPr>
          <w:trHeight w:val="6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center"/>
              <w:rPr>
                <w:bCs/>
                <w:sz w:val="24"/>
                <w:szCs w:val="24"/>
              </w:rPr>
            </w:pPr>
            <w:r w:rsidRPr="0051568C">
              <w:rPr>
                <w:bCs/>
                <w:sz w:val="24"/>
                <w:szCs w:val="24"/>
              </w:rPr>
              <w:t>1</w:t>
            </w:r>
          </w:p>
        </w:tc>
        <w:tc>
          <w:tcPr>
            <w:tcW w:w="711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rPr>
                <w:bCs/>
                <w:sz w:val="24"/>
                <w:szCs w:val="24"/>
              </w:rPr>
            </w:pPr>
            <w:r w:rsidRPr="0051568C">
              <w:rPr>
                <w:bCs/>
                <w:sz w:val="24"/>
                <w:szCs w:val="24"/>
              </w:rPr>
              <w:t>Phương tiện có tải trọng dưới 05 tấn</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right"/>
              <w:rPr>
                <w:bCs/>
                <w:sz w:val="24"/>
                <w:szCs w:val="24"/>
              </w:rPr>
            </w:pPr>
            <w:r w:rsidRPr="0051568C">
              <w:rPr>
                <w:bCs/>
                <w:sz w:val="24"/>
                <w:szCs w:val="24"/>
              </w:rPr>
              <w:t>30.000</w:t>
            </w:r>
          </w:p>
        </w:tc>
      </w:tr>
      <w:tr w:rsidR="00AA60BF" w:rsidRPr="0051568C" w:rsidTr="00ED34B9">
        <w:trPr>
          <w:trHeight w:val="6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center"/>
              <w:rPr>
                <w:bCs/>
                <w:sz w:val="24"/>
                <w:szCs w:val="24"/>
              </w:rPr>
            </w:pPr>
            <w:r w:rsidRPr="0051568C">
              <w:rPr>
                <w:bCs/>
                <w:sz w:val="24"/>
                <w:szCs w:val="24"/>
              </w:rPr>
              <w:t>2</w:t>
            </w:r>
          </w:p>
        </w:tc>
        <w:tc>
          <w:tcPr>
            <w:tcW w:w="711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ind w:right="-1808"/>
              <w:rPr>
                <w:bCs/>
                <w:sz w:val="24"/>
                <w:szCs w:val="24"/>
              </w:rPr>
            </w:pPr>
            <w:r w:rsidRPr="0051568C">
              <w:rPr>
                <w:bCs/>
                <w:sz w:val="24"/>
                <w:szCs w:val="24"/>
              </w:rPr>
              <w:t>Phương tiện có tải trọng từ 05 tấn đến dưới 10 tấn</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right"/>
              <w:rPr>
                <w:bCs/>
                <w:sz w:val="24"/>
                <w:szCs w:val="24"/>
              </w:rPr>
            </w:pPr>
            <w:r w:rsidRPr="0051568C">
              <w:rPr>
                <w:bCs/>
                <w:sz w:val="24"/>
                <w:szCs w:val="24"/>
              </w:rPr>
              <w:t>60.000</w:t>
            </w:r>
          </w:p>
        </w:tc>
      </w:tr>
      <w:tr w:rsidR="00AA60BF" w:rsidRPr="0051568C" w:rsidTr="00ED34B9">
        <w:trPr>
          <w:trHeight w:val="110"/>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center"/>
              <w:rPr>
                <w:bCs/>
                <w:sz w:val="24"/>
                <w:szCs w:val="24"/>
              </w:rPr>
            </w:pPr>
            <w:r w:rsidRPr="0051568C">
              <w:rPr>
                <w:bCs/>
                <w:sz w:val="24"/>
                <w:szCs w:val="24"/>
              </w:rPr>
              <w:t>3</w:t>
            </w:r>
          </w:p>
        </w:tc>
        <w:tc>
          <w:tcPr>
            <w:tcW w:w="711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rPr>
                <w:bCs/>
                <w:sz w:val="24"/>
                <w:szCs w:val="24"/>
              </w:rPr>
            </w:pPr>
            <w:r w:rsidRPr="0051568C">
              <w:rPr>
                <w:bCs/>
                <w:sz w:val="24"/>
                <w:szCs w:val="24"/>
              </w:rPr>
              <w:t>Phương tiện có tải trọng từ 10 tấn đến dưới 20 tấn, xe container 20Feet</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right"/>
              <w:rPr>
                <w:bCs/>
                <w:sz w:val="24"/>
                <w:szCs w:val="24"/>
              </w:rPr>
            </w:pPr>
            <w:r w:rsidRPr="0051568C">
              <w:rPr>
                <w:bCs/>
                <w:sz w:val="24"/>
                <w:szCs w:val="24"/>
              </w:rPr>
              <w:t>120.000</w:t>
            </w:r>
          </w:p>
        </w:tc>
      </w:tr>
      <w:tr w:rsidR="00AA60BF" w:rsidRPr="0051568C" w:rsidTr="00ED34B9">
        <w:trPr>
          <w:trHeight w:val="246"/>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center"/>
              <w:rPr>
                <w:bCs/>
                <w:sz w:val="24"/>
                <w:szCs w:val="24"/>
              </w:rPr>
            </w:pPr>
            <w:r w:rsidRPr="0051568C">
              <w:rPr>
                <w:bCs/>
                <w:sz w:val="24"/>
                <w:szCs w:val="24"/>
              </w:rPr>
              <w:t>4</w:t>
            </w:r>
          </w:p>
        </w:tc>
        <w:tc>
          <w:tcPr>
            <w:tcW w:w="711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rPr>
                <w:bCs/>
                <w:sz w:val="24"/>
                <w:szCs w:val="24"/>
              </w:rPr>
            </w:pPr>
            <w:r w:rsidRPr="0051568C">
              <w:rPr>
                <w:bCs/>
                <w:sz w:val="24"/>
                <w:szCs w:val="24"/>
              </w:rPr>
              <w:t>Phương tiện có tải trọng từ 20 tấn trở lên, xe container 40Feet</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right"/>
              <w:rPr>
                <w:bCs/>
                <w:sz w:val="24"/>
                <w:szCs w:val="24"/>
              </w:rPr>
            </w:pPr>
            <w:r w:rsidRPr="0051568C">
              <w:rPr>
                <w:bCs/>
                <w:sz w:val="24"/>
                <w:szCs w:val="24"/>
              </w:rPr>
              <w:t>240.000</w:t>
            </w:r>
          </w:p>
        </w:tc>
      </w:tr>
      <w:tr w:rsidR="00AA60BF" w:rsidRPr="0051568C" w:rsidTr="00ED34B9">
        <w:trPr>
          <w:trHeight w:val="6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center"/>
              <w:rPr>
                <w:b/>
                <w:bCs/>
                <w:sz w:val="24"/>
                <w:szCs w:val="24"/>
              </w:rPr>
            </w:pPr>
            <w:r w:rsidRPr="0051568C">
              <w:rPr>
                <w:b/>
                <w:bCs/>
                <w:sz w:val="24"/>
                <w:szCs w:val="24"/>
              </w:rPr>
              <w:t>II</w:t>
            </w:r>
          </w:p>
        </w:tc>
        <w:tc>
          <w:tcPr>
            <w:tcW w:w="8922" w:type="dxa"/>
            <w:gridSpan w:val="2"/>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ED34B9">
            <w:pPr>
              <w:jc w:val="both"/>
              <w:rPr>
                <w:b/>
                <w:bCs/>
                <w:sz w:val="24"/>
                <w:szCs w:val="24"/>
              </w:rPr>
            </w:pPr>
            <w:r w:rsidRPr="0051568C">
              <w:rPr>
                <w:b/>
                <w:bCs/>
                <w:sz w:val="24"/>
                <w:szCs w:val="24"/>
              </w:rPr>
              <w:t>Phương tiện vận tải chở hàng hóa tạm nhập - tái xuất, hàng hóa quá cảnh, chuyển</w:t>
            </w:r>
            <w:r w:rsidR="00ED34B9">
              <w:rPr>
                <w:b/>
                <w:bCs/>
                <w:sz w:val="24"/>
                <w:szCs w:val="24"/>
                <w:lang w:val="en-US"/>
              </w:rPr>
              <w:t xml:space="preserve"> </w:t>
            </w:r>
            <w:r w:rsidRPr="0051568C">
              <w:rPr>
                <w:b/>
                <w:bCs/>
                <w:sz w:val="24"/>
                <w:szCs w:val="24"/>
              </w:rPr>
              <w:t>khẩu, hàng hóa gửi kho ngoại quan</w:t>
            </w:r>
          </w:p>
        </w:tc>
      </w:tr>
      <w:tr w:rsidR="00AA60BF" w:rsidRPr="0051568C" w:rsidTr="00ED34B9">
        <w:trPr>
          <w:trHeight w:val="13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center"/>
              <w:rPr>
                <w:bCs/>
                <w:sz w:val="24"/>
                <w:szCs w:val="24"/>
              </w:rPr>
            </w:pPr>
            <w:r w:rsidRPr="0051568C">
              <w:rPr>
                <w:bCs/>
                <w:sz w:val="24"/>
                <w:szCs w:val="24"/>
              </w:rPr>
              <w:t>1</w:t>
            </w:r>
          </w:p>
        </w:tc>
        <w:tc>
          <w:tcPr>
            <w:tcW w:w="711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rPr>
                <w:bCs/>
                <w:sz w:val="24"/>
                <w:szCs w:val="24"/>
              </w:rPr>
            </w:pPr>
            <w:r w:rsidRPr="0051568C">
              <w:rPr>
                <w:bCs/>
                <w:sz w:val="24"/>
                <w:szCs w:val="24"/>
              </w:rPr>
              <w:t>Phương tiện có tải trọng dưới 05 tấn</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right"/>
              <w:rPr>
                <w:bCs/>
                <w:sz w:val="24"/>
                <w:szCs w:val="24"/>
              </w:rPr>
            </w:pPr>
            <w:r w:rsidRPr="0051568C">
              <w:rPr>
                <w:bCs/>
                <w:sz w:val="24"/>
                <w:szCs w:val="24"/>
              </w:rPr>
              <w:t>120.000</w:t>
            </w:r>
          </w:p>
        </w:tc>
      </w:tr>
      <w:tr w:rsidR="00AA60BF" w:rsidRPr="0051568C" w:rsidTr="00ED34B9">
        <w:trPr>
          <w:trHeight w:val="279"/>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center"/>
              <w:rPr>
                <w:bCs/>
                <w:sz w:val="24"/>
                <w:szCs w:val="24"/>
              </w:rPr>
            </w:pPr>
            <w:r w:rsidRPr="0051568C">
              <w:rPr>
                <w:bCs/>
                <w:sz w:val="24"/>
                <w:szCs w:val="24"/>
              </w:rPr>
              <w:t>2</w:t>
            </w:r>
          </w:p>
        </w:tc>
        <w:tc>
          <w:tcPr>
            <w:tcW w:w="711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rPr>
                <w:bCs/>
                <w:sz w:val="24"/>
                <w:szCs w:val="24"/>
              </w:rPr>
            </w:pPr>
            <w:r w:rsidRPr="0051568C">
              <w:rPr>
                <w:bCs/>
                <w:sz w:val="24"/>
                <w:szCs w:val="24"/>
              </w:rPr>
              <w:t>Phương tiện có tải trọng từ 05 tấn đến dưới 10 tấn</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right"/>
              <w:rPr>
                <w:bCs/>
                <w:sz w:val="24"/>
                <w:szCs w:val="24"/>
              </w:rPr>
            </w:pPr>
            <w:r w:rsidRPr="0051568C">
              <w:rPr>
                <w:bCs/>
                <w:sz w:val="24"/>
                <w:szCs w:val="24"/>
              </w:rPr>
              <w:t>220.000</w:t>
            </w:r>
          </w:p>
        </w:tc>
      </w:tr>
      <w:tr w:rsidR="00AA60BF" w:rsidRPr="0051568C" w:rsidTr="00ED34B9">
        <w:trPr>
          <w:trHeight w:val="256"/>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center"/>
              <w:rPr>
                <w:bCs/>
                <w:sz w:val="24"/>
                <w:szCs w:val="24"/>
              </w:rPr>
            </w:pPr>
            <w:r w:rsidRPr="0051568C">
              <w:rPr>
                <w:bCs/>
                <w:sz w:val="24"/>
                <w:szCs w:val="24"/>
              </w:rPr>
              <w:t>3</w:t>
            </w:r>
          </w:p>
        </w:tc>
        <w:tc>
          <w:tcPr>
            <w:tcW w:w="711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rPr>
                <w:bCs/>
                <w:sz w:val="24"/>
                <w:szCs w:val="24"/>
              </w:rPr>
            </w:pPr>
            <w:r w:rsidRPr="0051568C">
              <w:rPr>
                <w:bCs/>
                <w:sz w:val="24"/>
                <w:szCs w:val="24"/>
              </w:rPr>
              <w:t>Phương tiện có tải trọng từ 10 tấn đến dưới 20 tấn, xe container 20Feet</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right"/>
              <w:rPr>
                <w:bCs/>
                <w:sz w:val="24"/>
                <w:szCs w:val="24"/>
              </w:rPr>
            </w:pPr>
            <w:r w:rsidRPr="0051568C">
              <w:rPr>
                <w:bCs/>
                <w:sz w:val="24"/>
                <w:szCs w:val="24"/>
              </w:rPr>
              <w:t>320.000</w:t>
            </w:r>
          </w:p>
        </w:tc>
      </w:tr>
      <w:tr w:rsidR="00AA60BF" w:rsidRPr="0051568C" w:rsidTr="00ED34B9">
        <w:trPr>
          <w:trHeight w:val="63"/>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center"/>
              <w:rPr>
                <w:bCs/>
                <w:sz w:val="24"/>
                <w:szCs w:val="24"/>
              </w:rPr>
            </w:pPr>
            <w:r w:rsidRPr="0051568C">
              <w:rPr>
                <w:bCs/>
                <w:sz w:val="24"/>
                <w:szCs w:val="24"/>
              </w:rPr>
              <w:t>4</w:t>
            </w:r>
          </w:p>
        </w:tc>
        <w:tc>
          <w:tcPr>
            <w:tcW w:w="7113"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rPr>
                <w:bCs/>
                <w:sz w:val="24"/>
                <w:szCs w:val="24"/>
              </w:rPr>
            </w:pPr>
            <w:r w:rsidRPr="0051568C">
              <w:rPr>
                <w:bCs/>
                <w:sz w:val="24"/>
                <w:szCs w:val="24"/>
              </w:rPr>
              <w:t>Phương tiện có tải trọng từ 20 tấn trở lên, xe container 40Feet</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60BF" w:rsidRPr="0051568C" w:rsidRDefault="00AA60BF" w:rsidP="00AA60BF">
            <w:pPr>
              <w:jc w:val="right"/>
              <w:rPr>
                <w:bCs/>
                <w:sz w:val="24"/>
                <w:szCs w:val="24"/>
              </w:rPr>
            </w:pPr>
            <w:r w:rsidRPr="0051568C">
              <w:rPr>
                <w:bCs/>
                <w:sz w:val="24"/>
                <w:szCs w:val="24"/>
              </w:rPr>
              <w:t>480.000</w:t>
            </w:r>
          </w:p>
        </w:tc>
      </w:tr>
    </w:tbl>
    <w:p w:rsidR="00AA60BF" w:rsidRDefault="00AA60BF" w:rsidP="00AA60BF">
      <w:pPr>
        <w:spacing w:before="40"/>
        <w:ind w:firstLine="720"/>
        <w:jc w:val="both"/>
        <w:rPr>
          <w:lang w:val="en-US"/>
        </w:rPr>
      </w:pPr>
      <w:r>
        <w:rPr>
          <w:bCs/>
          <w:lang w:val="en-US"/>
        </w:rPr>
        <w:t>-</w:t>
      </w:r>
      <w:r>
        <w:rPr>
          <w:bCs/>
        </w:rPr>
        <w:t xml:space="preserve"> Thời gian áp dụng: Đ</w:t>
      </w:r>
      <w:r>
        <w:t xml:space="preserve">ến hết ngày 31/12/2020. </w:t>
      </w:r>
    </w:p>
    <w:p w:rsidR="00AA60BF" w:rsidRPr="00AA60BF" w:rsidRDefault="00AA60BF" w:rsidP="00AA60BF">
      <w:pPr>
        <w:spacing w:before="40"/>
        <w:ind w:firstLine="720"/>
        <w:jc w:val="both"/>
        <w:rPr>
          <w:i/>
        </w:rPr>
      </w:pPr>
      <w:r>
        <w:rPr>
          <w:i/>
          <w:lang w:val="en-US"/>
        </w:rPr>
        <w:t>b</w:t>
      </w:r>
      <w:r w:rsidRPr="00AA60BF">
        <w:rPr>
          <w:i/>
        </w:rPr>
        <w:t>. Điều chỉnh điểm đ, khoản 6; điểm đ, khoản 8 Điều 5, Nghị quyết số 26/2016/NQ-HĐND ngày 15/12/2016 của Hội đồng nhân dân tỉnh khóa XVII, kỳ họp thứ 3 quy định về mức thu, miễn, giảm, thu, nộp, quản lý và sử dụng các khoản phí, lệ phí thuộc thẩm quyền của HĐND tỉnh trên địa bàn tỉnh Hà Tĩnh, cụ thể như sau:</w:t>
      </w:r>
    </w:p>
    <w:p w:rsidR="00AA60BF" w:rsidRDefault="00AA60BF" w:rsidP="00AA60BF">
      <w:pPr>
        <w:spacing w:before="40"/>
        <w:ind w:firstLine="720"/>
        <w:jc w:val="both"/>
      </w:pPr>
      <w:r>
        <w:rPr>
          <w:lang w:val="en-US"/>
        </w:rPr>
        <w:t xml:space="preserve">- </w:t>
      </w:r>
      <w:r>
        <w:t>Giảm 20% mức thu phí thẩm định báo cáo đánh giá tác động môi trường lần đầu; phí thẩm định hồ sơ cấp Giấy chứng nhận quyền sử dụng đất được quy định tại điểm đ, khoản 6, điểm đ, khoản 8 Điều 5; Nghị quyết số 26/2016/NQ-</w:t>
      </w:r>
      <w:r>
        <w:lastRenderedPageBreak/>
        <w:t>HĐND ngày 15/12/2016 của Hội đồng nhân dân tỉnh khóa XVII, kỳ họp thứ 3 quy định về mức thu, miễn, giảm, thu, nộp, quản lý và sử dụng các khoản phí, lệ phí thuộc thẩm quyền của HĐND tỉnh trên địa bàn tỉnh Hà Tĩnh</w:t>
      </w:r>
    </w:p>
    <w:p w:rsidR="00AA60BF" w:rsidRDefault="00AA60BF" w:rsidP="00AA60BF">
      <w:pPr>
        <w:spacing w:before="40"/>
        <w:ind w:firstLine="720"/>
        <w:jc w:val="both"/>
      </w:pPr>
      <w:r>
        <w:rPr>
          <w:lang w:val="en-US"/>
        </w:rPr>
        <w:t xml:space="preserve">- </w:t>
      </w:r>
      <w:r>
        <w:t xml:space="preserve">Thời gian áp dụng: </w:t>
      </w:r>
      <w:r>
        <w:rPr>
          <w:bCs/>
        </w:rPr>
        <w:t>Đ</w:t>
      </w:r>
      <w:r>
        <w:t xml:space="preserve">ến hết ngày 31/12/2020. </w:t>
      </w:r>
    </w:p>
    <w:p w:rsidR="00AA60BF" w:rsidRPr="00AA60BF" w:rsidRDefault="00AA60BF" w:rsidP="00AA60BF">
      <w:pPr>
        <w:spacing w:before="40"/>
        <w:ind w:firstLine="720"/>
        <w:jc w:val="both"/>
        <w:rPr>
          <w:i/>
        </w:rPr>
      </w:pPr>
      <w:r>
        <w:rPr>
          <w:i/>
          <w:lang w:val="en-US"/>
        </w:rPr>
        <w:t>c</w:t>
      </w:r>
      <w:r w:rsidRPr="00AA60BF">
        <w:rPr>
          <w:i/>
        </w:rPr>
        <w:t>. Điều chỉnh điểm đ khoản 6 Điều 6 Nghị quyết số 26/2016/NQ-HĐND ngày 15/12/2016 của Hội đồng nhân dân tỉnh khóa XVII, kỳ họp thứ 3 quy định về mức thu, miễn, giảm, thu, nộp, quản lý và sử dụng các khoản phí, lệ phí thuộc thẩm quyền của HĐND tỉnh trên địa bàn tỉnh Hà Tĩnh; cụ thể như sau:</w:t>
      </w:r>
    </w:p>
    <w:p w:rsidR="00AA60BF" w:rsidRDefault="00AA60BF" w:rsidP="00AA60BF">
      <w:pPr>
        <w:shd w:val="clear" w:color="auto" w:fill="FFFFFF"/>
        <w:spacing w:before="40"/>
        <w:ind w:firstLine="709"/>
        <w:jc w:val="both"/>
        <w:rPr>
          <w:lang w:val="nb-NO"/>
        </w:rPr>
      </w:pPr>
      <w:r>
        <w:rPr>
          <w:color w:val="000000"/>
          <w:lang w:val="en-US"/>
        </w:rPr>
        <w:t>-</w:t>
      </w:r>
      <w:r>
        <w:rPr>
          <w:color w:val="000000"/>
        </w:rPr>
        <w:t xml:space="preserve"> Mức thu lệ phí cấp Giấy phép xây dựng bằng 50% mức thu được quy định tại </w:t>
      </w:r>
      <w:r>
        <w:rPr>
          <w:lang w:val="nb-NO"/>
        </w:rPr>
        <w:t xml:space="preserve">điểm đ khoản 6 Điều 6 Nghị quyết số 26/2016/NQ-HĐND ngày 15/12/2016 của Hội đồng nhân dân tỉnh khóa XVII, kỳ họp thứ 3 quy định về mức thu, miễn, giảm, thu, nộp, quản lý và sử dụng các khoản phí, lệ phí thuộc thẩm quyền của HĐND tỉnh trên địa bàn tỉnh Hà Tĩnh. </w:t>
      </w:r>
    </w:p>
    <w:p w:rsidR="00AA60BF" w:rsidRDefault="00AA60BF" w:rsidP="00AA60BF">
      <w:pPr>
        <w:spacing w:before="40"/>
        <w:ind w:firstLine="720"/>
        <w:jc w:val="both"/>
        <w:rPr>
          <w:lang w:val="en-US"/>
        </w:rPr>
      </w:pPr>
      <w:r>
        <w:rPr>
          <w:lang w:val="nb-NO"/>
        </w:rPr>
        <w:t xml:space="preserve">- </w:t>
      </w:r>
      <w:r>
        <w:rPr>
          <w:bCs/>
        </w:rPr>
        <w:t>Thời gian áp dụng: Đ</w:t>
      </w:r>
      <w:r>
        <w:t xml:space="preserve">ến hết ngày 31/12/2020. </w:t>
      </w:r>
    </w:p>
    <w:p w:rsidR="00AA60BF" w:rsidRPr="00AA60BF" w:rsidRDefault="00AA60BF" w:rsidP="00AA60BF">
      <w:pPr>
        <w:pStyle w:val="Noidung"/>
        <w:spacing w:before="40"/>
        <w:rPr>
          <w:i/>
          <w:spacing w:val="-6"/>
        </w:rPr>
      </w:pPr>
      <w:r>
        <w:rPr>
          <w:i/>
          <w:spacing w:val="-6"/>
        </w:rPr>
        <w:t>d</w:t>
      </w:r>
      <w:r w:rsidRPr="00AA60BF">
        <w:rPr>
          <w:i/>
          <w:spacing w:val="-6"/>
        </w:rPr>
        <w:t xml:space="preserve">. </w:t>
      </w:r>
      <w:r w:rsidRPr="00AA60BF">
        <w:rPr>
          <w:i/>
          <w:color w:val="000000"/>
          <w:spacing w:val="-6"/>
          <w:szCs w:val="28"/>
        </w:rPr>
        <w:t>S</w:t>
      </w:r>
      <w:r w:rsidRPr="00AA60BF">
        <w:rPr>
          <w:i/>
          <w:spacing w:val="-6"/>
        </w:rPr>
        <w:t>ửa đổi khoản 2 Điều 1 Nghị quyết số 53/2017/NQ-HĐND ngày 15/7/2017 của HĐND tỉnh sửa đổi một số khoả</w:t>
      </w:r>
      <w:r>
        <w:rPr>
          <w:i/>
          <w:spacing w:val="-6"/>
        </w:rPr>
        <w:t>n phí, lệ phí trên địa bàn tỉnh</w:t>
      </w:r>
      <w:r w:rsidRPr="00AA60BF">
        <w:rPr>
          <w:i/>
          <w:spacing w:val="-6"/>
        </w:rPr>
        <w:t xml:space="preserve">: </w:t>
      </w:r>
    </w:p>
    <w:p w:rsidR="00AA60BF" w:rsidRDefault="00AA60BF" w:rsidP="00AA60BF">
      <w:pPr>
        <w:pStyle w:val="Noidung"/>
        <w:spacing w:before="40"/>
      </w:pPr>
      <w:r>
        <w:t>- Điều chỉnh giảm mức thu lệ phí trước bạ lần đầu đối với xe ô tô chở người từ 09 chỗ ngồi trở xuống từ mức 11% giá trị tài sản tính lệ phí trước bạ xuống 10% giá trị tài sản tính lệ phí trước bạ.</w:t>
      </w:r>
    </w:p>
    <w:p w:rsidR="00AA60BF" w:rsidRPr="00AA60BF" w:rsidRDefault="00AA60BF" w:rsidP="00AA60BF">
      <w:pPr>
        <w:pStyle w:val="Noidung"/>
        <w:spacing w:before="40"/>
      </w:pPr>
      <w:r>
        <w:t>-</w:t>
      </w:r>
      <w:r>
        <w:rPr>
          <w:szCs w:val="28"/>
        </w:rPr>
        <w:t xml:space="preserve"> </w:t>
      </w:r>
      <w:r>
        <w:rPr>
          <w:bCs/>
          <w:szCs w:val="28"/>
        </w:rPr>
        <w:t>Thời gian áp dụng</w:t>
      </w:r>
      <w:r>
        <w:rPr>
          <w:szCs w:val="28"/>
        </w:rPr>
        <w:t xml:space="preserve">: </w:t>
      </w:r>
      <w:r>
        <w:rPr>
          <w:bCs/>
          <w:szCs w:val="28"/>
        </w:rPr>
        <w:t>Đ</w:t>
      </w:r>
      <w:r>
        <w:rPr>
          <w:szCs w:val="28"/>
        </w:rPr>
        <w:t xml:space="preserve">ến hết ngày 31/12/2020. </w:t>
      </w:r>
    </w:p>
    <w:p w:rsidR="00AA60BF" w:rsidRPr="00AA60BF" w:rsidRDefault="00AA60BF" w:rsidP="00AA60BF">
      <w:pPr>
        <w:spacing w:before="40"/>
        <w:ind w:firstLine="720"/>
        <w:jc w:val="both"/>
        <w:rPr>
          <w:i/>
          <w:lang w:val="en-US"/>
        </w:rPr>
      </w:pPr>
      <w:r w:rsidRPr="00AA60BF">
        <w:rPr>
          <w:i/>
          <w:lang w:val="en-US"/>
        </w:rPr>
        <w:t>12.2.</w:t>
      </w:r>
      <w:r w:rsidRPr="00AA60BF">
        <w:rPr>
          <w:i/>
        </w:rPr>
        <w:t xml:space="preserve"> Ban hành mới một số chính sách mới </w:t>
      </w:r>
      <w:r>
        <w:rPr>
          <w:i/>
        </w:rPr>
        <w:t>thực hiện đến hết năm 2020</w:t>
      </w:r>
    </w:p>
    <w:p w:rsidR="00AA60BF" w:rsidRDefault="00AA60BF" w:rsidP="00AA60BF">
      <w:pPr>
        <w:pStyle w:val="Noidung"/>
        <w:spacing w:before="40"/>
      </w:pPr>
      <w:r>
        <w:t>a.</w:t>
      </w:r>
      <w:r>
        <w:rPr>
          <w:lang w:val="vi-VN"/>
        </w:rPr>
        <w:t xml:space="preserve"> Chính sách </w:t>
      </w:r>
      <w:r>
        <w:t>hỗ trợ xuất khẩu, gồm các nội dung chính sau:</w:t>
      </w:r>
    </w:p>
    <w:p w:rsidR="009B6287" w:rsidRDefault="009B6287" w:rsidP="00AA60BF">
      <w:pPr>
        <w:pStyle w:val="Noidung"/>
        <w:spacing w:before="40"/>
        <w:rPr>
          <w:rFonts w:eastAsia="Calibri"/>
          <w:highlight w:val="white"/>
        </w:rPr>
      </w:pPr>
      <w:r>
        <w:t>-</w:t>
      </w:r>
      <w:r w:rsidR="00AA60BF">
        <w:rPr>
          <w:rFonts w:eastAsia="Calibri"/>
          <w:highlight w:val="white"/>
        </w:rPr>
        <w:t xml:space="preserve"> Hỗ trợ chi phí thu mua, dự trữ nguyên liệu sản xuất, chế biến để xuất khẩu; Hỗ trợ 50% lãi vay thu mua, dự trữ nguyên liệu phục vụ sản xuất, chế biến để xuất khẩu theo hợp đồng tín dụng giữa doanh nghiệp và tổ chức tín dụng. Mức hỗ trợ tối đa không quá 400 triệu đồng/doanh nghiệp trong thời gian hỗ trợ; </w:t>
      </w:r>
    </w:p>
    <w:p w:rsidR="009B6287" w:rsidRDefault="009B6287" w:rsidP="00AA60BF">
      <w:pPr>
        <w:pStyle w:val="Noidung"/>
        <w:spacing w:before="40"/>
        <w:rPr>
          <w:rFonts w:eastAsia="Calibri"/>
          <w:highlight w:val="white"/>
        </w:rPr>
      </w:pPr>
      <w:r>
        <w:rPr>
          <w:rFonts w:eastAsia="Calibri"/>
          <w:highlight w:val="white"/>
        </w:rPr>
        <w:t>-</w:t>
      </w:r>
      <w:r w:rsidR="00AA60BF">
        <w:rPr>
          <w:rFonts w:eastAsia="Calibri"/>
          <w:highlight w:val="white"/>
        </w:rPr>
        <w:t xml:space="preserve"> Hỗ trợ chi phí vận chuyển: Các tổ chức, doanh nghiệp xuất khẩu khi vận chuyển sản phẩm đến các cửa khẩu, cảng biển để xuất khẩu, khoảng cách vận chuyển từ 60km đến 150km </w:t>
      </w:r>
      <w:r w:rsidR="00AA60BF">
        <w:rPr>
          <w:highlight w:val="white"/>
        </w:rPr>
        <w:t xml:space="preserve"> được hỗ trợ tối đa 50.000 đồng/tấn; đối với khoảng cách vận chuyển từ 150 km trở lên, </w:t>
      </w:r>
      <w:r w:rsidR="00AA60BF">
        <w:rPr>
          <w:rFonts w:eastAsia="Calibri"/>
          <w:highlight w:val="white"/>
        </w:rPr>
        <w:t xml:space="preserve">được hỗ trợ tối đa 100.000 đồng/tấn </w:t>
      </w:r>
      <w:r w:rsidR="00AA60BF">
        <w:rPr>
          <w:highlight w:val="white"/>
        </w:rPr>
        <w:t>(khoảng cách được tính từ địa điểm đặt nhà máy, cơ sở chế biến, kho hàng</w:t>
      </w:r>
      <w:r w:rsidR="00AA60BF">
        <w:rPr>
          <w:bCs/>
          <w:szCs w:val="28"/>
          <w:lang w:val="nl-NL"/>
        </w:rPr>
        <w:t>trên địa bàn tỉnh Hà Tĩnh</w:t>
      </w:r>
      <w:r w:rsidR="00AA60BF">
        <w:rPr>
          <w:highlight w:val="white"/>
        </w:rPr>
        <w:t xml:space="preserve"> đến cửa khẩu, cảng biển để xuất khẩu). </w:t>
      </w:r>
      <w:r w:rsidR="00AA60BF">
        <w:rPr>
          <w:rFonts w:eastAsia="Calibri"/>
          <w:highlight w:val="white"/>
        </w:rPr>
        <w:t>Mức hỗ trợ tối đa không quá 300 triệu đồng/tổ chức trong thời gian hưởng chính sách;</w:t>
      </w:r>
    </w:p>
    <w:p w:rsidR="00AA60BF" w:rsidRPr="003E28CB" w:rsidRDefault="009B6287" w:rsidP="00AA60BF">
      <w:pPr>
        <w:pStyle w:val="Noidung"/>
        <w:spacing w:before="40"/>
        <w:rPr>
          <w:rFonts w:eastAsia="Calibri"/>
          <w:spacing w:val="-2"/>
          <w:highlight w:val="white"/>
        </w:rPr>
      </w:pPr>
      <w:r w:rsidRPr="003E28CB">
        <w:rPr>
          <w:rFonts w:eastAsia="Calibri"/>
          <w:spacing w:val="-2"/>
          <w:highlight w:val="white"/>
        </w:rPr>
        <w:t>-</w:t>
      </w:r>
      <w:r w:rsidR="00AA60BF" w:rsidRPr="003E28CB">
        <w:rPr>
          <w:rFonts w:eastAsia="Calibri"/>
          <w:spacing w:val="-2"/>
          <w:highlight w:val="white"/>
        </w:rPr>
        <w:t xml:space="preserve"> Hỗ trợ tìm kiếm thị trường xuất khẩu mới của doanh nghiệp so với thời điểm trước khi dịch bệnh Covid-19 xảy ra: tối đa 50 triệu đồng/01 loại sản phẩm.</w:t>
      </w:r>
    </w:p>
    <w:p w:rsidR="009B6287" w:rsidRDefault="009B6287" w:rsidP="009B6287">
      <w:pPr>
        <w:pStyle w:val="Noidung"/>
        <w:spacing w:before="40"/>
        <w:rPr>
          <w:szCs w:val="28"/>
        </w:rPr>
      </w:pPr>
      <w:r>
        <w:rPr>
          <w:highlight w:val="white"/>
        </w:rPr>
        <w:t xml:space="preserve">* Thời gian hỗ trợ: </w:t>
      </w:r>
      <w:r>
        <w:rPr>
          <w:bCs/>
          <w:szCs w:val="28"/>
        </w:rPr>
        <w:t>Đ</w:t>
      </w:r>
      <w:r>
        <w:rPr>
          <w:szCs w:val="28"/>
        </w:rPr>
        <w:t>ến hết ngày 31/12/2020</w:t>
      </w:r>
    </w:p>
    <w:p w:rsidR="00AA60BF" w:rsidRDefault="009B6287" w:rsidP="00AA60BF">
      <w:pPr>
        <w:pStyle w:val="Noidung"/>
        <w:spacing w:before="40"/>
      </w:pPr>
      <w:r>
        <w:rPr>
          <w:rFonts w:eastAsia="Calibri"/>
          <w:highlight w:val="white"/>
        </w:rPr>
        <w:t>*</w:t>
      </w:r>
      <w:r w:rsidR="00AA60BF">
        <w:rPr>
          <w:rFonts w:eastAsia="Calibri"/>
          <w:highlight w:val="white"/>
        </w:rPr>
        <w:t xml:space="preserve"> </w:t>
      </w:r>
      <w:r w:rsidR="00AA60BF">
        <w:rPr>
          <w:highlight w:val="white"/>
        </w:rPr>
        <w:t xml:space="preserve">Nguồn kinh phí: Ngân sách tỉnh: dự kiến 6.850 triệu đồng. </w:t>
      </w:r>
    </w:p>
    <w:p w:rsidR="00AA60BF" w:rsidRDefault="009B6287" w:rsidP="00AA60BF">
      <w:pPr>
        <w:pStyle w:val="Noidung"/>
        <w:spacing w:before="40"/>
        <w:rPr>
          <w:rFonts w:eastAsia="Calibri"/>
        </w:rPr>
      </w:pPr>
      <w:r>
        <w:t>b</w:t>
      </w:r>
      <w:r w:rsidR="00AA60BF">
        <w:t xml:space="preserve">. </w:t>
      </w:r>
      <w:r w:rsidR="00AA60BF">
        <w:rPr>
          <w:lang w:val="vi-VN"/>
        </w:rPr>
        <w:t>C</w:t>
      </w:r>
      <w:r w:rsidR="00AA60BF">
        <w:rPr>
          <w:highlight w:val="white"/>
        </w:rPr>
        <w:t xml:space="preserve">hính sách </w:t>
      </w:r>
      <w:r w:rsidR="00AA60BF">
        <w:rPr>
          <w:rFonts w:eastAsia="MS Mincho"/>
          <w:highlight w:val="white"/>
          <w:lang w:val="da-DK" w:eastAsia="ja-JP"/>
        </w:rPr>
        <w:t>h</w:t>
      </w:r>
      <w:r w:rsidR="00AA60BF">
        <w:rPr>
          <w:rFonts w:eastAsia="Calibri"/>
          <w:highlight w:val="white"/>
        </w:rPr>
        <w:t>ỗ trợ ph</w:t>
      </w:r>
      <w:r w:rsidR="00AA60BF">
        <w:rPr>
          <w:rFonts w:eastAsia="Calibri"/>
        </w:rPr>
        <w:t xml:space="preserve">át triển du lịch </w:t>
      </w:r>
      <w:r w:rsidR="00AA60BF">
        <w:rPr>
          <w:rFonts w:eastAsia="Calibri"/>
          <w:highlight w:val="white"/>
        </w:rPr>
        <w:t xml:space="preserve">trong năm 2020. </w:t>
      </w:r>
    </w:p>
    <w:p w:rsidR="009B6287" w:rsidRDefault="009B6287" w:rsidP="009B6287">
      <w:pPr>
        <w:pStyle w:val="Noidung"/>
        <w:spacing w:before="40"/>
        <w:rPr>
          <w:szCs w:val="28"/>
        </w:rPr>
      </w:pPr>
      <w:r>
        <w:rPr>
          <w:rFonts w:eastAsia="Calibri"/>
        </w:rPr>
        <w:t>-</w:t>
      </w:r>
      <w:r w:rsidR="00AA60BF">
        <w:rPr>
          <w:rFonts w:eastAsia="Calibri"/>
          <w:szCs w:val="28"/>
        </w:rPr>
        <w:t xml:space="preserve"> Hỗ trợ 50% </w:t>
      </w:r>
      <w:r w:rsidR="00AA60BF">
        <w:rPr>
          <w:rFonts w:eastAsia="Calibri"/>
          <w:color w:val="000000"/>
          <w:szCs w:val="28"/>
        </w:rPr>
        <w:t xml:space="preserve">lãi vay theo các hợp đồng tín dụng của các Ngân hàng thương mại </w:t>
      </w:r>
      <w:r w:rsidR="00AA60BF">
        <w:rPr>
          <w:szCs w:val="28"/>
        </w:rPr>
        <w:t xml:space="preserve">cho các khoản vay mới ngắn hạn, trung hạn và dài hạn bằng đồng Việt Nam. Mỗi tổ chức/cá nhân kinh doanh hoạt động du lịch chỉ được hỗ trợ lãi suất </w:t>
      </w:r>
      <w:r w:rsidR="00AA60BF">
        <w:rPr>
          <w:szCs w:val="28"/>
        </w:rPr>
        <w:lastRenderedPageBreak/>
        <w:t>đối với các khoản vay để kinh doanh, đầu tư mở rộng quy mô, cải tạo, sữ</w:t>
      </w:r>
      <w:r>
        <w:rPr>
          <w:szCs w:val="28"/>
        </w:rPr>
        <w:t>a chữa, nâng cấp dự án ban đầu.</w:t>
      </w:r>
    </w:p>
    <w:p w:rsidR="009B6287" w:rsidRDefault="009B6287" w:rsidP="009B6287">
      <w:pPr>
        <w:pStyle w:val="Noidung"/>
        <w:spacing w:before="40"/>
        <w:rPr>
          <w:rFonts w:eastAsia="Calibri"/>
          <w:szCs w:val="28"/>
          <w:shd w:val="clear" w:color="auto" w:fill="FFFFFF"/>
        </w:rPr>
      </w:pPr>
      <w:r>
        <w:rPr>
          <w:szCs w:val="28"/>
        </w:rPr>
        <w:t>-</w:t>
      </w:r>
      <w:r w:rsidR="00AA60BF">
        <w:rPr>
          <w:rFonts w:eastAsia="Calibri"/>
          <w:szCs w:val="28"/>
        </w:rPr>
        <w:t xml:space="preserve"> Hỗ trợ xây dựng n</w:t>
      </w:r>
      <w:r w:rsidR="00AA60BF">
        <w:rPr>
          <w:rFonts w:eastAsia="Calibri"/>
          <w:szCs w:val="28"/>
          <w:shd w:val="clear" w:color="auto" w:fill="FFFFFF"/>
        </w:rPr>
        <w:t>hà hàng (kinh doanh độc lập với cơ sở lưu trú) đã được cơ quan có thẩm quyền cấp biển hiệu đạt tiêu chuẩn phục vụ khách du lịch theo quy định của Bộ Văn hóa Thể thao và Du lịch từ năm 2018 trở đi, đáp ứng điều kiện có quy mô diện tích sàn từ 300m</w:t>
      </w:r>
      <w:r w:rsidR="00AA60BF">
        <w:rPr>
          <w:rFonts w:eastAsia="Calibri"/>
          <w:szCs w:val="28"/>
          <w:shd w:val="clear" w:color="auto" w:fill="FFFFFF"/>
          <w:vertAlign w:val="superscript"/>
        </w:rPr>
        <w:t>2</w:t>
      </w:r>
      <w:r w:rsidR="00AA60BF">
        <w:rPr>
          <w:rFonts w:eastAsia="Calibri"/>
          <w:szCs w:val="28"/>
          <w:shd w:val="clear" w:color="auto" w:fill="FFFFFF"/>
        </w:rPr>
        <w:t xml:space="preserve"> trở lên trong tỉnh (không bao gồm bãi đỗ xe, khuôn viên). Mức hỗ trợ: tối đa 300.000đ/m</w:t>
      </w:r>
      <w:r w:rsidR="00AA60BF">
        <w:rPr>
          <w:rFonts w:eastAsia="Calibri"/>
          <w:szCs w:val="28"/>
          <w:shd w:val="clear" w:color="auto" w:fill="FFFFFF"/>
          <w:vertAlign w:val="superscript"/>
        </w:rPr>
        <w:t>2</w:t>
      </w:r>
      <w:r w:rsidR="00AA60BF">
        <w:rPr>
          <w:rFonts w:eastAsia="Calibri"/>
          <w:szCs w:val="28"/>
          <w:shd w:val="clear" w:color="auto" w:fill="FFFFFF"/>
        </w:rPr>
        <w:t xml:space="preserve"> sàn xây dựng và không quá 300 triệu đồng/cơ sở</w:t>
      </w:r>
      <w:r>
        <w:rPr>
          <w:rFonts w:eastAsia="Calibri"/>
          <w:szCs w:val="28"/>
          <w:shd w:val="clear" w:color="auto" w:fill="FFFFFF"/>
        </w:rPr>
        <w:t>.</w:t>
      </w:r>
    </w:p>
    <w:p w:rsidR="009B6287" w:rsidRDefault="009B6287" w:rsidP="009B6287">
      <w:pPr>
        <w:pStyle w:val="Noidung"/>
        <w:spacing w:before="40"/>
        <w:rPr>
          <w:szCs w:val="28"/>
        </w:rPr>
      </w:pPr>
      <w:r>
        <w:rPr>
          <w:szCs w:val="28"/>
        </w:rPr>
        <w:t>-</w:t>
      </w:r>
      <w:r w:rsidR="00AA60BF">
        <w:rPr>
          <w:szCs w:val="28"/>
        </w:rPr>
        <w:t xml:space="preserve"> Hỗ trợ (một lần) chi phí mua sắm thiết bị vệ sinh môi trường cho các khu điểm du lịch được UBND tỉnh công nhận. Mức hỗ trợ kh</w:t>
      </w:r>
      <w:r>
        <w:rPr>
          <w:szCs w:val="28"/>
        </w:rPr>
        <w:t>ông quá 70 triệu đồng/khu, điểm.</w:t>
      </w:r>
    </w:p>
    <w:p w:rsidR="009B6287" w:rsidRDefault="009B6287" w:rsidP="009B6287">
      <w:pPr>
        <w:pStyle w:val="Noidung"/>
        <w:spacing w:before="40"/>
        <w:rPr>
          <w:rFonts w:eastAsia="Calibri"/>
          <w:szCs w:val="28"/>
          <w:shd w:val="clear" w:color="auto" w:fill="FFFFFF"/>
        </w:rPr>
      </w:pPr>
      <w:r>
        <w:rPr>
          <w:rFonts w:eastAsia="Calibri"/>
          <w:szCs w:val="28"/>
          <w:shd w:val="clear" w:color="auto" w:fill="FFFFFF"/>
        </w:rPr>
        <w:t>-</w:t>
      </w:r>
      <w:r w:rsidR="00AA60BF">
        <w:rPr>
          <w:rFonts w:eastAsia="Calibri"/>
          <w:szCs w:val="28"/>
          <w:shd w:val="clear" w:color="auto" w:fill="FFFFFF"/>
        </w:rPr>
        <w:t xml:space="preserve"> Hỗ trợ các đơn vị kinh doanh lữ hành đưa tối thiểu 20 khách/đoàn đến tham quan tại các khu, điểm du lịch, di tích, danh lam thắng cảnh trên địa bàntỉnh, có lưu trúít nhất 01 đêm tại các cơ sở lưu trú trên địa bàn tỉnh. Mức hỗ trợ: 50.000đ/khách, tối đa không quá 100 triệu đồng/1 đơn vị lữ</w:t>
      </w:r>
      <w:r>
        <w:rPr>
          <w:rFonts w:eastAsia="Calibri"/>
          <w:szCs w:val="28"/>
          <w:shd w:val="clear" w:color="auto" w:fill="FFFFFF"/>
        </w:rPr>
        <w:t xml:space="preserve"> hành.</w:t>
      </w:r>
    </w:p>
    <w:p w:rsidR="009B6287" w:rsidRDefault="009B6287" w:rsidP="009B6287">
      <w:pPr>
        <w:pStyle w:val="Noidung"/>
        <w:spacing w:before="40"/>
        <w:rPr>
          <w:rFonts w:eastAsia="Calibri"/>
          <w:szCs w:val="28"/>
          <w:shd w:val="clear" w:color="auto" w:fill="FFFFFF"/>
        </w:rPr>
      </w:pPr>
      <w:r>
        <w:rPr>
          <w:rFonts w:eastAsia="Calibri"/>
          <w:szCs w:val="28"/>
          <w:shd w:val="clear" w:color="auto" w:fill="FFFFFF"/>
        </w:rPr>
        <w:t>-</w:t>
      </w:r>
      <w:r w:rsidR="00AA60BF">
        <w:rPr>
          <w:rFonts w:eastAsia="Calibri"/>
          <w:szCs w:val="28"/>
          <w:shd w:val="clear" w:color="auto" w:fill="FFFFFF"/>
        </w:rPr>
        <w:t xml:space="preserve"> Bãi bỏ phí tham quan tại các khu, điểm di tích, danh lam thắng cảnh đang thu phí trên địa bàn tỉnh</w:t>
      </w:r>
      <w:r>
        <w:rPr>
          <w:rFonts w:eastAsia="Calibri"/>
          <w:szCs w:val="28"/>
          <w:shd w:val="clear" w:color="auto" w:fill="FFFFFF"/>
        </w:rPr>
        <w:t>.</w:t>
      </w:r>
    </w:p>
    <w:p w:rsidR="009B6287" w:rsidRDefault="009B6287" w:rsidP="009B6287">
      <w:pPr>
        <w:pStyle w:val="Noidung"/>
        <w:spacing w:before="40"/>
        <w:rPr>
          <w:rFonts w:eastAsia="Calibri"/>
          <w:szCs w:val="28"/>
          <w:shd w:val="clear" w:color="auto" w:fill="FFFFFF"/>
        </w:rPr>
      </w:pPr>
      <w:r>
        <w:rPr>
          <w:rFonts w:eastAsia="Calibri"/>
          <w:szCs w:val="28"/>
          <w:shd w:val="clear" w:color="auto" w:fill="FFFFFF"/>
        </w:rPr>
        <w:t xml:space="preserve">- </w:t>
      </w:r>
      <w:r w:rsidR="00AA60BF">
        <w:rPr>
          <w:rFonts w:eastAsia="Calibri"/>
          <w:szCs w:val="28"/>
          <w:shd w:val="clear" w:color="auto" w:fill="FFFFFF"/>
        </w:rPr>
        <w:t>Hỗ trợ hoạt động hai tuyến xe buýt không đồng: Vincom - Thiên Cầm, Vincom - Lộc Hà</w:t>
      </w:r>
      <w:r>
        <w:rPr>
          <w:rFonts w:eastAsia="Calibri"/>
          <w:szCs w:val="28"/>
          <w:shd w:val="clear" w:color="auto" w:fill="FFFFFF"/>
        </w:rPr>
        <w:t>.</w:t>
      </w:r>
    </w:p>
    <w:p w:rsidR="00AA60BF" w:rsidRPr="0051568C" w:rsidRDefault="009B6287" w:rsidP="009B6287">
      <w:pPr>
        <w:pStyle w:val="Noidung"/>
        <w:spacing w:before="40"/>
        <w:rPr>
          <w:rFonts w:eastAsia="Calibri"/>
          <w:spacing w:val="-2"/>
          <w:szCs w:val="28"/>
          <w:shd w:val="clear" w:color="auto" w:fill="FFFFFF"/>
        </w:rPr>
      </w:pPr>
      <w:r w:rsidRPr="0051568C">
        <w:rPr>
          <w:rFonts w:eastAsia="Calibri"/>
          <w:spacing w:val="-2"/>
          <w:szCs w:val="28"/>
          <w:shd w:val="clear" w:color="auto" w:fill="FFFFFF"/>
        </w:rPr>
        <w:t>-</w:t>
      </w:r>
      <w:r w:rsidR="00AA60BF" w:rsidRPr="0051568C">
        <w:rPr>
          <w:rFonts w:eastAsia="Calibri"/>
          <w:spacing w:val="-2"/>
          <w:szCs w:val="28"/>
          <w:shd w:val="clear" w:color="auto" w:fill="FFFFFF"/>
        </w:rPr>
        <w:t xml:space="preserve"> Hỗ trợ xây dựng, triển khai các giải pháp về xây dựng</w:t>
      </w:r>
      <w:r w:rsidR="00AA60BF" w:rsidRPr="0051568C">
        <w:rPr>
          <w:rFonts w:eastAsia="Calibri"/>
          <w:spacing w:val="-2"/>
          <w:szCs w:val="28"/>
          <w:shd w:val="clear" w:color="auto" w:fill="FFFFFF"/>
          <w:lang w:val="vi-VN"/>
        </w:rPr>
        <w:t xml:space="preserve"> phần mềm</w:t>
      </w:r>
      <w:r w:rsidR="00AA60BF" w:rsidRPr="0051568C">
        <w:rPr>
          <w:rFonts w:eastAsia="Calibri"/>
          <w:spacing w:val="-2"/>
          <w:szCs w:val="28"/>
          <w:shd w:val="clear" w:color="auto" w:fill="FFFFFF"/>
        </w:rPr>
        <w:t xml:space="preserve"> Du lịch thông minh nhằm tối ưu hóa hiệu quả công tác truyền thông, xúc tiến, quảng bá và mở rộng thị trường, tạo ra nhiều sản phẩm du lịch hấp dẫn để thu hút khách du lịch; xây dựng hệ thống wifi miễn phí tại các khu, điểm du lịch trên địa bàn tỉnh.</w:t>
      </w:r>
    </w:p>
    <w:p w:rsidR="009B6287" w:rsidRDefault="009B6287" w:rsidP="009B6287">
      <w:pPr>
        <w:pStyle w:val="Noidung"/>
        <w:spacing w:before="40"/>
        <w:rPr>
          <w:szCs w:val="28"/>
        </w:rPr>
      </w:pPr>
      <w:r>
        <w:rPr>
          <w:rFonts w:eastAsia="Calibri"/>
          <w:szCs w:val="28"/>
        </w:rPr>
        <w:t xml:space="preserve">* Thời gian hỗ trợ: </w:t>
      </w:r>
      <w:r>
        <w:rPr>
          <w:bCs/>
          <w:szCs w:val="28"/>
        </w:rPr>
        <w:t>Đ</w:t>
      </w:r>
      <w:r>
        <w:rPr>
          <w:szCs w:val="28"/>
        </w:rPr>
        <w:t>ến hết ngày 31/12/2020</w:t>
      </w:r>
    </w:p>
    <w:p w:rsidR="00AA60BF" w:rsidRDefault="009B6287" w:rsidP="00AA60BF">
      <w:pPr>
        <w:spacing w:before="40"/>
        <w:ind w:firstLine="567"/>
        <w:jc w:val="both"/>
        <w:rPr>
          <w:rFonts w:eastAsia="Calibri"/>
          <w:shd w:val="clear" w:color="auto" w:fill="FFFFFF"/>
        </w:rPr>
      </w:pPr>
      <w:r>
        <w:rPr>
          <w:rFonts w:eastAsia="Calibri"/>
          <w:shd w:val="clear" w:color="auto" w:fill="FFFFFF"/>
          <w:lang w:val="en-US"/>
        </w:rPr>
        <w:t xml:space="preserve">* </w:t>
      </w:r>
      <w:r w:rsidR="00AA60BF">
        <w:rPr>
          <w:rFonts w:eastAsia="Calibri"/>
          <w:shd w:val="clear" w:color="auto" w:fill="FFFFFF"/>
        </w:rPr>
        <w:t xml:space="preserve">Nguồn kinh phí: Ngân sách tỉnh dự kiến 13.650 triệu đồng. </w:t>
      </w:r>
    </w:p>
    <w:p w:rsidR="00C405D7" w:rsidRDefault="009B6287" w:rsidP="00C405D7">
      <w:pPr>
        <w:spacing w:before="40"/>
        <w:ind w:firstLine="567"/>
        <w:jc w:val="both"/>
        <w:rPr>
          <w:i/>
          <w:lang w:val="en-US"/>
        </w:rPr>
      </w:pPr>
      <w:r w:rsidRPr="00C405D7">
        <w:rPr>
          <w:i/>
          <w:lang w:val="en-US"/>
        </w:rPr>
        <w:t xml:space="preserve">12.3. </w:t>
      </w:r>
      <w:r w:rsidR="00AA60BF" w:rsidRPr="00C405D7">
        <w:rPr>
          <w:i/>
        </w:rPr>
        <w:t>Tổng nguồn kinh phí dự kiến thực hiện các chính sách khoảng: 28.620 tỷ đồng được bố trí từ nguồn ngân sách tỉnh.</w:t>
      </w:r>
      <w:bookmarkEnd w:id="2"/>
    </w:p>
    <w:p w:rsidR="00483B6E" w:rsidRPr="00440C79" w:rsidRDefault="00483B6E" w:rsidP="00C405D7">
      <w:pPr>
        <w:spacing w:before="40"/>
        <w:ind w:firstLine="567"/>
        <w:jc w:val="both"/>
        <w:rPr>
          <w:b/>
          <w:i/>
          <w:lang w:val="en-US"/>
        </w:rPr>
      </w:pPr>
      <w:r w:rsidRPr="00440C79">
        <w:rPr>
          <w:b/>
          <w:i/>
          <w:lang w:val="en-US"/>
        </w:rPr>
        <w:t>1</w:t>
      </w:r>
      <w:r w:rsidR="00C405D7" w:rsidRPr="00440C79">
        <w:rPr>
          <w:b/>
          <w:i/>
          <w:lang w:val="en-US"/>
        </w:rPr>
        <w:t>3</w:t>
      </w:r>
      <w:r w:rsidRPr="00440C79">
        <w:rPr>
          <w:b/>
          <w:i/>
          <w:lang w:val="en-US"/>
        </w:rPr>
        <w:t>. Nghị quyết quy định về phí, lệ phí thuộc thẩm quyền quyết định của Hội đồng nhân dân tỉnh.</w:t>
      </w:r>
    </w:p>
    <w:p w:rsidR="00963562" w:rsidRDefault="00963562" w:rsidP="00963562">
      <w:pPr>
        <w:spacing w:after="60"/>
        <w:ind w:firstLine="720"/>
        <w:jc w:val="both"/>
        <w:rPr>
          <w:b/>
          <w:i/>
        </w:rPr>
      </w:pPr>
      <w:r w:rsidRPr="00C87081">
        <w:rPr>
          <w:lang w:val="nb-NO"/>
        </w:rPr>
        <w:t xml:space="preserve">UBND tỉnh dự kiến trình HĐND tỉnh thông qua </w:t>
      </w:r>
      <w:r>
        <w:rPr>
          <w:lang w:val="nb-NO"/>
        </w:rPr>
        <w:t xml:space="preserve">Nghị quyết </w:t>
      </w:r>
      <w:r w:rsidRPr="00963562">
        <w:rPr>
          <w:lang w:val="nb-NO"/>
        </w:rPr>
        <w:t>quy định về phí, lệ phí thuộc thẩm quyền quyết định của Hội đồng nhân dân tỉnh</w:t>
      </w:r>
      <w:r>
        <w:rPr>
          <w:lang w:val="nb-NO"/>
        </w:rPr>
        <w:t>. Hiện nay, UBND tỉnh đang chỉ đạo Sở Tài chính phối hợp với các sở, ngành, địa phương liên quan kiểm tra, rà soát tham mưu UBND tỉnh trình HĐND tỉnh tại kỳ họp giữa năm 2020.</w:t>
      </w:r>
      <w:r w:rsidR="009C5E71">
        <w:rPr>
          <w:lang w:val="nb-NO"/>
        </w:rPr>
        <w:t>/.</w:t>
      </w:r>
    </w:p>
    <w:p w:rsidR="00963562" w:rsidRDefault="00FF2597" w:rsidP="00C405D7">
      <w:pPr>
        <w:spacing w:before="40"/>
        <w:ind w:firstLine="567"/>
        <w:jc w:val="both"/>
        <w:rPr>
          <w:b/>
          <w:i/>
          <w:color w:val="FF0000"/>
          <w:lang w:val="en-US"/>
        </w:rPr>
      </w:pPr>
      <w:r>
        <w:rPr>
          <w:b/>
          <w:lang w:val="en-US"/>
        </w:rPr>
        <w:t xml:space="preserve">                                                             </w:t>
      </w:r>
      <w:r w:rsidRPr="006E46D7">
        <w:rPr>
          <w:b/>
        </w:rPr>
        <w:t xml:space="preserve"> UỶ BAN NHÂN DÂN TỈNH</w:t>
      </w:r>
    </w:p>
    <w:p w:rsidR="00963562" w:rsidRPr="00C405D7" w:rsidRDefault="00963562" w:rsidP="00C405D7">
      <w:pPr>
        <w:spacing w:before="40"/>
        <w:ind w:firstLine="567"/>
        <w:jc w:val="both"/>
        <w:rPr>
          <w:i/>
        </w:rPr>
      </w:pPr>
    </w:p>
    <w:p w:rsidR="00483B6E" w:rsidRPr="00C87081" w:rsidRDefault="00483B6E" w:rsidP="00483B6E">
      <w:pPr>
        <w:tabs>
          <w:tab w:val="left" w:pos="0"/>
        </w:tabs>
        <w:spacing w:after="60"/>
        <w:ind w:firstLine="709"/>
        <w:jc w:val="both"/>
        <w:rPr>
          <w:color w:val="FF0000"/>
          <w:lang w:val="en-US"/>
        </w:rPr>
      </w:pPr>
    </w:p>
    <w:p w:rsidR="00BF7310" w:rsidRPr="00C87081" w:rsidRDefault="00BF7310" w:rsidP="00780B63">
      <w:pPr>
        <w:ind w:firstLine="720"/>
        <w:jc w:val="both"/>
        <w:rPr>
          <w:color w:val="FF0000"/>
          <w:sz w:val="2"/>
          <w:szCs w:val="2"/>
          <w:lang w:val="en-US"/>
        </w:rPr>
      </w:pPr>
    </w:p>
    <w:sectPr w:rsidR="00BF7310" w:rsidRPr="00C87081" w:rsidSect="00754AF8">
      <w:pgSz w:w="11907" w:h="16840" w:code="9"/>
      <w:pgMar w:top="993" w:right="1134" w:bottom="993" w:left="1701" w:header="720" w:footer="7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CB" w:rsidRDefault="00816CCB" w:rsidP="00935EC3">
      <w:r>
        <w:separator/>
      </w:r>
    </w:p>
  </w:endnote>
  <w:endnote w:type="continuationSeparator" w:id="0">
    <w:p w:rsidR="00816CCB" w:rsidRDefault="00816CCB" w:rsidP="0093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CB" w:rsidRDefault="00816CCB" w:rsidP="00935EC3">
      <w:r>
        <w:separator/>
      </w:r>
    </w:p>
  </w:footnote>
  <w:footnote w:type="continuationSeparator" w:id="0">
    <w:p w:rsidR="00816CCB" w:rsidRDefault="00816CCB" w:rsidP="00935E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890"/>
    <w:multiLevelType w:val="hybridMultilevel"/>
    <w:tmpl w:val="48F4193C"/>
    <w:lvl w:ilvl="0" w:tplc="CAF6E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408CB"/>
    <w:multiLevelType w:val="hybridMultilevel"/>
    <w:tmpl w:val="17A0BEE6"/>
    <w:lvl w:ilvl="0" w:tplc="06B83C6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3F2590A"/>
    <w:multiLevelType w:val="hybridMultilevel"/>
    <w:tmpl w:val="8E68AD40"/>
    <w:lvl w:ilvl="0" w:tplc="F3BC17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3245F"/>
    <w:multiLevelType w:val="hybridMultilevel"/>
    <w:tmpl w:val="B57614EA"/>
    <w:lvl w:ilvl="0" w:tplc="3AAADA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9FF4B70"/>
    <w:multiLevelType w:val="hybridMultilevel"/>
    <w:tmpl w:val="252A253C"/>
    <w:lvl w:ilvl="0" w:tplc="4FFA77EC">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3D5B71"/>
    <w:multiLevelType w:val="hybridMultilevel"/>
    <w:tmpl w:val="247E3B2C"/>
    <w:lvl w:ilvl="0" w:tplc="BB16B16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5A7F48"/>
    <w:multiLevelType w:val="hybridMultilevel"/>
    <w:tmpl w:val="B080B8C6"/>
    <w:lvl w:ilvl="0" w:tplc="EFC852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2381BEA"/>
    <w:multiLevelType w:val="hybridMultilevel"/>
    <w:tmpl w:val="9274E216"/>
    <w:lvl w:ilvl="0" w:tplc="4DB0D54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35D7B90"/>
    <w:multiLevelType w:val="hybridMultilevel"/>
    <w:tmpl w:val="E07EF1CC"/>
    <w:lvl w:ilvl="0" w:tplc="E9F01D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54E7891"/>
    <w:multiLevelType w:val="hybridMultilevel"/>
    <w:tmpl w:val="F21830FA"/>
    <w:lvl w:ilvl="0" w:tplc="90F487B6">
      <w:start w:val="1"/>
      <w:numFmt w:val="upperRoman"/>
      <w:lvlText w:val="%1."/>
      <w:lvlJc w:val="left"/>
      <w:pPr>
        <w:ind w:left="1440" w:hanging="72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FC60B1"/>
    <w:multiLevelType w:val="hybridMultilevel"/>
    <w:tmpl w:val="A3EE8368"/>
    <w:lvl w:ilvl="0" w:tplc="01F6897A">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72241203"/>
    <w:multiLevelType w:val="hybridMultilevel"/>
    <w:tmpl w:val="B1C8C6D6"/>
    <w:lvl w:ilvl="0" w:tplc="1AF22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6858C9"/>
    <w:multiLevelType w:val="hybridMultilevel"/>
    <w:tmpl w:val="FEE8C7AE"/>
    <w:lvl w:ilvl="0" w:tplc="EC68F21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1"/>
  </w:num>
  <w:num w:numId="5">
    <w:abstractNumId w:val="9"/>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A2"/>
    <w:rsid w:val="00000EF9"/>
    <w:rsid w:val="00003257"/>
    <w:rsid w:val="000043B8"/>
    <w:rsid w:val="000056A6"/>
    <w:rsid w:val="00006CF5"/>
    <w:rsid w:val="00012289"/>
    <w:rsid w:val="00023D84"/>
    <w:rsid w:val="00030A0F"/>
    <w:rsid w:val="00032621"/>
    <w:rsid w:val="00042578"/>
    <w:rsid w:val="0004620E"/>
    <w:rsid w:val="00046658"/>
    <w:rsid w:val="0005047B"/>
    <w:rsid w:val="00051CA8"/>
    <w:rsid w:val="00063462"/>
    <w:rsid w:val="00067E4E"/>
    <w:rsid w:val="00073915"/>
    <w:rsid w:val="00074259"/>
    <w:rsid w:val="0007458C"/>
    <w:rsid w:val="00076BC3"/>
    <w:rsid w:val="00076CA5"/>
    <w:rsid w:val="00080827"/>
    <w:rsid w:val="000822E1"/>
    <w:rsid w:val="00083364"/>
    <w:rsid w:val="00090706"/>
    <w:rsid w:val="000A5E8B"/>
    <w:rsid w:val="000A6E39"/>
    <w:rsid w:val="000B6096"/>
    <w:rsid w:val="000C6B1A"/>
    <w:rsid w:val="000D101F"/>
    <w:rsid w:val="000D1662"/>
    <w:rsid w:val="000D35D3"/>
    <w:rsid w:val="000D3A84"/>
    <w:rsid w:val="000D6593"/>
    <w:rsid w:val="000E26FD"/>
    <w:rsid w:val="000E5856"/>
    <w:rsid w:val="000F2A06"/>
    <w:rsid w:val="000F33EE"/>
    <w:rsid w:val="000F3864"/>
    <w:rsid w:val="000F773D"/>
    <w:rsid w:val="0010209C"/>
    <w:rsid w:val="00102F48"/>
    <w:rsid w:val="00107F08"/>
    <w:rsid w:val="00110F71"/>
    <w:rsid w:val="001111A2"/>
    <w:rsid w:val="00116ECF"/>
    <w:rsid w:val="0012496C"/>
    <w:rsid w:val="00131AA6"/>
    <w:rsid w:val="00137D58"/>
    <w:rsid w:val="0014313D"/>
    <w:rsid w:val="001431AA"/>
    <w:rsid w:val="0014448E"/>
    <w:rsid w:val="0014555B"/>
    <w:rsid w:val="00151231"/>
    <w:rsid w:val="00153781"/>
    <w:rsid w:val="00165720"/>
    <w:rsid w:val="00170F69"/>
    <w:rsid w:val="001716F1"/>
    <w:rsid w:val="0017245D"/>
    <w:rsid w:val="00173070"/>
    <w:rsid w:val="0017314A"/>
    <w:rsid w:val="001734E6"/>
    <w:rsid w:val="00173C9D"/>
    <w:rsid w:val="00185672"/>
    <w:rsid w:val="001921ED"/>
    <w:rsid w:val="00192455"/>
    <w:rsid w:val="0019303B"/>
    <w:rsid w:val="001A2697"/>
    <w:rsid w:val="001A7321"/>
    <w:rsid w:val="001B1B29"/>
    <w:rsid w:val="001B2486"/>
    <w:rsid w:val="001C491B"/>
    <w:rsid w:val="001C63B3"/>
    <w:rsid w:val="001E0561"/>
    <w:rsid w:val="001E1DD4"/>
    <w:rsid w:val="001E54A7"/>
    <w:rsid w:val="001E5E72"/>
    <w:rsid w:val="001F0266"/>
    <w:rsid w:val="001F3527"/>
    <w:rsid w:val="001F3E12"/>
    <w:rsid w:val="00206B02"/>
    <w:rsid w:val="002100C9"/>
    <w:rsid w:val="00211AFD"/>
    <w:rsid w:val="00212FC2"/>
    <w:rsid w:val="00217947"/>
    <w:rsid w:val="00226048"/>
    <w:rsid w:val="00226499"/>
    <w:rsid w:val="00226CBF"/>
    <w:rsid w:val="0023214C"/>
    <w:rsid w:val="00232E93"/>
    <w:rsid w:val="00233BBC"/>
    <w:rsid w:val="0024309A"/>
    <w:rsid w:val="00245F7B"/>
    <w:rsid w:val="00253119"/>
    <w:rsid w:val="002576AB"/>
    <w:rsid w:val="0026125E"/>
    <w:rsid w:val="002642D0"/>
    <w:rsid w:val="00264F3B"/>
    <w:rsid w:val="0026565B"/>
    <w:rsid w:val="002714A7"/>
    <w:rsid w:val="00272C43"/>
    <w:rsid w:val="00273D14"/>
    <w:rsid w:val="002740EA"/>
    <w:rsid w:val="0027581D"/>
    <w:rsid w:val="00277562"/>
    <w:rsid w:val="0028081C"/>
    <w:rsid w:val="0028257F"/>
    <w:rsid w:val="0028509E"/>
    <w:rsid w:val="0028650D"/>
    <w:rsid w:val="0028707B"/>
    <w:rsid w:val="002A3A82"/>
    <w:rsid w:val="002A4AF9"/>
    <w:rsid w:val="002A7F99"/>
    <w:rsid w:val="002B3278"/>
    <w:rsid w:val="002B3E63"/>
    <w:rsid w:val="002C0AD9"/>
    <w:rsid w:val="002C0D11"/>
    <w:rsid w:val="002C16FA"/>
    <w:rsid w:val="002C1D8B"/>
    <w:rsid w:val="002D0DAB"/>
    <w:rsid w:val="002D34D9"/>
    <w:rsid w:val="002E13D4"/>
    <w:rsid w:val="002E4D30"/>
    <w:rsid w:val="002E6A15"/>
    <w:rsid w:val="002E6D6B"/>
    <w:rsid w:val="002E7757"/>
    <w:rsid w:val="002F6605"/>
    <w:rsid w:val="00302A62"/>
    <w:rsid w:val="00304F52"/>
    <w:rsid w:val="00306216"/>
    <w:rsid w:val="00306321"/>
    <w:rsid w:val="003073CE"/>
    <w:rsid w:val="0031073A"/>
    <w:rsid w:val="00315751"/>
    <w:rsid w:val="00316A17"/>
    <w:rsid w:val="00320285"/>
    <w:rsid w:val="00321D0B"/>
    <w:rsid w:val="003230D0"/>
    <w:rsid w:val="00325302"/>
    <w:rsid w:val="00346DFF"/>
    <w:rsid w:val="00351039"/>
    <w:rsid w:val="00355B4E"/>
    <w:rsid w:val="003578AD"/>
    <w:rsid w:val="00360171"/>
    <w:rsid w:val="00360E56"/>
    <w:rsid w:val="00361A75"/>
    <w:rsid w:val="00362EAB"/>
    <w:rsid w:val="00367390"/>
    <w:rsid w:val="00374175"/>
    <w:rsid w:val="00382E6D"/>
    <w:rsid w:val="00393602"/>
    <w:rsid w:val="00393B20"/>
    <w:rsid w:val="003975B4"/>
    <w:rsid w:val="003A22C6"/>
    <w:rsid w:val="003B19D3"/>
    <w:rsid w:val="003C01C6"/>
    <w:rsid w:val="003C3981"/>
    <w:rsid w:val="003D00D2"/>
    <w:rsid w:val="003D2595"/>
    <w:rsid w:val="003D4D76"/>
    <w:rsid w:val="003D6D35"/>
    <w:rsid w:val="003D700B"/>
    <w:rsid w:val="003E28CB"/>
    <w:rsid w:val="003E42CD"/>
    <w:rsid w:val="003E47DF"/>
    <w:rsid w:val="003F6FB0"/>
    <w:rsid w:val="003F725D"/>
    <w:rsid w:val="00400225"/>
    <w:rsid w:val="00401A9C"/>
    <w:rsid w:val="00405854"/>
    <w:rsid w:val="00405885"/>
    <w:rsid w:val="00405B95"/>
    <w:rsid w:val="004074B7"/>
    <w:rsid w:val="0041204E"/>
    <w:rsid w:val="0041238E"/>
    <w:rsid w:val="00414424"/>
    <w:rsid w:val="004154C4"/>
    <w:rsid w:val="00417EE0"/>
    <w:rsid w:val="00417FE2"/>
    <w:rsid w:val="00420B7B"/>
    <w:rsid w:val="00430AF1"/>
    <w:rsid w:val="00432DFB"/>
    <w:rsid w:val="00440C79"/>
    <w:rsid w:val="00440EF5"/>
    <w:rsid w:val="00440FAF"/>
    <w:rsid w:val="00443E88"/>
    <w:rsid w:val="00446025"/>
    <w:rsid w:val="004463BE"/>
    <w:rsid w:val="00446F70"/>
    <w:rsid w:val="00447F58"/>
    <w:rsid w:val="00451705"/>
    <w:rsid w:val="004543AF"/>
    <w:rsid w:val="004574E2"/>
    <w:rsid w:val="00457D37"/>
    <w:rsid w:val="00460E2E"/>
    <w:rsid w:val="00461B1A"/>
    <w:rsid w:val="00462699"/>
    <w:rsid w:val="00465AE4"/>
    <w:rsid w:val="00467077"/>
    <w:rsid w:val="00473D32"/>
    <w:rsid w:val="0047491C"/>
    <w:rsid w:val="00475FD4"/>
    <w:rsid w:val="00480A3C"/>
    <w:rsid w:val="0048189E"/>
    <w:rsid w:val="004820F9"/>
    <w:rsid w:val="004829EB"/>
    <w:rsid w:val="00482E4F"/>
    <w:rsid w:val="00483B6E"/>
    <w:rsid w:val="004846BB"/>
    <w:rsid w:val="00485400"/>
    <w:rsid w:val="00491E0E"/>
    <w:rsid w:val="004A2ADB"/>
    <w:rsid w:val="004B1E3D"/>
    <w:rsid w:val="004B7B7A"/>
    <w:rsid w:val="004C18D4"/>
    <w:rsid w:val="004D30C5"/>
    <w:rsid w:val="004D7D5A"/>
    <w:rsid w:val="004E005C"/>
    <w:rsid w:val="004E35A9"/>
    <w:rsid w:val="004E610E"/>
    <w:rsid w:val="004E6CC5"/>
    <w:rsid w:val="004F0649"/>
    <w:rsid w:val="004F51BE"/>
    <w:rsid w:val="004F5EE4"/>
    <w:rsid w:val="00500010"/>
    <w:rsid w:val="005103CB"/>
    <w:rsid w:val="005130C6"/>
    <w:rsid w:val="00514303"/>
    <w:rsid w:val="0051568C"/>
    <w:rsid w:val="00520EEB"/>
    <w:rsid w:val="005218C6"/>
    <w:rsid w:val="00522268"/>
    <w:rsid w:val="005267E3"/>
    <w:rsid w:val="005303F2"/>
    <w:rsid w:val="00532A17"/>
    <w:rsid w:val="00532D0E"/>
    <w:rsid w:val="00535F7B"/>
    <w:rsid w:val="00537350"/>
    <w:rsid w:val="00542FFF"/>
    <w:rsid w:val="00543C5D"/>
    <w:rsid w:val="005467E7"/>
    <w:rsid w:val="005469CF"/>
    <w:rsid w:val="00551E6F"/>
    <w:rsid w:val="00551FF7"/>
    <w:rsid w:val="00560147"/>
    <w:rsid w:val="005601DC"/>
    <w:rsid w:val="005623C5"/>
    <w:rsid w:val="0056250A"/>
    <w:rsid w:val="00563F86"/>
    <w:rsid w:val="00566997"/>
    <w:rsid w:val="00570D65"/>
    <w:rsid w:val="005710AB"/>
    <w:rsid w:val="00573DBF"/>
    <w:rsid w:val="005741A8"/>
    <w:rsid w:val="00587558"/>
    <w:rsid w:val="00594617"/>
    <w:rsid w:val="0059559E"/>
    <w:rsid w:val="005A1A98"/>
    <w:rsid w:val="005A79A4"/>
    <w:rsid w:val="005B6B36"/>
    <w:rsid w:val="005B77D0"/>
    <w:rsid w:val="005C1954"/>
    <w:rsid w:val="005D0BE7"/>
    <w:rsid w:val="005D32EB"/>
    <w:rsid w:val="005D6575"/>
    <w:rsid w:val="005E325B"/>
    <w:rsid w:val="005E3414"/>
    <w:rsid w:val="005E53B4"/>
    <w:rsid w:val="005F7A56"/>
    <w:rsid w:val="005F7AD1"/>
    <w:rsid w:val="005F7E38"/>
    <w:rsid w:val="00606546"/>
    <w:rsid w:val="006135C8"/>
    <w:rsid w:val="00614503"/>
    <w:rsid w:val="00616374"/>
    <w:rsid w:val="00616B79"/>
    <w:rsid w:val="00620574"/>
    <w:rsid w:val="00623114"/>
    <w:rsid w:val="006322C3"/>
    <w:rsid w:val="00637466"/>
    <w:rsid w:val="006448B5"/>
    <w:rsid w:val="006500D3"/>
    <w:rsid w:val="006517D6"/>
    <w:rsid w:val="006559F1"/>
    <w:rsid w:val="00657E15"/>
    <w:rsid w:val="00660390"/>
    <w:rsid w:val="006659A7"/>
    <w:rsid w:val="00666807"/>
    <w:rsid w:val="0067392E"/>
    <w:rsid w:val="006757EF"/>
    <w:rsid w:val="00675D81"/>
    <w:rsid w:val="0067619C"/>
    <w:rsid w:val="0067768F"/>
    <w:rsid w:val="00681B8E"/>
    <w:rsid w:val="00686DBC"/>
    <w:rsid w:val="00696A47"/>
    <w:rsid w:val="006A082B"/>
    <w:rsid w:val="006A5E24"/>
    <w:rsid w:val="006B35C0"/>
    <w:rsid w:val="006B70AB"/>
    <w:rsid w:val="006B71E3"/>
    <w:rsid w:val="006B71E4"/>
    <w:rsid w:val="006B7FE5"/>
    <w:rsid w:val="006C6E76"/>
    <w:rsid w:val="006D32FC"/>
    <w:rsid w:val="006D6502"/>
    <w:rsid w:val="006E0F46"/>
    <w:rsid w:val="006E2C1F"/>
    <w:rsid w:val="006E4DDA"/>
    <w:rsid w:val="006E5202"/>
    <w:rsid w:val="006F57E8"/>
    <w:rsid w:val="0070359F"/>
    <w:rsid w:val="007204A8"/>
    <w:rsid w:val="0072465F"/>
    <w:rsid w:val="00727C5E"/>
    <w:rsid w:val="00731BC6"/>
    <w:rsid w:val="00735609"/>
    <w:rsid w:val="00735A54"/>
    <w:rsid w:val="00736E94"/>
    <w:rsid w:val="00743135"/>
    <w:rsid w:val="007438C6"/>
    <w:rsid w:val="0074514E"/>
    <w:rsid w:val="007474DC"/>
    <w:rsid w:val="00747D70"/>
    <w:rsid w:val="00754AF8"/>
    <w:rsid w:val="00762B84"/>
    <w:rsid w:val="007654C2"/>
    <w:rsid w:val="00766457"/>
    <w:rsid w:val="00766F0A"/>
    <w:rsid w:val="00771174"/>
    <w:rsid w:val="00780B63"/>
    <w:rsid w:val="00786547"/>
    <w:rsid w:val="007912D2"/>
    <w:rsid w:val="00792A8E"/>
    <w:rsid w:val="00795480"/>
    <w:rsid w:val="0079638C"/>
    <w:rsid w:val="007A17BE"/>
    <w:rsid w:val="007B0245"/>
    <w:rsid w:val="007B4B7C"/>
    <w:rsid w:val="007B5CE5"/>
    <w:rsid w:val="007C7778"/>
    <w:rsid w:val="007C7E30"/>
    <w:rsid w:val="007D6075"/>
    <w:rsid w:val="007D6C0E"/>
    <w:rsid w:val="007E2FBF"/>
    <w:rsid w:val="007E6962"/>
    <w:rsid w:val="00801BE6"/>
    <w:rsid w:val="008020D7"/>
    <w:rsid w:val="00803478"/>
    <w:rsid w:val="00816C83"/>
    <w:rsid w:val="00816CCB"/>
    <w:rsid w:val="0082483C"/>
    <w:rsid w:val="0083057A"/>
    <w:rsid w:val="00831EA2"/>
    <w:rsid w:val="00831F71"/>
    <w:rsid w:val="0083284D"/>
    <w:rsid w:val="008329CA"/>
    <w:rsid w:val="00833020"/>
    <w:rsid w:val="00834B01"/>
    <w:rsid w:val="00834BD9"/>
    <w:rsid w:val="0083599F"/>
    <w:rsid w:val="008359EE"/>
    <w:rsid w:val="00841F95"/>
    <w:rsid w:val="0084462D"/>
    <w:rsid w:val="00844FA0"/>
    <w:rsid w:val="00846F8A"/>
    <w:rsid w:val="008472FE"/>
    <w:rsid w:val="0085297D"/>
    <w:rsid w:val="0085538A"/>
    <w:rsid w:val="0086195C"/>
    <w:rsid w:val="008621EA"/>
    <w:rsid w:val="00867282"/>
    <w:rsid w:val="00870B67"/>
    <w:rsid w:val="00871285"/>
    <w:rsid w:val="00871F16"/>
    <w:rsid w:val="008725AE"/>
    <w:rsid w:val="008727BC"/>
    <w:rsid w:val="00876686"/>
    <w:rsid w:val="00880DD4"/>
    <w:rsid w:val="008821F9"/>
    <w:rsid w:val="008824E2"/>
    <w:rsid w:val="008824FD"/>
    <w:rsid w:val="00882CA8"/>
    <w:rsid w:val="008836DB"/>
    <w:rsid w:val="0089307C"/>
    <w:rsid w:val="00895C17"/>
    <w:rsid w:val="00896037"/>
    <w:rsid w:val="008A22A1"/>
    <w:rsid w:val="008B3727"/>
    <w:rsid w:val="008B4033"/>
    <w:rsid w:val="008B414E"/>
    <w:rsid w:val="008B60E6"/>
    <w:rsid w:val="008B626E"/>
    <w:rsid w:val="008C03AE"/>
    <w:rsid w:val="008D092D"/>
    <w:rsid w:val="008D0C05"/>
    <w:rsid w:val="008D3F2D"/>
    <w:rsid w:val="008D521A"/>
    <w:rsid w:val="008E2C9B"/>
    <w:rsid w:val="008E3CDA"/>
    <w:rsid w:val="008E4D16"/>
    <w:rsid w:val="008E4E51"/>
    <w:rsid w:val="008E5319"/>
    <w:rsid w:val="008F00C5"/>
    <w:rsid w:val="008F0429"/>
    <w:rsid w:val="008F5CBB"/>
    <w:rsid w:val="008F769E"/>
    <w:rsid w:val="009066C0"/>
    <w:rsid w:val="0091214D"/>
    <w:rsid w:val="00916773"/>
    <w:rsid w:val="009176A2"/>
    <w:rsid w:val="0092056F"/>
    <w:rsid w:val="009209A7"/>
    <w:rsid w:val="00925E51"/>
    <w:rsid w:val="00931C4D"/>
    <w:rsid w:val="00932375"/>
    <w:rsid w:val="00935EC3"/>
    <w:rsid w:val="0094328C"/>
    <w:rsid w:val="00943EC0"/>
    <w:rsid w:val="00946DDA"/>
    <w:rsid w:val="00950F98"/>
    <w:rsid w:val="00952287"/>
    <w:rsid w:val="0095450F"/>
    <w:rsid w:val="0095475F"/>
    <w:rsid w:val="00962142"/>
    <w:rsid w:val="00963562"/>
    <w:rsid w:val="00964FB9"/>
    <w:rsid w:val="00971077"/>
    <w:rsid w:val="009723D7"/>
    <w:rsid w:val="00975666"/>
    <w:rsid w:val="00976C1E"/>
    <w:rsid w:val="00980167"/>
    <w:rsid w:val="009838E2"/>
    <w:rsid w:val="00985175"/>
    <w:rsid w:val="009869A4"/>
    <w:rsid w:val="0098740D"/>
    <w:rsid w:val="00991EE0"/>
    <w:rsid w:val="0099327F"/>
    <w:rsid w:val="009962F3"/>
    <w:rsid w:val="009A147C"/>
    <w:rsid w:val="009A34A5"/>
    <w:rsid w:val="009B2121"/>
    <w:rsid w:val="009B2924"/>
    <w:rsid w:val="009B6287"/>
    <w:rsid w:val="009B79EC"/>
    <w:rsid w:val="009C0989"/>
    <w:rsid w:val="009C145E"/>
    <w:rsid w:val="009C3B15"/>
    <w:rsid w:val="009C5E71"/>
    <w:rsid w:val="009C62AF"/>
    <w:rsid w:val="009E102A"/>
    <w:rsid w:val="009E6F7F"/>
    <w:rsid w:val="00A027DC"/>
    <w:rsid w:val="00A1069F"/>
    <w:rsid w:val="00A20979"/>
    <w:rsid w:val="00A2590A"/>
    <w:rsid w:val="00A31FE3"/>
    <w:rsid w:val="00A33497"/>
    <w:rsid w:val="00A36CAA"/>
    <w:rsid w:val="00A4108E"/>
    <w:rsid w:val="00A42D9B"/>
    <w:rsid w:val="00A45BAC"/>
    <w:rsid w:val="00A45FE9"/>
    <w:rsid w:val="00A60013"/>
    <w:rsid w:val="00A61CAF"/>
    <w:rsid w:val="00A61EC8"/>
    <w:rsid w:val="00A64F59"/>
    <w:rsid w:val="00A661CB"/>
    <w:rsid w:val="00A66C30"/>
    <w:rsid w:val="00A679F5"/>
    <w:rsid w:val="00A7155E"/>
    <w:rsid w:val="00A75CD1"/>
    <w:rsid w:val="00A8102B"/>
    <w:rsid w:val="00A81DEB"/>
    <w:rsid w:val="00A821F5"/>
    <w:rsid w:val="00A83BA7"/>
    <w:rsid w:val="00A85BA0"/>
    <w:rsid w:val="00A9109D"/>
    <w:rsid w:val="00AA60BF"/>
    <w:rsid w:val="00AA6632"/>
    <w:rsid w:val="00AB0706"/>
    <w:rsid w:val="00AB49EB"/>
    <w:rsid w:val="00AB5C2D"/>
    <w:rsid w:val="00AB6AB3"/>
    <w:rsid w:val="00AC02B3"/>
    <w:rsid w:val="00AC08E4"/>
    <w:rsid w:val="00AC340E"/>
    <w:rsid w:val="00AC6041"/>
    <w:rsid w:val="00AD0A0D"/>
    <w:rsid w:val="00AD0CE8"/>
    <w:rsid w:val="00AD1B59"/>
    <w:rsid w:val="00AD1F68"/>
    <w:rsid w:val="00AD4420"/>
    <w:rsid w:val="00AE1126"/>
    <w:rsid w:val="00AE1455"/>
    <w:rsid w:val="00AE44CB"/>
    <w:rsid w:val="00AE56C3"/>
    <w:rsid w:val="00AF1E6D"/>
    <w:rsid w:val="00AF3B9B"/>
    <w:rsid w:val="00B0001A"/>
    <w:rsid w:val="00B01B89"/>
    <w:rsid w:val="00B02261"/>
    <w:rsid w:val="00B03CEF"/>
    <w:rsid w:val="00B047FC"/>
    <w:rsid w:val="00B174BD"/>
    <w:rsid w:val="00B20001"/>
    <w:rsid w:val="00B221B3"/>
    <w:rsid w:val="00B22FB9"/>
    <w:rsid w:val="00B24D17"/>
    <w:rsid w:val="00B26E2E"/>
    <w:rsid w:val="00B27490"/>
    <w:rsid w:val="00B37ABC"/>
    <w:rsid w:val="00B414DF"/>
    <w:rsid w:val="00B416F7"/>
    <w:rsid w:val="00B423D2"/>
    <w:rsid w:val="00B42950"/>
    <w:rsid w:val="00B438A3"/>
    <w:rsid w:val="00B4537B"/>
    <w:rsid w:val="00B46BCA"/>
    <w:rsid w:val="00B5263F"/>
    <w:rsid w:val="00B53FF5"/>
    <w:rsid w:val="00B55AAB"/>
    <w:rsid w:val="00B608F3"/>
    <w:rsid w:val="00B60E4A"/>
    <w:rsid w:val="00B647D7"/>
    <w:rsid w:val="00B66A1E"/>
    <w:rsid w:val="00B66C8E"/>
    <w:rsid w:val="00B835E8"/>
    <w:rsid w:val="00B84756"/>
    <w:rsid w:val="00BA1401"/>
    <w:rsid w:val="00BA2A73"/>
    <w:rsid w:val="00BA55BB"/>
    <w:rsid w:val="00BA5966"/>
    <w:rsid w:val="00BB05FC"/>
    <w:rsid w:val="00BB0D58"/>
    <w:rsid w:val="00BB3923"/>
    <w:rsid w:val="00BB5B2F"/>
    <w:rsid w:val="00BB6D97"/>
    <w:rsid w:val="00BC73D0"/>
    <w:rsid w:val="00BD0A9A"/>
    <w:rsid w:val="00BD1045"/>
    <w:rsid w:val="00BD73B4"/>
    <w:rsid w:val="00BE3314"/>
    <w:rsid w:val="00BF0905"/>
    <w:rsid w:val="00BF31C9"/>
    <w:rsid w:val="00BF5721"/>
    <w:rsid w:val="00BF7310"/>
    <w:rsid w:val="00C01C4D"/>
    <w:rsid w:val="00C123EE"/>
    <w:rsid w:val="00C13503"/>
    <w:rsid w:val="00C16EFA"/>
    <w:rsid w:val="00C24D69"/>
    <w:rsid w:val="00C26EA6"/>
    <w:rsid w:val="00C3043B"/>
    <w:rsid w:val="00C3376C"/>
    <w:rsid w:val="00C35FE9"/>
    <w:rsid w:val="00C405D7"/>
    <w:rsid w:val="00C42C90"/>
    <w:rsid w:val="00C45B3D"/>
    <w:rsid w:val="00C5031C"/>
    <w:rsid w:val="00C528EE"/>
    <w:rsid w:val="00C52EE9"/>
    <w:rsid w:val="00C5737A"/>
    <w:rsid w:val="00C70EF8"/>
    <w:rsid w:val="00C71668"/>
    <w:rsid w:val="00C73C59"/>
    <w:rsid w:val="00C75244"/>
    <w:rsid w:val="00C754E6"/>
    <w:rsid w:val="00C7663E"/>
    <w:rsid w:val="00C826CF"/>
    <w:rsid w:val="00C869C5"/>
    <w:rsid w:val="00C87081"/>
    <w:rsid w:val="00C96FC6"/>
    <w:rsid w:val="00C971CF"/>
    <w:rsid w:val="00CA1EDB"/>
    <w:rsid w:val="00CA2175"/>
    <w:rsid w:val="00CA6697"/>
    <w:rsid w:val="00CB0A09"/>
    <w:rsid w:val="00CB1A8C"/>
    <w:rsid w:val="00CB75A2"/>
    <w:rsid w:val="00CC3767"/>
    <w:rsid w:val="00CC58ED"/>
    <w:rsid w:val="00CD32AE"/>
    <w:rsid w:val="00CE6C7B"/>
    <w:rsid w:val="00CF0E4B"/>
    <w:rsid w:val="00D02BFB"/>
    <w:rsid w:val="00D122D6"/>
    <w:rsid w:val="00D12451"/>
    <w:rsid w:val="00D1250E"/>
    <w:rsid w:val="00D15DB4"/>
    <w:rsid w:val="00D15E04"/>
    <w:rsid w:val="00D21480"/>
    <w:rsid w:val="00D22BAD"/>
    <w:rsid w:val="00D268BC"/>
    <w:rsid w:val="00D3017B"/>
    <w:rsid w:val="00D302BA"/>
    <w:rsid w:val="00D30EC9"/>
    <w:rsid w:val="00D5256B"/>
    <w:rsid w:val="00D55E6C"/>
    <w:rsid w:val="00D617A9"/>
    <w:rsid w:val="00D659F4"/>
    <w:rsid w:val="00D65CDB"/>
    <w:rsid w:val="00D70220"/>
    <w:rsid w:val="00D72752"/>
    <w:rsid w:val="00D83688"/>
    <w:rsid w:val="00D90860"/>
    <w:rsid w:val="00D95C3D"/>
    <w:rsid w:val="00D95F4A"/>
    <w:rsid w:val="00DA2E70"/>
    <w:rsid w:val="00DA4D7A"/>
    <w:rsid w:val="00DA75FC"/>
    <w:rsid w:val="00DB0219"/>
    <w:rsid w:val="00DB029E"/>
    <w:rsid w:val="00DB04FE"/>
    <w:rsid w:val="00DB5C31"/>
    <w:rsid w:val="00DC0C4E"/>
    <w:rsid w:val="00DC38F4"/>
    <w:rsid w:val="00DD2A90"/>
    <w:rsid w:val="00DD42DD"/>
    <w:rsid w:val="00DD4FC5"/>
    <w:rsid w:val="00DE0275"/>
    <w:rsid w:val="00DE0F3C"/>
    <w:rsid w:val="00DE2027"/>
    <w:rsid w:val="00DE28BA"/>
    <w:rsid w:val="00DE5802"/>
    <w:rsid w:val="00DE6C75"/>
    <w:rsid w:val="00DF0032"/>
    <w:rsid w:val="00DF53D8"/>
    <w:rsid w:val="00DF5D2F"/>
    <w:rsid w:val="00DF6DEA"/>
    <w:rsid w:val="00E0167E"/>
    <w:rsid w:val="00E0478A"/>
    <w:rsid w:val="00E0651F"/>
    <w:rsid w:val="00E06EBE"/>
    <w:rsid w:val="00E1041B"/>
    <w:rsid w:val="00E104DB"/>
    <w:rsid w:val="00E23ED6"/>
    <w:rsid w:val="00E24275"/>
    <w:rsid w:val="00E25D8D"/>
    <w:rsid w:val="00E2698A"/>
    <w:rsid w:val="00E3148D"/>
    <w:rsid w:val="00E328AC"/>
    <w:rsid w:val="00E33DEA"/>
    <w:rsid w:val="00E41E8C"/>
    <w:rsid w:val="00E462AA"/>
    <w:rsid w:val="00E60AD4"/>
    <w:rsid w:val="00E61A01"/>
    <w:rsid w:val="00E63DCA"/>
    <w:rsid w:val="00E6436B"/>
    <w:rsid w:val="00E67363"/>
    <w:rsid w:val="00E73D25"/>
    <w:rsid w:val="00E74EAC"/>
    <w:rsid w:val="00E75924"/>
    <w:rsid w:val="00E77D1E"/>
    <w:rsid w:val="00E825DD"/>
    <w:rsid w:val="00E87D00"/>
    <w:rsid w:val="00E92C6B"/>
    <w:rsid w:val="00E95ECA"/>
    <w:rsid w:val="00E96EB9"/>
    <w:rsid w:val="00E97929"/>
    <w:rsid w:val="00EA1F1D"/>
    <w:rsid w:val="00EA4C8E"/>
    <w:rsid w:val="00EA557E"/>
    <w:rsid w:val="00EA575F"/>
    <w:rsid w:val="00EB3338"/>
    <w:rsid w:val="00EB5438"/>
    <w:rsid w:val="00EC2A2B"/>
    <w:rsid w:val="00EC40C6"/>
    <w:rsid w:val="00ED34B9"/>
    <w:rsid w:val="00ED5EEB"/>
    <w:rsid w:val="00ED78C3"/>
    <w:rsid w:val="00EE3AFF"/>
    <w:rsid w:val="00EE5B37"/>
    <w:rsid w:val="00EE73E1"/>
    <w:rsid w:val="00EF3939"/>
    <w:rsid w:val="00EF58B9"/>
    <w:rsid w:val="00EF7F7E"/>
    <w:rsid w:val="00F025CD"/>
    <w:rsid w:val="00F10A13"/>
    <w:rsid w:val="00F12CD3"/>
    <w:rsid w:val="00F17527"/>
    <w:rsid w:val="00F21801"/>
    <w:rsid w:val="00F234A6"/>
    <w:rsid w:val="00F27593"/>
    <w:rsid w:val="00F313F2"/>
    <w:rsid w:val="00F32549"/>
    <w:rsid w:val="00F42A35"/>
    <w:rsid w:val="00F43496"/>
    <w:rsid w:val="00F47794"/>
    <w:rsid w:val="00F60A09"/>
    <w:rsid w:val="00F62B82"/>
    <w:rsid w:val="00F63D1D"/>
    <w:rsid w:val="00F653F8"/>
    <w:rsid w:val="00F65899"/>
    <w:rsid w:val="00F65DD9"/>
    <w:rsid w:val="00F674FC"/>
    <w:rsid w:val="00F67EBE"/>
    <w:rsid w:val="00F72452"/>
    <w:rsid w:val="00F752DA"/>
    <w:rsid w:val="00F77A73"/>
    <w:rsid w:val="00F81DB9"/>
    <w:rsid w:val="00F834AB"/>
    <w:rsid w:val="00F83A3C"/>
    <w:rsid w:val="00F854C3"/>
    <w:rsid w:val="00F85FBF"/>
    <w:rsid w:val="00F90767"/>
    <w:rsid w:val="00F949E4"/>
    <w:rsid w:val="00F9533F"/>
    <w:rsid w:val="00F96640"/>
    <w:rsid w:val="00F96C02"/>
    <w:rsid w:val="00FA3CBB"/>
    <w:rsid w:val="00FA6334"/>
    <w:rsid w:val="00FB10A3"/>
    <w:rsid w:val="00FB17B0"/>
    <w:rsid w:val="00FB4EF9"/>
    <w:rsid w:val="00FB5E29"/>
    <w:rsid w:val="00FC0146"/>
    <w:rsid w:val="00FC2064"/>
    <w:rsid w:val="00FC7C78"/>
    <w:rsid w:val="00FC7D2A"/>
    <w:rsid w:val="00FD0902"/>
    <w:rsid w:val="00FD1861"/>
    <w:rsid w:val="00FD3E43"/>
    <w:rsid w:val="00FD6042"/>
    <w:rsid w:val="00FE123A"/>
    <w:rsid w:val="00FF116E"/>
    <w:rsid w:val="00FF2597"/>
    <w:rsid w:val="00FF3CD6"/>
    <w:rsid w:val="00FF50BE"/>
    <w:rsid w:val="00FF5C51"/>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B72E0A-E185-4F15-A1CE-FF79366E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E93"/>
    <w:rPr>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AC6041"/>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1C491B"/>
    <w:pPr>
      <w:spacing w:before="120" w:after="120" w:line="312" w:lineRule="auto"/>
    </w:pPr>
    <w:rPr>
      <w:szCs w:val="22"/>
      <w:lang w:val="en-US"/>
    </w:rPr>
  </w:style>
  <w:style w:type="paragraph" w:customStyle="1" w:styleId="CharCharCharCharCharCharChar">
    <w:name w:val="Char Char Char Char Char Char Char"/>
    <w:basedOn w:val="Normal"/>
    <w:next w:val="Normal"/>
    <w:autoRedefine/>
    <w:semiHidden/>
    <w:rsid w:val="00482E4F"/>
    <w:pPr>
      <w:spacing w:before="120" w:after="120" w:line="312" w:lineRule="auto"/>
    </w:pPr>
    <w:rPr>
      <w:szCs w:val="22"/>
      <w:lang w:val="en-US"/>
    </w:rPr>
  </w:style>
  <w:style w:type="paragraph" w:customStyle="1" w:styleId="CharCharCharChar">
    <w:name w:val="Char Char Char Char"/>
    <w:basedOn w:val="Normal"/>
    <w:rsid w:val="0024309A"/>
    <w:pPr>
      <w:spacing w:after="160" w:line="240" w:lineRule="exact"/>
    </w:pPr>
    <w:rPr>
      <w:rFonts w:ascii="Verdana" w:hAnsi="Verdana"/>
      <w:sz w:val="20"/>
      <w:szCs w:val="20"/>
      <w:lang w:val="en-US"/>
    </w:rPr>
  </w:style>
  <w:style w:type="paragraph" w:styleId="Header">
    <w:name w:val="header"/>
    <w:basedOn w:val="Normal"/>
    <w:link w:val="HeaderChar"/>
    <w:rsid w:val="00935EC3"/>
    <w:pPr>
      <w:tabs>
        <w:tab w:val="center" w:pos="4680"/>
        <w:tab w:val="right" w:pos="9360"/>
      </w:tabs>
    </w:pPr>
  </w:style>
  <w:style w:type="character" w:customStyle="1" w:styleId="HeaderChar">
    <w:name w:val="Header Char"/>
    <w:link w:val="Header"/>
    <w:rsid w:val="00935EC3"/>
    <w:rPr>
      <w:sz w:val="28"/>
      <w:szCs w:val="28"/>
      <w:lang w:val="vi-VN"/>
    </w:rPr>
  </w:style>
  <w:style w:type="paragraph" w:styleId="Footer">
    <w:name w:val="footer"/>
    <w:basedOn w:val="Normal"/>
    <w:link w:val="FooterChar"/>
    <w:uiPriority w:val="99"/>
    <w:rsid w:val="00935EC3"/>
    <w:pPr>
      <w:tabs>
        <w:tab w:val="center" w:pos="4680"/>
        <w:tab w:val="right" w:pos="9360"/>
      </w:tabs>
    </w:pPr>
  </w:style>
  <w:style w:type="character" w:customStyle="1" w:styleId="FooterChar">
    <w:name w:val="Footer Char"/>
    <w:link w:val="Footer"/>
    <w:uiPriority w:val="99"/>
    <w:rsid w:val="00935EC3"/>
    <w:rPr>
      <w:sz w:val="28"/>
      <w:szCs w:val="28"/>
      <w:lang w:val="vi-VN"/>
    </w:rPr>
  </w:style>
  <w:style w:type="paragraph" w:styleId="BalloonText">
    <w:name w:val="Balloon Text"/>
    <w:basedOn w:val="Normal"/>
    <w:link w:val="BalloonTextChar"/>
    <w:rsid w:val="00731BC6"/>
    <w:rPr>
      <w:rFonts w:ascii="Tahoma" w:hAnsi="Tahoma"/>
      <w:sz w:val="16"/>
      <w:szCs w:val="16"/>
    </w:rPr>
  </w:style>
  <w:style w:type="character" w:customStyle="1" w:styleId="BalloonTextChar">
    <w:name w:val="Balloon Text Char"/>
    <w:link w:val="BalloonText"/>
    <w:rsid w:val="00731BC6"/>
    <w:rPr>
      <w:rFonts w:ascii="Tahoma" w:hAnsi="Tahoma" w:cs="Tahoma"/>
      <w:sz w:val="16"/>
      <w:szCs w:val="16"/>
      <w:lang w:val="vi-VN"/>
    </w:rPr>
  </w:style>
  <w:style w:type="paragraph" w:styleId="BodyTextIndent2">
    <w:name w:val="Body Text Indent 2"/>
    <w:basedOn w:val="Normal"/>
    <w:link w:val="BodyTextIndent2Char"/>
    <w:rsid w:val="000822E1"/>
    <w:pPr>
      <w:spacing w:line="400" w:lineRule="exact"/>
      <w:ind w:firstLine="720"/>
      <w:jc w:val="center"/>
    </w:pPr>
    <w:rPr>
      <w:bCs/>
    </w:rPr>
  </w:style>
  <w:style w:type="character" w:customStyle="1" w:styleId="BodyTextIndent2Char">
    <w:name w:val="Body Text Indent 2 Char"/>
    <w:link w:val="BodyTextIndent2"/>
    <w:rsid w:val="000822E1"/>
    <w:rPr>
      <w:bCs/>
      <w:sz w:val="28"/>
      <w:szCs w:val="28"/>
    </w:rPr>
  </w:style>
  <w:style w:type="paragraph" w:customStyle="1" w:styleId="Body1">
    <w:name w:val="Body 1"/>
    <w:rsid w:val="00BB0D58"/>
    <w:pPr>
      <w:outlineLvl w:val="0"/>
    </w:pPr>
    <w:rPr>
      <w:rFonts w:eastAsia="Arial Unicode MS"/>
      <w:color w:val="000000"/>
      <w:sz w:val="28"/>
      <w:u w:color="000000"/>
    </w:rPr>
  </w:style>
  <w:style w:type="paragraph" w:customStyle="1" w:styleId="Noidung">
    <w:name w:val="Noi dung"/>
    <w:basedOn w:val="Normal"/>
    <w:qFormat/>
    <w:rsid w:val="002C1D8B"/>
    <w:pPr>
      <w:spacing w:before="120" w:line="264" w:lineRule="auto"/>
      <w:ind w:firstLine="567"/>
      <w:jc w:val="both"/>
    </w:pPr>
    <w:rPr>
      <w:szCs w:val="24"/>
      <w:lang w:val="en-US" w:eastAsia="vi-VN"/>
    </w:rPr>
  </w:style>
  <w:style w:type="paragraph" w:styleId="ListParagraph">
    <w:name w:val="List Paragraph"/>
    <w:basedOn w:val="Normal"/>
    <w:uiPriority w:val="34"/>
    <w:qFormat/>
    <w:rsid w:val="003B19D3"/>
    <w:pPr>
      <w:spacing w:after="200" w:line="276" w:lineRule="auto"/>
      <w:ind w:left="720"/>
    </w:pPr>
    <w:rPr>
      <w:rFonts w:ascii="Calibri" w:hAnsi="Calibri" w:cs="Calibri"/>
      <w:sz w:val="22"/>
      <w:szCs w:val="22"/>
      <w:lang w:val="en-US"/>
    </w:rPr>
  </w:style>
  <w:style w:type="paragraph" w:styleId="NormalWeb">
    <w:name w:val="Normal (Web)"/>
    <w:basedOn w:val="Normal"/>
    <w:uiPriority w:val="99"/>
    <w:unhideWhenUsed/>
    <w:rsid w:val="00233BBC"/>
    <w:pPr>
      <w:spacing w:before="100" w:beforeAutospacing="1" w:after="100" w:afterAutospacing="1"/>
    </w:pPr>
    <w:rPr>
      <w:sz w:val="24"/>
      <w:szCs w:val="24"/>
      <w:lang w:val="en-US"/>
    </w:rPr>
  </w:style>
  <w:style w:type="character" w:styleId="Hyperlink">
    <w:name w:val="Hyperlink"/>
    <w:basedOn w:val="DefaultParagraphFont"/>
    <w:uiPriority w:val="99"/>
    <w:unhideWhenUsed/>
    <w:rsid w:val="0083284D"/>
    <w:rPr>
      <w:color w:val="0000FF"/>
      <w:u w:val="single"/>
    </w:rPr>
  </w:style>
  <w:style w:type="paragraph" w:styleId="FootnoteText">
    <w:name w:val="footnote text"/>
    <w:basedOn w:val="Normal"/>
    <w:link w:val="FootnoteTextChar"/>
    <w:unhideWhenUsed/>
    <w:rsid w:val="00173C9D"/>
    <w:rPr>
      <w:sz w:val="20"/>
      <w:szCs w:val="20"/>
      <w:lang w:val="en-US"/>
    </w:rPr>
  </w:style>
  <w:style w:type="character" w:customStyle="1" w:styleId="FootnoteTextChar">
    <w:name w:val="Footnote Text Char"/>
    <w:basedOn w:val="DefaultParagraphFont"/>
    <w:link w:val="FootnoteText"/>
    <w:rsid w:val="00173C9D"/>
  </w:style>
  <w:style w:type="character" w:styleId="FootnoteReference">
    <w:name w:val="footnote reference"/>
    <w:unhideWhenUsed/>
    <w:rsid w:val="00173C9D"/>
    <w:rPr>
      <w:vertAlign w:val="superscript"/>
    </w:rPr>
  </w:style>
  <w:style w:type="character" w:customStyle="1" w:styleId="fontstyle01">
    <w:name w:val="fontstyle01"/>
    <w:basedOn w:val="DefaultParagraphFont"/>
    <w:rsid w:val="00C87081"/>
    <w:rPr>
      <w:rFonts w:ascii="Times New Roman" w:hAnsi="Times New Roman" w:cs="Times New Roman" w:hint="default"/>
      <w:b w:val="0"/>
      <w:bCs w:val="0"/>
      <w:i w:val="0"/>
      <w:iCs w:val="0"/>
      <w:color w:val="000000"/>
      <w:sz w:val="28"/>
      <w:szCs w:val="28"/>
    </w:rPr>
  </w:style>
  <w:style w:type="paragraph" w:styleId="BodyTextIndent">
    <w:name w:val="Body Text Indent"/>
    <w:basedOn w:val="Normal"/>
    <w:link w:val="BodyTextIndentChar"/>
    <w:rsid w:val="00971077"/>
    <w:pPr>
      <w:spacing w:after="120"/>
      <w:ind w:left="360"/>
    </w:pPr>
  </w:style>
  <w:style w:type="character" w:customStyle="1" w:styleId="BodyTextIndentChar">
    <w:name w:val="Body Text Indent Char"/>
    <w:basedOn w:val="DefaultParagraphFont"/>
    <w:link w:val="BodyTextIndent"/>
    <w:rsid w:val="00971077"/>
    <w:rPr>
      <w:sz w:val="28"/>
      <w:szCs w:val="28"/>
      <w:lang w:val="vi-VN"/>
    </w:rPr>
  </w:style>
  <w:style w:type="paragraph" w:styleId="BodyText">
    <w:name w:val="Body Text"/>
    <w:basedOn w:val="Normal"/>
    <w:link w:val="BodyTextChar"/>
    <w:rsid w:val="001E54A7"/>
    <w:pPr>
      <w:spacing w:after="120"/>
    </w:pPr>
  </w:style>
  <w:style w:type="character" w:customStyle="1" w:styleId="BodyTextChar">
    <w:name w:val="Body Text Char"/>
    <w:basedOn w:val="DefaultParagraphFont"/>
    <w:link w:val="BodyText"/>
    <w:rsid w:val="001E54A7"/>
    <w:rPr>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5742">
      <w:bodyDiv w:val="1"/>
      <w:marLeft w:val="0"/>
      <w:marRight w:val="0"/>
      <w:marTop w:val="0"/>
      <w:marBottom w:val="0"/>
      <w:divBdr>
        <w:top w:val="none" w:sz="0" w:space="0" w:color="auto"/>
        <w:left w:val="none" w:sz="0" w:space="0" w:color="auto"/>
        <w:bottom w:val="none" w:sz="0" w:space="0" w:color="auto"/>
        <w:right w:val="none" w:sz="0" w:space="0" w:color="auto"/>
      </w:divBdr>
    </w:div>
    <w:div w:id="103774628">
      <w:bodyDiv w:val="1"/>
      <w:marLeft w:val="0"/>
      <w:marRight w:val="0"/>
      <w:marTop w:val="0"/>
      <w:marBottom w:val="0"/>
      <w:divBdr>
        <w:top w:val="none" w:sz="0" w:space="0" w:color="auto"/>
        <w:left w:val="none" w:sz="0" w:space="0" w:color="auto"/>
        <w:bottom w:val="none" w:sz="0" w:space="0" w:color="auto"/>
        <w:right w:val="none" w:sz="0" w:space="0" w:color="auto"/>
      </w:divBdr>
    </w:div>
    <w:div w:id="326441053">
      <w:bodyDiv w:val="1"/>
      <w:marLeft w:val="0"/>
      <w:marRight w:val="0"/>
      <w:marTop w:val="0"/>
      <w:marBottom w:val="0"/>
      <w:divBdr>
        <w:top w:val="none" w:sz="0" w:space="0" w:color="auto"/>
        <w:left w:val="none" w:sz="0" w:space="0" w:color="auto"/>
        <w:bottom w:val="none" w:sz="0" w:space="0" w:color="auto"/>
        <w:right w:val="none" w:sz="0" w:space="0" w:color="auto"/>
      </w:divBdr>
    </w:div>
    <w:div w:id="446194262">
      <w:bodyDiv w:val="1"/>
      <w:marLeft w:val="0"/>
      <w:marRight w:val="0"/>
      <w:marTop w:val="0"/>
      <w:marBottom w:val="0"/>
      <w:divBdr>
        <w:top w:val="none" w:sz="0" w:space="0" w:color="auto"/>
        <w:left w:val="none" w:sz="0" w:space="0" w:color="auto"/>
        <w:bottom w:val="none" w:sz="0" w:space="0" w:color="auto"/>
        <w:right w:val="none" w:sz="0" w:space="0" w:color="auto"/>
      </w:divBdr>
    </w:div>
    <w:div w:id="474566964">
      <w:bodyDiv w:val="1"/>
      <w:marLeft w:val="0"/>
      <w:marRight w:val="0"/>
      <w:marTop w:val="0"/>
      <w:marBottom w:val="0"/>
      <w:divBdr>
        <w:top w:val="none" w:sz="0" w:space="0" w:color="auto"/>
        <w:left w:val="none" w:sz="0" w:space="0" w:color="auto"/>
        <w:bottom w:val="none" w:sz="0" w:space="0" w:color="auto"/>
        <w:right w:val="none" w:sz="0" w:space="0" w:color="auto"/>
      </w:divBdr>
    </w:div>
    <w:div w:id="492379559">
      <w:bodyDiv w:val="1"/>
      <w:marLeft w:val="0"/>
      <w:marRight w:val="0"/>
      <w:marTop w:val="0"/>
      <w:marBottom w:val="0"/>
      <w:divBdr>
        <w:top w:val="none" w:sz="0" w:space="0" w:color="auto"/>
        <w:left w:val="none" w:sz="0" w:space="0" w:color="auto"/>
        <w:bottom w:val="none" w:sz="0" w:space="0" w:color="auto"/>
        <w:right w:val="none" w:sz="0" w:space="0" w:color="auto"/>
      </w:divBdr>
    </w:div>
    <w:div w:id="522321939">
      <w:bodyDiv w:val="1"/>
      <w:marLeft w:val="0"/>
      <w:marRight w:val="0"/>
      <w:marTop w:val="0"/>
      <w:marBottom w:val="0"/>
      <w:divBdr>
        <w:top w:val="none" w:sz="0" w:space="0" w:color="auto"/>
        <w:left w:val="none" w:sz="0" w:space="0" w:color="auto"/>
        <w:bottom w:val="none" w:sz="0" w:space="0" w:color="auto"/>
        <w:right w:val="none" w:sz="0" w:space="0" w:color="auto"/>
      </w:divBdr>
    </w:div>
    <w:div w:id="574314365">
      <w:bodyDiv w:val="1"/>
      <w:marLeft w:val="0"/>
      <w:marRight w:val="0"/>
      <w:marTop w:val="0"/>
      <w:marBottom w:val="0"/>
      <w:divBdr>
        <w:top w:val="none" w:sz="0" w:space="0" w:color="auto"/>
        <w:left w:val="none" w:sz="0" w:space="0" w:color="auto"/>
        <w:bottom w:val="none" w:sz="0" w:space="0" w:color="auto"/>
        <w:right w:val="none" w:sz="0" w:space="0" w:color="auto"/>
      </w:divBdr>
    </w:div>
    <w:div w:id="604189262">
      <w:bodyDiv w:val="1"/>
      <w:marLeft w:val="0"/>
      <w:marRight w:val="0"/>
      <w:marTop w:val="0"/>
      <w:marBottom w:val="0"/>
      <w:divBdr>
        <w:top w:val="none" w:sz="0" w:space="0" w:color="auto"/>
        <w:left w:val="none" w:sz="0" w:space="0" w:color="auto"/>
        <w:bottom w:val="none" w:sz="0" w:space="0" w:color="auto"/>
        <w:right w:val="none" w:sz="0" w:space="0" w:color="auto"/>
      </w:divBdr>
    </w:div>
    <w:div w:id="708844148">
      <w:bodyDiv w:val="1"/>
      <w:marLeft w:val="0"/>
      <w:marRight w:val="0"/>
      <w:marTop w:val="0"/>
      <w:marBottom w:val="0"/>
      <w:divBdr>
        <w:top w:val="none" w:sz="0" w:space="0" w:color="auto"/>
        <w:left w:val="none" w:sz="0" w:space="0" w:color="auto"/>
        <w:bottom w:val="none" w:sz="0" w:space="0" w:color="auto"/>
        <w:right w:val="none" w:sz="0" w:space="0" w:color="auto"/>
      </w:divBdr>
    </w:div>
    <w:div w:id="716931027">
      <w:bodyDiv w:val="1"/>
      <w:marLeft w:val="0"/>
      <w:marRight w:val="0"/>
      <w:marTop w:val="0"/>
      <w:marBottom w:val="0"/>
      <w:divBdr>
        <w:top w:val="none" w:sz="0" w:space="0" w:color="auto"/>
        <w:left w:val="none" w:sz="0" w:space="0" w:color="auto"/>
        <w:bottom w:val="none" w:sz="0" w:space="0" w:color="auto"/>
        <w:right w:val="none" w:sz="0" w:space="0" w:color="auto"/>
      </w:divBdr>
    </w:div>
    <w:div w:id="742680224">
      <w:bodyDiv w:val="1"/>
      <w:marLeft w:val="0"/>
      <w:marRight w:val="0"/>
      <w:marTop w:val="0"/>
      <w:marBottom w:val="0"/>
      <w:divBdr>
        <w:top w:val="none" w:sz="0" w:space="0" w:color="auto"/>
        <w:left w:val="none" w:sz="0" w:space="0" w:color="auto"/>
        <w:bottom w:val="none" w:sz="0" w:space="0" w:color="auto"/>
        <w:right w:val="none" w:sz="0" w:space="0" w:color="auto"/>
      </w:divBdr>
    </w:div>
    <w:div w:id="768356658">
      <w:bodyDiv w:val="1"/>
      <w:marLeft w:val="0"/>
      <w:marRight w:val="0"/>
      <w:marTop w:val="0"/>
      <w:marBottom w:val="0"/>
      <w:divBdr>
        <w:top w:val="none" w:sz="0" w:space="0" w:color="auto"/>
        <w:left w:val="none" w:sz="0" w:space="0" w:color="auto"/>
        <w:bottom w:val="none" w:sz="0" w:space="0" w:color="auto"/>
        <w:right w:val="none" w:sz="0" w:space="0" w:color="auto"/>
      </w:divBdr>
    </w:div>
    <w:div w:id="814489989">
      <w:bodyDiv w:val="1"/>
      <w:marLeft w:val="0"/>
      <w:marRight w:val="0"/>
      <w:marTop w:val="0"/>
      <w:marBottom w:val="0"/>
      <w:divBdr>
        <w:top w:val="none" w:sz="0" w:space="0" w:color="auto"/>
        <w:left w:val="none" w:sz="0" w:space="0" w:color="auto"/>
        <w:bottom w:val="none" w:sz="0" w:space="0" w:color="auto"/>
        <w:right w:val="none" w:sz="0" w:space="0" w:color="auto"/>
      </w:divBdr>
    </w:div>
    <w:div w:id="818378127">
      <w:bodyDiv w:val="1"/>
      <w:marLeft w:val="0"/>
      <w:marRight w:val="0"/>
      <w:marTop w:val="0"/>
      <w:marBottom w:val="0"/>
      <w:divBdr>
        <w:top w:val="none" w:sz="0" w:space="0" w:color="auto"/>
        <w:left w:val="none" w:sz="0" w:space="0" w:color="auto"/>
        <w:bottom w:val="none" w:sz="0" w:space="0" w:color="auto"/>
        <w:right w:val="none" w:sz="0" w:space="0" w:color="auto"/>
      </w:divBdr>
    </w:div>
    <w:div w:id="822968021">
      <w:bodyDiv w:val="1"/>
      <w:marLeft w:val="0"/>
      <w:marRight w:val="0"/>
      <w:marTop w:val="0"/>
      <w:marBottom w:val="0"/>
      <w:divBdr>
        <w:top w:val="none" w:sz="0" w:space="0" w:color="auto"/>
        <w:left w:val="none" w:sz="0" w:space="0" w:color="auto"/>
        <w:bottom w:val="none" w:sz="0" w:space="0" w:color="auto"/>
        <w:right w:val="none" w:sz="0" w:space="0" w:color="auto"/>
      </w:divBdr>
    </w:div>
    <w:div w:id="853764147">
      <w:bodyDiv w:val="1"/>
      <w:marLeft w:val="0"/>
      <w:marRight w:val="0"/>
      <w:marTop w:val="0"/>
      <w:marBottom w:val="0"/>
      <w:divBdr>
        <w:top w:val="none" w:sz="0" w:space="0" w:color="auto"/>
        <w:left w:val="none" w:sz="0" w:space="0" w:color="auto"/>
        <w:bottom w:val="none" w:sz="0" w:space="0" w:color="auto"/>
        <w:right w:val="none" w:sz="0" w:space="0" w:color="auto"/>
      </w:divBdr>
    </w:div>
    <w:div w:id="870538111">
      <w:bodyDiv w:val="1"/>
      <w:marLeft w:val="0"/>
      <w:marRight w:val="0"/>
      <w:marTop w:val="0"/>
      <w:marBottom w:val="0"/>
      <w:divBdr>
        <w:top w:val="none" w:sz="0" w:space="0" w:color="auto"/>
        <w:left w:val="none" w:sz="0" w:space="0" w:color="auto"/>
        <w:bottom w:val="none" w:sz="0" w:space="0" w:color="auto"/>
        <w:right w:val="none" w:sz="0" w:space="0" w:color="auto"/>
      </w:divBdr>
    </w:div>
    <w:div w:id="896429164">
      <w:bodyDiv w:val="1"/>
      <w:marLeft w:val="0"/>
      <w:marRight w:val="0"/>
      <w:marTop w:val="0"/>
      <w:marBottom w:val="0"/>
      <w:divBdr>
        <w:top w:val="none" w:sz="0" w:space="0" w:color="auto"/>
        <w:left w:val="none" w:sz="0" w:space="0" w:color="auto"/>
        <w:bottom w:val="none" w:sz="0" w:space="0" w:color="auto"/>
        <w:right w:val="none" w:sz="0" w:space="0" w:color="auto"/>
      </w:divBdr>
    </w:div>
    <w:div w:id="935796435">
      <w:bodyDiv w:val="1"/>
      <w:marLeft w:val="0"/>
      <w:marRight w:val="0"/>
      <w:marTop w:val="0"/>
      <w:marBottom w:val="0"/>
      <w:divBdr>
        <w:top w:val="none" w:sz="0" w:space="0" w:color="auto"/>
        <w:left w:val="none" w:sz="0" w:space="0" w:color="auto"/>
        <w:bottom w:val="none" w:sz="0" w:space="0" w:color="auto"/>
        <w:right w:val="none" w:sz="0" w:space="0" w:color="auto"/>
      </w:divBdr>
    </w:div>
    <w:div w:id="976033153">
      <w:bodyDiv w:val="1"/>
      <w:marLeft w:val="0"/>
      <w:marRight w:val="0"/>
      <w:marTop w:val="0"/>
      <w:marBottom w:val="0"/>
      <w:divBdr>
        <w:top w:val="none" w:sz="0" w:space="0" w:color="auto"/>
        <w:left w:val="none" w:sz="0" w:space="0" w:color="auto"/>
        <w:bottom w:val="none" w:sz="0" w:space="0" w:color="auto"/>
        <w:right w:val="none" w:sz="0" w:space="0" w:color="auto"/>
      </w:divBdr>
    </w:div>
    <w:div w:id="1079903358">
      <w:bodyDiv w:val="1"/>
      <w:marLeft w:val="0"/>
      <w:marRight w:val="0"/>
      <w:marTop w:val="0"/>
      <w:marBottom w:val="0"/>
      <w:divBdr>
        <w:top w:val="none" w:sz="0" w:space="0" w:color="auto"/>
        <w:left w:val="none" w:sz="0" w:space="0" w:color="auto"/>
        <w:bottom w:val="none" w:sz="0" w:space="0" w:color="auto"/>
        <w:right w:val="none" w:sz="0" w:space="0" w:color="auto"/>
      </w:divBdr>
    </w:div>
    <w:div w:id="1096754840">
      <w:bodyDiv w:val="1"/>
      <w:marLeft w:val="0"/>
      <w:marRight w:val="0"/>
      <w:marTop w:val="0"/>
      <w:marBottom w:val="0"/>
      <w:divBdr>
        <w:top w:val="none" w:sz="0" w:space="0" w:color="auto"/>
        <w:left w:val="none" w:sz="0" w:space="0" w:color="auto"/>
        <w:bottom w:val="none" w:sz="0" w:space="0" w:color="auto"/>
        <w:right w:val="none" w:sz="0" w:space="0" w:color="auto"/>
      </w:divBdr>
    </w:div>
    <w:div w:id="1276869854">
      <w:bodyDiv w:val="1"/>
      <w:marLeft w:val="0"/>
      <w:marRight w:val="0"/>
      <w:marTop w:val="0"/>
      <w:marBottom w:val="0"/>
      <w:divBdr>
        <w:top w:val="none" w:sz="0" w:space="0" w:color="auto"/>
        <w:left w:val="none" w:sz="0" w:space="0" w:color="auto"/>
        <w:bottom w:val="none" w:sz="0" w:space="0" w:color="auto"/>
        <w:right w:val="none" w:sz="0" w:space="0" w:color="auto"/>
      </w:divBdr>
    </w:div>
    <w:div w:id="1303922182">
      <w:bodyDiv w:val="1"/>
      <w:marLeft w:val="0"/>
      <w:marRight w:val="0"/>
      <w:marTop w:val="0"/>
      <w:marBottom w:val="0"/>
      <w:divBdr>
        <w:top w:val="none" w:sz="0" w:space="0" w:color="auto"/>
        <w:left w:val="none" w:sz="0" w:space="0" w:color="auto"/>
        <w:bottom w:val="none" w:sz="0" w:space="0" w:color="auto"/>
        <w:right w:val="none" w:sz="0" w:space="0" w:color="auto"/>
      </w:divBdr>
    </w:div>
    <w:div w:id="1322000647">
      <w:bodyDiv w:val="1"/>
      <w:marLeft w:val="0"/>
      <w:marRight w:val="0"/>
      <w:marTop w:val="0"/>
      <w:marBottom w:val="0"/>
      <w:divBdr>
        <w:top w:val="none" w:sz="0" w:space="0" w:color="auto"/>
        <w:left w:val="none" w:sz="0" w:space="0" w:color="auto"/>
        <w:bottom w:val="none" w:sz="0" w:space="0" w:color="auto"/>
        <w:right w:val="none" w:sz="0" w:space="0" w:color="auto"/>
      </w:divBdr>
    </w:div>
    <w:div w:id="1330209978">
      <w:bodyDiv w:val="1"/>
      <w:marLeft w:val="0"/>
      <w:marRight w:val="0"/>
      <w:marTop w:val="0"/>
      <w:marBottom w:val="0"/>
      <w:divBdr>
        <w:top w:val="none" w:sz="0" w:space="0" w:color="auto"/>
        <w:left w:val="none" w:sz="0" w:space="0" w:color="auto"/>
        <w:bottom w:val="none" w:sz="0" w:space="0" w:color="auto"/>
        <w:right w:val="none" w:sz="0" w:space="0" w:color="auto"/>
      </w:divBdr>
    </w:div>
    <w:div w:id="1354841545">
      <w:bodyDiv w:val="1"/>
      <w:marLeft w:val="0"/>
      <w:marRight w:val="0"/>
      <w:marTop w:val="0"/>
      <w:marBottom w:val="0"/>
      <w:divBdr>
        <w:top w:val="none" w:sz="0" w:space="0" w:color="auto"/>
        <w:left w:val="none" w:sz="0" w:space="0" w:color="auto"/>
        <w:bottom w:val="none" w:sz="0" w:space="0" w:color="auto"/>
        <w:right w:val="none" w:sz="0" w:space="0" w:color="auto"/>
      </w:divBdr>
    </w:div>
    <w:div w:id="1553350943">
      <w:bodyDiv w:val="1"/>
      <w:marLeft w:val="0"/>
      <w:marRight w:val="0"/>
      <w:marTop w:val="0"/>
      <w:marBottom w:val="0"/>
      <w:divBdr>
        <w:top w:val="none" w:sz="0" w:space="0" w:color="auto"/>
        <w:left w:val="none" w:sz="0" w:space="0" w:color="auto"/>
        <w:bottom w:val="none" w:sz="0" w:space="0" w:color="auto"/>
        <w:right w:val="none" w:sz="0" w:space="0" w:color="auto"/>
      </w:divBdr>
    </w:div>
    <w:div w:id="1605452506">
      <w:bodyDiv w:val="1"/>
      <w:marLeft w:val="0"/>
      <w:marRight w:val="0"/>
      <w:marTop w:val="0"/>
      <w:marBottom w:val="0"/>
      <w:divBdr>
        <w:top w:val="none" w:sz="0" w:space="0" w:color="auto"/>
        <w:left w:val="none" w:sz="0" w:space="0" w:color="auto"/>
        <w:bottom w:val="none" w:sz="0" w:space="0" w:color="auto"/>
        <w:right w:val="none" w:sz="0" w:space="0" w:color="auto"/>
      </w:divBdr>
    </w:div>
    <w:div w:id="1608848047">
      <w:bodyDiv w:val="1"/>
      <w:marLeft w:val="0"/>
      <w:marRight w:val="0"/>
      <w:marTop w:val="0"/>
      <w:marBottom w:val="0"/>
      <w:divBdr>
        <w:top w:val="none" w:sz="0" w:space="0" w:color="auto"/>
        <w:left w:val="none" w:sz="0" w:space="0" w:color="auto"/>
        <w:bottom w:val="none" w:sz="0" w:space="0" w:color="auto"/>
        <w:right w:val="none" w:sz="0" w:space="0" w:color="auto"/>
      </w:divBdr>
    </w:div>
    <w:div w:id="1618565071">
      <w:bodyDiv w:val="1"/>
      <w:marLeft w:val="0"/>
      <w:marRight w:val="0"/>
      <w:marTop w:val="0"/>
      <w:marBottom w:val="0"/>
      <w:divBdr>
        <w:top w:val="none" w:sz="0" w:space="0" w:color="auto"/>
        <w:left w:val="none" w:sz="0" w:space="0" w:color="auto"/>
        <w:bottom w:val="none" w:sz="0" w:space="0" w:color="auto"/>
        <w:right w:val="none" w:sz="0" w:space="0" w:color="auto"/>
      </w:divBdr>
    </w:div>
    <w:div w:id="1630552654">
      <w:bodyDiv w:val="1"/>
      <w:marLeft w:val="0"/>
      <w:marRight w:val="0"/>
      <w:marTop w:val="0"/>
      <w:marBottom w:val="0"/>
      <w:divBdr>
        <w:top w:val="none" w:sz="0" w:space="0" w:color="auto"/>
        <w:left w:val="none" w:sz="0" w:space="0" w:color="auto"/>
        <w:bottom w:val="none" w:sz="0" w:space="0" w:color="auto"/>
        <w:right w:val="none" w:sz="0" w:space="0" w:color="auto"/>
      </w:divBdr>
    </w:div>
    <w:div w:id="1647776167">
      <w:bodyDiv w:val="1"/>
      <w:marLeft w:val="0"/>
      <w:marRight w:val="0"/>
      <w:marTop w:val="0"/>
      <w:marBottom w:val="0"/>
      <w:divBdr>
        <w:top w:val="none" w:sz="0" w:space="0" w:color="auto"/>
        <w:left w:val="none" w:sz="0" w:space="0" w:color="auto"/>
        <w:bottom w:val="none" w:sz="0" w:space="0" w:color="auto"/>
        <w:right w:val="none" w:sz="0" w:space="0" w:color="auto"/>
      </w:divBdr>
    </w:div>
    <w:div w:id="1648628575">
      <w:bodyDiv w:val="1"/>
      <w:marLeft w:val="0"/>
      <w:marRight w:val="0"/>
      <w:marTop w:val="0"/>
      <w:marBottom w:val="0"/>
      <w:divBdr>
        <w:top w:val="none" w:sz="0" w:space="0" w:color="auto"/>
        <w:left w:val="none" w:sz="0" w:space="0" w:color="auto"/>
        <w:bottom w:val="none" w:sz="0" w:space="0" w:color="auto"/>
        <w:right w:val="none" w:sz="0" w:space="0" w:color="auto"/>
      </w:divBdr>
    </w:div>
    <w:div w:id="1662466673">
      <w:bodyDiv w:val="1"/>
      <w:marLeft w:val="0"/>
      <w:marRight w:val="0"/>
      <w:marTop w:val="0"/>
      <w:marBottom w:val="0"/>
      <w:divBdr>
        <w:top w:val="none" w:sz="0" w:space="0" w:color="auto"/>
        <w:left w:val="none" w:sz="0" w:space="0" w:color="auto"/>
        <w:bottom w:val="none" w:sz="0" w:space="0" w:color="auto"/>
        <w:right w:val="none" w:sz="0" w:space="0" w:color="auto"/>
      </w:divBdr>
    </w:div>
    <w:div w:id="1667052007">
      <w:bodyDiv w:val="1"/>
      <w:marLeft w:val="0"/>
      <w:marRight w:val="0"/>
      <w:marTop w:val="0"/>
      <w:marBottom w:val="0"/>
      <w:divBdr>
        <w:top w:val="none" w:sz="0" w:space="0" w:color="auto"/>
        <w:left w:val="none" w:sz="0" w:space="0" w:color="auto"/>
        <w:bottom w:val="none" w:sz="0" w:space="0" w:color="auto"/>
        <w:right w:val="none" w:sz="0" w:space="0" w:color="auto"/>
      </w:divBdr>
    </w:div>
    <w:div w:id="1707218651">
      <w:bodyDiv w:val="1"/>
      <w:marLeft w:val="0"/>
      <w:marRight w:val="0"/>
      <w:marTop w:val="0"/>
      <w:marBottom w:val="0"/>
      <w:divBdr>
        <w:top w:val="none" w:sz="0" w:space="0" w:color="auto"/>
        <w:left w:val="none" w:sz="0" w:space="0" w:color="auto"/>
        <w:bottom w:val="none" w:sz="0" w:space="0" w:color="auto"/>
        <w:right w:val="none" w:sz="0" w:space="0" w:color="auto"/>
      </w:divBdr>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908613089">
      <w:bodyDiv w:val="1"/>
      <w:marLeft w:val="0"/>
      <w:marRight w:val="0"/>
      <w:marTop w:val="0"/>
      <w:marBottom w:val="0"/>
      <w:divBdr>
        <w:top w:val="none" w:sz="0" w:space="0" w:color="auto"/>
        <w:left w:val="none" w:sz="0" w:space="0" w:color="auto"/>
        <w:bottom w:val="none" w:sz="0" w:space="0" w:color="auto"/>
        <w:right w:val="none" w:sz="0" w:space="0" w:color="auto"/>
      </w:divBdr>
    </w:div>
    <w:div w:id="1928422010">
      <w:bodyDiv w:val="1"/>
      <w:marLeft w:val="0"/>
      <w:marRight w:val="0"/>
      <w:marTop w:val="0"/>
      <w:marBottom w:val="0"/>
      <w:divBdr>
        <w:top w:val="none" w:sz="0" w:space="0" w:color="auto"/>
        <w:left w:val="none" w:sz="0" w:space="0" w:color="auto"/>
        <w:bottom w:val="none" w:sz="0" w:space="0" w:color="auto"/>
        <w:right w:val="none" w:sz="0" w:space="0" w:color="auto"/>
      </w:divBdr>
    </w:div>
    <w:div w:id="1964076589">
      <w:bodyDiv w:val="1"/>
      <w:marLeft w:val="0"/>
      <w:marRight w:val="0"/>
      <w:marTop w:val="0"/>
      <w:marBottom w:val="0"/>
      <w:divBdr>
        <w:top w:val="none" w:sz="0" w:space="0" w:color="auto"/>
        <w:left w:val="none" w:sz="0" w:space="0" w:color="auto"/>
        <w:bottom w:val="none" w:sz="0" w:space="0" w:color="auto"/>
        <w:right w:val="none" w:sz="0" w:space="0" w:color="auto"/>
      </w:divBdr>
    </w:div>
    <w:div w:id="2015494904">
      <w:bodyDiv w:val="1"/>
      <w:marLeft w:val="0"/>
      <w:marRight w:val="0"/>
      <w:marTop w:val="0"/>
      <w:marBottom w:val="0"/>
      <w:divBdr>
        <w:top w:val="none" w:sz="0" w:space="0" w:color="auto"/>
        <w:left w:val="none" w:sz="0" w:space="0" w:color="auto"/>
        <w:bottom w:val="none" w:sz="0" w:space="0" w:color="auto"/>
        <w:right w:val="none" w:sz="0" w:space="0" w:color="auto"/>
      </w:divBdr>
    </w:div>
    <w:div w:id="2024357505">
      <w:bodyDiv w:val="1"/>
      <w:marLeft w:val="0"/>
      <w:marRight w:val="0"/>
      <w:marTop w:val="0"/>
      <w:marBottom w:val="0"/>
      <w:divBdr>
        <w:top w:val="none" w:sz="0" w:space="0" w:color="auto"/>
        <w:left w:val="none" w:sz="0" w:space="0" w:color="auto"/>
        <w:bottom w:val="none" w:sz="0" w:space="0" w:color="auto"/>
        <w:right w:val="none" w:sz="0" w:space="0" w:color="auto"/>
      </w:divBdr>
    </w:div>
    <w:div w:id="2045863486">
      <w:bodyDiv w:val="1"/>
      <w:marLeft w:val="0"/>
      <w:marRight w:val="0"/>
      <w:marTop w:val="0"/>
      <w:marBottom w:val="0"/>
      <w:divBdr>
        <w:top w:val="none" w:sz="0" w:space="0" w:color="auto"/>
        <w:left w:val="none" w:sz="0" w:space="0" w:color="auto"/>
        <w:bottom w:val="none" w:sz="0" w:space="0" w:color="auto"/>
        <w:right w:val="none" w:sz="0" w:space="0" w:color="auto"/>
      </w:divBdr>
    </w:div>
    <w:div w:id="2087191075">
      <w:bodyDiv w:val="1"/>
      <w:marLeft w:val="0"/>
      <w:marRight w:val="0"/>
      <w:marTop w:val="0"/>
      <w:marBottom w:val="0"/>
      <w:divBdr>
        <w:top w:val="none" w:sz="0" w:space="0" w:color="auto"/>
        <w:left w:val="none" w:sz="0" w:space="0" w:color="auto"/>
        <w:bottom w:val="none" w:sz="0" w:space="0" w:color="auto"/>
        <w:right w:val="none" w:sz="0" w:space="0" w:color="auto"/>
      </w:divBdr>
    </w:div>
    <w:div w:id="20925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7B73-36F4-4E88-A2FB-9A8014EF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4577</Words>
  <Characters>26090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UỶ BAN NHÂN DÂN</vt:lpstr>
    </vt:vector>
  </TitlesOfParts>
  <Company>HA TINH</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Hoa2969</dc:creator>
  <cp:lastModifiedBy>hatechvn@outlook.com</cp:lastModifiedBy>
  <cp:revision>2</cp:revision>
  <cp:lastPrinted>2020-05-26T10:57:00Z</cp:lastPrinted>
  <dcterms:created xsi:type="dcterms:W3CDTF">2020-06-06T02:22:00Z</dcterms:created>
  <dcterms:modified xsi:type="dcterms:W3CDTF">2020-06-06T02:22:00Z</dcterms:modified>
</cp:coreProperties>
</file>