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4A0" w:firstRow="1" w:lastRow="0" w:firstColumn="1" w:lastColumn="0" w:noHBand="0" w:noVBand="1"/>
      </w:tblPr>
      <w:tblGrid>
        <w:gridCol w:w="3261"/>
        <w:gridCol w:w="296"/>
        <w:gridCol w:w="5517"/>
      </w:tblGrid>
      <w:tr w:rsidR="00E648A4" w14:paraId="577E194A" w14:textId="77777777">
        <w:trPr>
          <w:trHeight w:val="849"/>
          <w:jc w:val="center"/>
        </w:trPr>
        <w:tc>
          <w:tcPr>
            <w:tcW w:w="1797" w:type="pct"/>
            <w:shd w:val="clear" w:color="auto" w:fill="auto"/>
          </w:tcPr>
          <w:p w14:paraId="12044FE1" w14:textId="77777777" w:rsidR="00E648A4" w:rsidRDefault="00FA6DD5">
            <w:pPr>
              <w:jc w:val="center"/>
            </w:pPr>
            <w:r>
              <w:rPr>
                <w:b/>
              </w:rPr>
              <w:t>HỘI ĐỒNG NHÂN DÂN</w:t>
            </w:r>
          </w:p>
          <w:p w14:paraId="4A792987" w14:textId="77777777" w:rsidR="00E648A4" w:rsidRDefault="00FA6DD5">
            <w:pPr>
              <w:jc w:val="center"/>
              <w:rPr>
                <w:b/>
              </w:rPr>
            </w:pPr>
            <w:r>
              <w:rPr>
                <w:noProof/>
              </w:rPr>
              <mc:AlternateContent>
                <mc:Choice Requires="wps">
                  <w:drawing>
                    <wp:anchor distT="0" distB="0" distL="114300" distR="114300" simplePos="0" relativeHeight="251660288" behindDoc="0" locked="0" layoutInCell="1" allowOverlap="1" wp14:anchorId="7A26660E" wp14:editId="778A612D">
                      <wp:simplePos x="0" y="0"/>
                      <wp:positionH relativeFrom="column">
                        <wp:posOffset>582295</wp:posOffset>
                      </wp:positionH>
                      <wp:positionV relativeFrom="paragraph">
                        <wp:posOffset>226695</wp:posOffset>
                      </wp:positionV>
                      <wp:extent cx="800100" cy="0"/>
                      <wp:effectExtent l="15875" t="17145" r="22225" b="209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F9596"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5pt,17.85pt" to="108.8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"/>
                  </w:pict>
                </mc:Fallback>
              </mc:AlternateContent>
            </w:r>
            <w:r>
              <w:rPr>
                <w:b/>
              </w:rPr>
              <w:t>TỈNH HÀ TĨNH</w:t>
            </w:r>
          </w:p>
        </w:tc>
        <w:tc>
          <w:tcPr>
            <w:tcW w:w="3203" w:type="pct"/>
            <w:gridSpan w:val="2"/>
            <w:shd w:val="clear" w:color="auto" w:fill="auto"/>
          </w:tcPr>
          <w:p w14:paraId="253B0220" w14:textId="77777777" w:rsidR="00E648A4" w:rsidRDefault="00FA6DD5">
            <w:pPr>
              <w:jc w:val="center"/>
              <w:rPr>
                <w:b/>
                <w:bCs/>
                <w:w w:val="95"/>
              </w:rPr>
            </w:pPr>
            <w:r>
              <w:rPr>
                <w:b/>
                <w:bCs/>
                <w:w w:val="95"/>
              </w:rPr>
              <w:t>CỘNG HÒA XÃ HỘI CHỦ NGHĨA VIỆT NAM</w:t>
            </w:r>
          </w:p>
          <w:p w14:paraId="63CD568C" w14:textId="77777777" w:rsidR="00E648A4" w:rsidRDefault="00FA6DD5">
            <w:pPr>
              <w:jc w:val="center"/>
              <w:rPr>
                <w:b/>
                <w:bCs/>
              </w:rPr>
            </w:pPr>
            <w:r>
              <w:rPr>
                <w:iCs/>
                <w:noProof/>
              </w:rPr>
              <mc:AlternateContent>
                <mc:Choice Requires="wps">
                  <w:drawing>
                    <wp:anchor distT="0" distB="0" distL="114300" distR="114300" simplePos="0" relativeHeight="251661312" behindDoc="0" locked="0" layoutInCell="1" allowOverlap="1" wp14:anchorId="07AA200C" wp14:editId="249C3258">
                      <wp:simplePos x="0" y="0"/>
                      <wp:positionH relativeFrom="column">
                        <wp:posOffset>803275</wp:posOffset>
                      </wp:positionH>
                      <wp:positionV relativeFrom="paragraph">
                        <wp:posOffset>245110</wp:posOffset>
                      </wp:positionV>
                      <wp:extent cx="1959610" cy="0"/>
                      <wp:effectExtent l="15875" t="16510" r="31115" b="215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5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D8CA7"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25pt,19.3pt" to="217.5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"/>
                  </w:pict>
                </mc:Fallback>
              </mc:AlternateContent>
            </w:r>
            <w:r>
              <w:rPr>
                <w:b/>
                <w:bCs/>
              </w:rPr>
              <w:t>Độc lập - Tự do - Hạnh phúc</w:t>
            </w:r>
          </w:p>
        </w:tc>
      </w:tr>
      <w:tr w:rsidR="00E648A4" w14:paraId="7A0402F0" w14:textId="77777777">
        <w:trPr>
          <w:jc w:val="center"/>
        </w:trPr>
        <w:tc>
          <w:tcPr>
            <w:tcW w:w="1960" w:type="pct"/>
            <w:gridSpan w:val="2"/>
            <w:shd w:val="clear" w:color="auto" w:fill="auto"/>
          </w:tcPr>
          <w:p w14:paraId="1B9D2352" w14:textId="2E9DA37B" w:rsidR="00E648A4" w:rsidRDefault="00FA6DD5">
            <w:pPr>
              <w:jc w:val="center"/>
              <w:rPr>
                <w:b/>
                <w:bCs/>
                <w:w w:val="90"/>
              </w:rPr>
            </w:pPr>
            <w:r>
              <w:t>Số:</w:t>
            </w:r>
            <w:r w:rsidR="00DD2CDE">
              <w:t xml:space="preserve"> 57</w:t>
            </w:r>
            <w:r>
              <w:t>/BC-HĐND</w:t>
            </w:r>
          </w:p>
        </w:tc>
        <w:tc>
          <w:tcPr>
            <w:tcW w:w="3040" w:type="pct"/>
            <w:shd w:val="clear" w:color="auto" w:fill="auto"/>
          </w:tcPr>
          <w:p w14:paraId="7660C8CB" w14:textId="12886863" w:rsidR="00E648A4" w:rsidRDefault="00FA6DD5">
            <w:pPr>
              <w:jc w:val="center"/>
              <w:rPr>
                <w:b/>
                <w:bCs/>
                <w:w w:val="90"/>
              </w:rPr>
            </w:pPr>
            <w:r>
              <w:rPr>
                <w:i/>
              </w:rPr>
              <w:t>Hà Tĩnh, ngày</w:t>
            </w:r>
            <w:r w:rsidR="00DD2CDE">
              <w:rPr>
                <w:i/>
              </w:rPr>
              <w:t xml:space="preserve"> 22 </w:t>
            </w:r>
            <w:r>
              <w:rPr>
                <w:i/>
              </w:rPr>
              <w:t>tháng 01 năm 2025</w:t>
            </w:r>
          </w:p>
        </w:tc>
      </w:tr>
    </w:tbl>
    <w:p w14:paraId="06F1A04F" w14:textId="77777777" w:rsidR="00E648A4" w:rsidRDefault="00E648A4">
      <w:pPr>
        <w:jc w:val="center"/>
        <w:rPr>
          <w:b/>
          <w:sz w:val="34"/>
        </w:rPr>
      </w:pPr>
    </w:p>
    <w:p w14:paraId="7E9FB88F" w14:textId="77777777" w:rsidR="00E648A4" w:rsidRDefault="00FA6DD5">
      <w:pPr>
        <w:jc w:val="center"/>
        <w:rPr>
          <w:b/>
        </w:rPr>
      </w:pPr>
      <w:r>
        <w:rPr>
          <w:b/>
        </w:rPr>
        <w:t>BÁO CÁO</w:t>
      </w:r>
    </w:p>
    <w:p w14:paraId="50783930" w14:textId="77777777" w:rsidR="00E648A4" w:rsidRDefault="00FA6DD5">
      <w:pPr>
        <w:spacing w:line="340" w:lineRule="exact"/>
        <w:jc w:val="center"/>
        <w:rPr>
          <w:b/>
          <w:iCs/>
          <w:spacing w:val="-6"/>
        </w:rPr>
      </w:pPr>
      <w:r>
        <w:rPr>
          <w:b/>
          <w:iCs/>
          <w:spacing w:val="-6"/>
        </w:rPr>
        <w:t xml:space="preserve">Thẩm tra Tờ trình và Dự thảo Nghị quyết điều chỉnh dự toán thu, chi </w:t>
      </w:r>
    </w:p>
    <w:p w14:paraId="2F36CE5D" w14:textId="77777777" w:rsidR="00E648A4" w:rsidRDefault="00FA6DD5">
      <w:pPr>
        <w:spacing w:line="340" w:lineRule="exact"/>
        <w:jc w:val="center"/>
        <w:rPr>
          <w:b/>
          <w:iCs/>
          <w:spacing w:val="-6"/>
        </w:rPr>
      </w:pPr>
      <w:r>
        <w:rPr>
          <w:b/>
          <w:iCs/>
          <w:spacing w:val="-6"/>
        </w:rPr>
        <w:t xml:space="preserve">ngân sách Nhà nước năm 2025 và bổ sung, sửa đổi một số nội dung tại </w:t>
      </w:r>
    </w:p>
    <w:p w14:paraId="64979D26" w14:textId="77777777" w:rsidR="00E648A4" w:rsidRDefault="00FA6DD5">
      <w:pPr>
        <w:spacing w:line="340" w:lineRule="exact"/>
        <w:jc w:val="center"/>
        <w:rPr>
          <w:b/>
          <w:iCs/>
          <w:spacing w:val="-6"/>
        </w:rPr>
      </w:pPr>
      <w:r>
        <w:rPr>
          <w:b/>
          <w:iCs/>
          <w:spacing w:val="-6"/>
        </w:rPr>
        <w:t>Nghị quyết số 207/NQ-HĐND ngày 13/12/2024 của Hội đồng nhân dân tỉnh</w:t>
      </w:r>
    </w:p>
    <w:p w14:paraId="2774B311" w14:textId="77777777" w:rsidR="00E648A4" w:rsidRDefault="00FA6DD5">
      <w:pPr>
        <w:spacing w:line="340" w:lineRule="exact"/>
        <w:jc w:val="center"/>
        <w:rPr>
          <w:i/>
          <w:iCs/>
          <w:spacing w:val="-6"/>
        </w:rPr>
      </w:pPr>
      <w:r>
        <w:rPr>
          <w:i/>
          <w:iCs/>
          <w:spacing w:val="-6"/>
        </w:rPr>
        <w:t>(Trình Kỳ họp thứ 24, Hội đồng nhân dân tỉnh Khóa XVIII)</w:t>
      </w:r>
    </w:p>
    <w:p w14:paraId="43065B1B" w14:textId="77777777" w:rsidR="00E648A4" w:rsidRDefault="00FA6DD5">
      <w:pPr>
        <w:spacing w:after="120" w:line="360" w:lineRule="exact"/>
        <w:ind w:firstLine="720"/>
        <w:jc w:val="center"/>
      </w:pPr>
      <w:r>
        <w:rPr>
          <w:noProof/>
        </w:rPr>
        <mc:AlternateContent>
          <mc:Choice Requires="wps">
            <w:drawing>
              <wp:anchor distT="0" distB="0" distL="114300" distR="114300" simplePos="0" relativeHeight="251659264" behindDoc="0" locked="0" layoutInCell="1" allowOverlap="1" wp14:anchorId="17442679" wp14:editId="2C84B4E4">
                <wp:simplePos x="0" y="0"/>
                <wp:positionH relativeFrom="column">
                  <wp:posOffset>2088515</wp:posOffset>
                </wp:positionH>
                <wp:positionV relativeFrom="paragraph">
                  <wp:posOffset>58420</wp:posOffset>
                </wp:positionV>
                <wp:extent cx="1600200" cy="0"/>
                <wp:effectExtent l="18415" t="7620" r="19685" b="304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0B1A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45pt,4.6pt" to="290.4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"/>
            </w:pict>
          </mc:Fallback>
        </mc:AlternateContent>
      </w:r>
    </w:p>
    <w:p w14:paraId="65E20308" w14:textId="77777777" w:rsidR="00E648A4" w:rsidRDefault="00FA6DD5" w:rsidP="008D6642">
      <w:pPr>
        <w:spacing w:after="120" w:line="320" w:lineRule="exact"/>
        <w:ind w:firstLine="720"/>
        <w:jc w:val="both"/>
        <w:rPr>
          <w:iCs/>
          <w:spacing w:val="-6"/>
        </w:rPr>
      </w:pPr>
      <w:r>
        <w:t xml:space="preserve">Ban Kinh tế - Ngân sách báo cáo Hội đồng nhân dân tỉnh kết quả thẩm tra Tờ trình số 20/TTr-UBND ngày 21/01/2025 của Ủy ban nhân dân tỉnh và Dự thảo Nghị quyết </w:t>
      </w:r>
      <w:r>
        <w:rPr>
          <w:iCs/>
          <w:spacing w:val="-6"/>
        </w:rPr>
        <w:t xml:space="preserve">điều chỉnh dự toán thu, chi ngân sách Nhà nước năm 2025 và bổ sung, sửa đổi một số nội dung tại Nghị quyết số 207/NQ-HĐND ngày 13/12/2024 của Hội đồng nhân dân tỉnh </w:t>
      </w:r>
      <w:r>
        <w:t>như sau:</w:t>
      </w:r>
    </w:p>
    <w:p w14:paraId="2A9B3D26" w14:textId="77777777" w:rsidR="00E648A4" w:rsidRDefault="00FA6DD5" w:rsidP="008D6642">
      <w:pPr>
        <w:spacing w:after="120" w:line="320" w:lineRule="exact"/>
        <w:ind w:firstLine="720"/>
        <w:jc w:val="both"/>
        <w:rPr>
          <w:b/>
          <w:lang w:val="vi-VN"/>
        </w:rPr>
      </w:pPr>
      <w:r>
        <w:rPr>
          <w:b/>
          <w:lang w:val="vi-VN"/>
        </w:rPr>
        <w:t>1. Căn cứ pháp lý, sự cần thiết và thẩm quyền ban hành</w:t>
      </w:r>
    </w:p>
    <w:p w14:paraId="20859C38" w14:textId="77777777" w:rsidR="00E648A4" w:rsidRDefault="00FA6DD5" w:rsidP="008D6642">
      <w:pPr>
        <w:spacing w:after="120" w:line="320" w:lineRule="exact"/>
        <w:ind w:firstLine="720"/>
        <w:jc w:val="both"/>
        <w:rPr>
          <w:bCs/>
        </w:rPr>
      </w:pPr>
      <w:r>
        <w:rPr>
          <w:bCs/>
        </w:rPr>
        <w:t xml:space="preserve">Tại Kỳ họp thứ 23, Hội đồng nhân dân tỉnh đã ban hành Nghị quyết số 207/NQ-HĐND ngày 13/12/2024 về việc phân bổ và giao dự toán thu, chi ngân sách Nhà nước năm 2025. Theo đó, tại khoản 2 Điều 3 quy định: </w:t>
      </w:r>
      <w:r>
        <w:rPr>
          <w:bCs/>
          <w:i/>
          <w:iCs/>
        </w:rPr>
        <w:t xml:space="preserve">“Sau khi hoàn thành xong việc sắp xếp, tinh gọn, kiện toàn tổ chức bộ máy các cơ quan, đơn vị, địa phương, Ủy ban nhân dân tỉnh trình cấp có thẩm quyền quyết định điều chỉnh </w:t>
      </w:r>
      <w:r w:rsidRPr="008D6642">
        <w:rPr>
          <w:bCs/>
          <w:i/>
          <w:iCs/>
          <w:spacing w:val="-6"/>
        </w:rPr>
        <w:t>dự toán ngân sách nhà nước năm 2025 đảm bảo thẩm quyền, thời hạn theo quy định”</w:t>
      </w:r>
      <w:r w:rsidRPr="008D6642">
        <w:rPr>
          <w:bCs/>
          <w:spacing w:val="-6"/>
        </w:rPr>
        <w:t>.</w:t>
      </w:r>
      <w:r>
        <w:rPr>
          <w:bCs/>
        </w:rPr>
        <w:t xml:space="preserve"> </w:t>
      </w:r>
    </w:p>
    <w:p w14:paraId="40C6D9C6" w14:textId="60AD9C46" w:rsidR="00E648A4" w:rsidRDefault="00FA6DD5" w:rsidP="008D6642">
      <w:pPr>
        <w:spacing w:after="120" w:line="320" w:lineRule="exact"/>
        <w:ind w:firstLine="720"/>
        <w:jc w:val="both"/>
        <w:rPr>
          <w:bCs/>
        </w:rPr>
      </w:pPr>
      <w:r>
        <w:rPr>
          <w:bCs/>
        </w:rPr>
        <w:t>Đến nay, việc sắp xếp đơn vị hành chính cấp huyện, cấp xã cơ bản đã hoàn thành theo phương án được Ủy ban Thường vụ Quốc hội thông qua tại Nghị quyết số 1283/NQ-UBTVQH15 ngày 14/11/2024 về việc sắp xếp đơn vị hành chính cấp huyện, cấp xã của tỉnh Hà Tĩnh giai đoạn 2023-2025. Đồng thời, một số nội dung tại Nghị quyết số 207/NQ-HĐND cần được điều chỉnh, bổ sung nhằm phù hợp với quy định pháp luật hiện hành</w:t>
      </w:r>
      <w:r>
        <w:rPr>
          <w:rStyle w:val="FootnoteReference"/>
          <w:bCs/>
        </w:rPr>
        <w:footnoteReference w:id="1"/>
      </w:r>
      <w:r>
        <w:rPr>
          <w:bCs/>
        </w:rPr>
        <w:t xml:space="preserve">. Do đó, việc Ủy ban nhân dân tỉnh trình Hội đồng nhân dân tỉnh điều chỉnh dự toán </w:t>
      </w:r>
      <w:r>
        <w:rPr>
          <w:iCs/>
          <w:spacing w:val="-6"/>
        </w:rPr>
        <w:t>thu, chi ngân sách Nhà nước năm 2025 và bổ sung, sửa đổi một số nội dung tại Nghị quyết số 207/NQ-HĐND ngày 13/12/2024 của Hội đồng nhân dân tỉnh là cần thiết và đúng thẩm quyền theo quy định tại khoản 5</w:t>
      </w:r>
      <w:r>
        <w:rPr>
          <w:rStyle w:val="FootnoteReference"/>
          <w:iCs/>
          <w:spacing w:val="-6"/>
        </w:rPr>
        <w:footnoteReference w:id="2"/>
      </w:r>
      <w:r>
        <w:rPr>
          <w:iCs/>
          <w:spacing w:val="-6"/>
        </w:rPr>
        <w:t xml:space="preserve"> Điều 30 Luật ngân sách nhà nước năm 2015</w:t>
      </w:r>
      <w:r w:rsidR="00220BCB">
        <w:rPr>
          <w:iCs/>
          <w:spacing w:val="-6"/>
        </w:rPr>
        <w:t>, điểm b</w:t>
      </w:r>
      <w:r w:rsidR="00220BCB">
        <w:rPr>
          <w:rStyle w:val="FootnoteReference"/>
          <w:iCs/>
          <w:spacing w:val="-6"/>
        </w:rPr>
        <w:footnoteReference w:id="3"/>
      </w:r>
      <w:r w:rsidR="00220BCB">
        <w:rPr>
          <w:iCs/>
          <w:spacing w:val="-6"/>
        </w:rPr>
        <w:t xml:space="preserve"> khoản 3 Điều 19 Luật Tổ chức chính quyền địa phương năm 2015</w:t>
      </w:r>
      <w:r>
        <w:rPr>
          <w:iCs/>
          <w:spacing w:val="-6"/>
        </w:rPr>
        <w:t>.</w:t>
      </w:r>
    </w:p>
    <w:p w14:paraId="0A237331" w14:textId="77777777" w:rsidR="008D6642" w:rsidRDefault="00FA6DD5" w:rsidP="008D6642">
      <w:pPr>
        <w:spacing w:after="120" w:line="320" w:lineRule="exact"/>
        <w:ind w:firstLine="720"/>
        <w:jc w:val="both"/>
        <w:rPr>
          <w:b/>
          <w:bCs/>
          <w:lang w:val="sq-AL"/>
        </w:rPr>
      </w:pPr>
      <w:r>
        <w:rPr>
          <w:b/>
          <w:bCs/>
          <w:lang w:val="vi-VN"/>
        </w:rPr>
        <w:t>2</w:t>
      </w:r>
      <w:r>
        <w:rPr>
          <w:b/>
          <w:bCs/>
          <w:lang w:val="sq-AL"/>
        </w:rPr>
        <w:t>. Về nội dung Tờ trình và dự thảo Nghị quyết</w:t>
      </w:r>
      <w:r w:rsidR="008D6642">
        <w:rPr>
          <w:b/>
          <w:bCs/>
          <w:lang w:val="sq-AL"/>
        </w:rPr>
        <w:t>:</w:t>
      </w:r>
    </w:p>
    <w:p w14:paraId="1E7F89D3" w14:textId="77777777" w:rsidR="008D6642" w:rsidRDefault="00FA6DD5" w:rsidP="008D6642">
      <w:pPr>
        <w:spacing w:after="120" w:line="320" w:lineRule="exact"/>
        <w:ind w:firstLine="720"/>
        <w:jc w:val="both"/>
        <w:rPr>
          <w:b/>
          <w:bCs/>
          <w:lang w:val="sq-AL"/>
        </w:rPr>
      </w:pPr>
      <w:r>
        <w:rPr>
          <w:lang w:val="sq-AL"/>
        </w:rPr>
        <w:t>Nội dung dự thảo Nghị quyết bao gồm 03 nhóm vấn đề chính sau:</w:t>
      </w:r>
    </w:p>
    <w:p w14:paraId="67932855" w14:textId="77777777" w:rsidR="008D6642" w:rsidRDefault="00FA6DD5" w:rsidP="008D6642">
      <w:pPr>
        <w:spacing w:after="120" w:line="320" w:lineRule="exact"/>
        <w:ind w:firstLine="720"/>
        <w:jc w:val="both"/>
        <w:rPr>
          <w:b/>
          <w:bCs/>
          <w:lang w:val="sq-AL"/>
        </w:rPr>
      </w:pPr>
      <w:r>
        <w:rPr>
          <w:lang w:val="sq-AL"/>
        </w:rPr>
        <w:lastRenderedPageBreak/>
        <w:t xml:space="preserve">(1). Điều chỉnh dự toán thu, chi ngân sách Nhà nước năm 2025: </w:t>
      </w:r>
    </w:p>
    <w:p w14:paraId="7130B502" w14:textId="51DEB358" w:rsidR="00E648A4" w:rsidRPr="008D6642" w:rsidRDefault="00FA6DD5" w:rsidP="008D6642">
      <w:pPr>
        <w:spacing w:after="120" w:line="320" w:lineRule="exact"/>
        <w:ind w:firstLine="720"/>
        <w:jc w:val="both"/>
        <w:rPr>
          <w:b/>
          <w:bCs/>
          <w:lang w:val="sq-AL"/>
        </w:rPr>
      </w:pPr>
      <w:r>
        <w:rPr>
          <w:lang w:val="sq-AL"/>
        </w:rPr>
        <w:t xml:space="preserve">Ban Kinh tế - Ngân sách  thống nhất với các nội dung điều chỉnh tăng, giảm dự toán do thực hiện phương án sắp xếp đơn vị hành chính cấp huyện, </w:t>
      </w:r>
      <w:r w:rsidR="00DD2CDE">
        <w:rPr>
          <w:lang w:val="sq-AL"/>
        </w:rPr>
        <w:t xml:space="preserve">cấp </w:t>
      </w:r>
      <w:r>
        <w:rPr>
          <w:lang w:val="sq-AL"/>
        </w:rPr>
        <w:t>xã. Thời gian tới, việc sáp nhập, sắp xếp tinh gọn tổ chức bộ máy của các sở, ban, ngành sẽ có phát sinh</w:t>
      </w:r>
      <w:r w:rsidR="00DD2CDE">
        <w:rPr>
          <w:lang w:val="sq-AL"/>
        </w:rPr>
        <w:t xml:space="preserve"> </w:t>
      </w:r>
      <w:r>
        <w:rPr>
          <w:lang w:val="sq-AL"/>
        </w:rPr>
        <w:t>tăng, giảm biên chế. Vì vậy,</w:t>
      </w:r>
      <w:r w:rsidR="00DD2CDE">
        <w:rPr>
          <w:lang w:val="sq-AL"/>
        </w:rPr>
        <w:t xml:space="preserve"> </w:t>
      </w:r>
      <w:r>
        <w:rPr>
          <w:lang w:val="sq-AL"/>
        </w:rPr>
        <w:t xml:space="preserve">cần tiếp tục rà soát số lượng cán bộ, công chức của các đơn vị liên quan để chủ động tham mưu phương án bổ </w:t>
      </w:r>
      <w:r w:rsidRPr="008D6642">
        <w:rPr>
          <w:spacing w:val="-2"/>
          <w:lang w:val="sq-AL"/>
        </w:rPr>
        <w:t>sung, điều chỉnh dự toán kịp thời, đảm bảo quy định, hạn chế điều chỉnh nhiều lần.</w:t>
      </w:r>
      <w:r>
        <w:rPr>
          <w:lang w:val="sq-AL"/>
        </w:rPr>
        <w:t xml:space="preserve"> </w:t>
      </w:r>
    </w:p>
    <w:p w14:paraId="749CF619" w14:textId="77777777" w:rsidR="00E648A4" w:rsidRDefault="00FA6DD5" w:rsidP="008D6642">
      <w:pPr>
        <w:spacing w:after="120" w:line="320" w:lineRule="exact"/>
        <w:ind w:firstLine="720"/>
        <w:jc w:val="both"/>
        <w:rPr>
          <w:lang w:val="sq-AL"/>
        </w:rPr>
      </w:pPr>
      <w:r>
        <w:rPr>
          <w:lang w:val="sq-AL"/>
        </w:rPr>
        <w:t xml:space="preserve">(2). Phân bổ chi tiết Chương trình mục tiêu quốc gia xây dựng nông thôn mới cho các sở, ban, ngành, đơn vị cấp tỉnh và điều chỉnh dự toán chi vốn sự nghiệp Chương trình mục tiêu quốc gia của các huyện, thị xã, thành phố: </w:t>
      </w:r>
    </w:p>
    <w:p w14:paraId="449A1E55" w14:textId="77777777" w:rsidR="00E648A4" w:rsidRDefault="00FA6DD5" w:rsidP="008D6642">
      <w:pPr>
        <w:spacing w:after="120" w:line="320" w:lineRule="exact"/>
        <w:ind w:firstLine="720"/>
        <w:jc w:val="both"/>
        <w:rPr>
          <w:lang w:val="sq-AL"/>
        </w:rPr>
      </w:pPr>
      <w:r>
        <w:rPr>
          <w:lang w:val="sq-AL"/>
        </w:rPr>
        <w:t>Căn cứ quy định tại điểm c</w:t>
      </w:r>
      <w:r>
        <w:rPr>
          <w:rStyle w:val="FootnoteReference"/>
          <w:lang w:val="sq-AL"/>
        </w:rPr>
        <w:footnoteReference w:id="4"/>
      </w:r>
      <w:r>
        <w:rPr>
          <w:lang w:val="sq-AL"/>
        </w:rPr>
        <w:t xml:space="preserve"> khoản 1 Điều 4 Nghị quyết số 111/2024/QH15 ngày 18/01/2024 của Quốc hội về một số cơ chế, chính sách đặc thù thực hiện chương trình mục tiêu quốc gia; Ban Kinh tế - Ngân sách thống nhất việc phân bổ chi tiết đến từng dự án thành phần cho các sở, ban, ngành, đơn vị cấp tỉnh; đề nghị Ủy ban nhân dân tỉnh chỉ đạo tổ chức thực hiện đảm bảo hiệu quả.</w:t>
      </w:r>
    </w:p>
    <w:p w14:paraId="32BFE17A" w14:textId="3C117698" w:rsidR="00DD2CDE" w:rsidRDefault="00FA6DD5" w:rsidP="008D6642">
      <w:pPr>
        <w:spacing w:after="120" w:line="320" w:lineRule="exact"/>
        <w:ind w:firstLine="720"/>
        <w:jc w:val="both"/>
        <w:rPr>
          <w:lang w:val="sq-AL"/>
        </w:rPr>
      </w:pPr>
      <w:r>
        <w:rPr>
          <w:lang w:val="sq-AL"/>
        </w:rPr>
        <w:t>(3). Sửa đổi một số nội dung tại Nghị quyết số 207/NQ-HĐND ngày 13/12/2024 của HĐND tỉnh phân bổ dự toán thu, chi ngân sách Nhà nước năm 2025: Điểm b khoản 4 Điều 4 Luật sửa đổi</w:t>
      </w:r>
      <w:r>
        <w:t xml:space="preserve">, bổ sung một số điều của Luật Chứng khoán, Luật Kế toán, Luật Kiểm toán độc lập, Luật Ngân sách nhà nước, Luật Thuế thu nhập cá nhân, Luật Dự trữ quốc gia, Luật Xử lý vi phạm hành chính quy định: </w:t>
      </w:r>
      <w:r>
        <w:rPr>
          <w:i/>
          <w:iCs/>
        </w:rPr>
        <w:t xml:space="preserve">“Giao Ủy ban nhân </w:t>
      </w:r>
      <w:r>
        <w:rPr>
          <w:i/>
          <w:iCs/>
          <w:color w:val="000000"/>
          <w:shd w:val="clear" w:color="auto" w:fill="FFFFFF"/>
        </w:rPr>
        <w:t>cùng cấp phân bổ, giao dự toán chi đối với các khoản chưa phân bổ chi tiết quy định tại điểm a khoản 2 Điều này bảo đảm kịp thời, tiết kiệm, hiệu quả, tuân thủ đúng quy định của pháp luật, </w:t>
      </w:r>
      <w:r>
        <w:rPr>
          <w:i/>
          <w:iCs/>
          <w:color w:val="000000"/>
          <w:shd w:val="clear" w:color="auto" w:fill="FFFFFF"/>
          <w:lang w:val="pt-BR"/>
        </w:rPr>
        <w:t>định kỳ báo cáo Thường trực Hội đồng nhân dân </w:t>
      </w:r>
      <w:r>
        <w:rPr>
          <w:i/>
          <w:iCs/>
          <w:color w:val="000000"/>
          <w:shd w:val="clear" w:color="auto" w:fill="FFFFFF"/>
        </w:rPr>
        <w:t>và báo cáo Hội đồng nhân dân cùng cấp tại kỳ họp gần nhất”.</w:t>
      </w:r>
      <w:r>
        <w:rPr>
          <w:iCs/>
          <w:color w:val="000000"/>
          <w:shd w:val="clear" w:color="auto" w:fill="FFFFFF"/>
        </w:rPr>
        <w:t xml:space="preserve"> Do đó</w:t>
      </w:r>
      <w:r w:rsidR="008D6642">
        <w:rPr>
          <w:iCs/>
          <w:color w:val="000000"/>
          <w:shd w:val="clear" w:color="auto" w:fill="FFFFFF"/>
        </w:rPr>
        <w:t>,</w:t>
      </w:r>
      <w:r>
        <w:rPr>
          <w:iCs/>
          <w:color w:val="000000"/>
          <w:shd w:val="clear" w:color="auto" w:fill="FFFFFF"/>
        </w:rPr>
        <w:t xml:space="preserve"> việc </w:t>
      </w:r>
      <w:r>
        <w:rPr>
          <w:lang w:val="sq-AL"/>
        </w:rPr>
        <w:t>sửa đổi điểm d khoản 1 Điều 3 Nghị quyết số 207/NQ-HĐND là cần thiết nhằm đảm bảo thẩm quyền theo quy định.</w:t>
      </w:r>
      <w:r w:rsidR="008D6642">
        <w:rPr>
          <w:lang w:val="sq-AL"/>
        </w:rPr>
        <w:t xml:space="preserve"> Đồng thời, đề nghị Ủy ban nhân dân tỉnh xem xét tích hợp điểm c khoản 1 Điều 3 Nghị quyết số 207/NQ-HĐND để có phương án sửa tổng thể phù hợp</w:t>
      </w:r>
    </w:p>
    <w:p w14:paraId="70A93766" w14:textId="215C548F" w:rsidR="008D6642" w:rsidRPr="008D6642" w:rsidRDefault="00FA6DD5" w:rsidP="008D6642">
      <w:pPr>
        <w:spacing w:after="240" w:line="320" w:lineRule="exact"/>
        <w:ind w:firstLine="720"/>
        <w:jc w:val="both"/>
      </w:pPr>
      <w:r>
        <w:t>Trên đây là báo cáo thẩm tra của Ban Kinh tế - Ngân sách</w:t>
      </w:r>
      <w:r>
        <w:rPr>
          <w:spacing w:val="-4"/>
        </w:rPr>
        <w:t>;</w:t>
      </w:r>
      <w:r>
        <w:t xml:space="preserve"> kính trình Hội đồng nhân dân tỉnh xem xét, quyết định./</w:t>
      </w:r>
    </w:p>
    <w:tbl>
      <w:tblPr>
        <w:tblW w:w="5000" w:type="pct"/>
        <w:tblLook w:val="0000" w:firstRow="0" w:lastRow="0" w:firstColumn="0" w:lastColumn="0" w:noHBand="0" w:noVBand="0"/>
      </w:tblPr>
      <w:tblGrid>
        <w:gridCol w:w="4169"/>
        <w:gridCol w:w="4905"/>
      </w:tblGrid>
      <w:tr w:rsidR="008D6642" w14:paraId="55769A49" w14:textId="77777777" w:rsidTr="00CF4FD8">
        <w:trPr>
          <w:trHeight w:val="1169"/>
        </w:trPr>
        <w:tc>
          <w:tcPr>
            <w:tcW w:w="2297" w:type="pct"/>
          </w:tcPr>
          <w:p w14:paraId="1FC3B3B2" w14:textId="77777777" w:rsidR="008D6642" w:rsidRDefault="008D6642" w:rsidP="00CF4FD8">
            <w:pPr>
              <w:pStyle w:val="Heading1"/>
              <w:rPr>
                <w:rFonts w:ascii="Times New Roman" w:hAnsi="Times New Roman"/>
                <w:sz w:val="22"/>
                <w:szCs w:val="22"/>
                <w:lang w:val="vi-VN"/>
              </w:rPr>
            </w:pPr>
            <w:r>
              <w:rPr>
                <w:rFonts w:ascii="Times New Roman" w:hAnsi="Times New Roman"/>
                <w:i/>
                <w:iCs/>
                <w:sz w:val="22"/>
                <w:szCs w:val="22"/>
                <w:lang w:val="vi-VN"/>
              </w:rPr>
              <w:t>Nơi nhận:</w:t>
            </w:r>
          </w:p>
          <w:p w14:paraId="31D17959" w14:textId="77777777" w:rsidR="008D6642" w:rsidRDefault="008D6642" w:rsidP="00CF4FD8">
            <w:pPr>
              <w:pStyle w:val="Heading1"/>
              <w:rPr>
                <w:rFonts w:ascii="Times New Roman" w:hAnsi="Times New Roman"/>
                <w:b w:val="0"/>
                <w:sz w:val="22"/>
                <w:szCs w:val="22"/>
                <w:lang w:val="vi-VN"/>
              </w:rPr>
            </w:pPr>
            <w:r>
              <w:rPr>
                <w:rFonts w:ascii="Times New Roman" w:hAnsi="Times New Roman"/>
                <w:b w:val="0"/>
                <w:sz w:val="22"/>
                <w:szCs w:val="22"/>
                <w:lang w:val="vi-VN"/>
              </w:rPr>
              <w:t>- TT Tỉnh ủy, HĐND tỉnh (b/c);</w:t>
            </w:r>
          </w:p>
          <w:p w14:paraId="4C292253" w14:textId="77777777" w:rsidR="008D6642" w:rsidRDefault="008D6642" w:rsidP="00CF4FD8">
            <w:pPr>
              <w:pStyle w:val="Heading1"/>
              <w:rPr>
                <w:rFonts w:ascii="Times New Roman" w:hAnsi="Times New Roman"/>
                <w:b w:val="0"/>
                <w:sz w:val="22"/>
                <w:szCs w:val="22"/>
                <w:lang w:val="vi-VN"/>
              </w:rPr>
            </w:pPr>
            <w:r>
              <w:rPr>
                <w:rFonts w:ascii="Times New Roman" w:hAnsi="Times New Roman"/>
                <w:b w:val="0"/>
                <w:sz w:val="22"/>
                <w:szCs w:val="22"/>
                <w:lang w:val="vi-VN"/>
              </w:rPr>
              <w:t>- UBND tỉnh; UBMTTQ</w:t>
            </w:r>
            <w:r>
              <w:rPr>
                <w:rFonts w:ascii="Times New Roman" w:hAnsi="Times New Roman"/>
                <w:b w:val="0"/>
                <w:sz w:val="22"/>
                <w:szCs w:val="22"/>
              </w:rPr>
              <w:t>VN</w:t>
            </w:r>
            <w:r>
              <w:rPr>
                <w:rFonts w:ascii="Times New Roman" w:hAnsi="Times New Roman"/>
                <w:b w:val="0"/>
                <w:sz w:val="22"/>
                <w:szCs w:val="22"/>
                <w:lang w:val="vi-VN"/>
              </w:rPr>
              <w:t xml:space="preserve"> tỉnh;</w:t>
            </w:r>
          </w:p>
          <w:p w14:paraId="61169F92" w14:textId="77777777" w:rsidR="008D6642" w:rsidRDefault="008D6642" w:rsidP="00CF4FD8">
            <w:pPr>
              <w:pStyle w:val="Heading1"/>
              <w:rPr>
                <w:rFonts w:ascii="Times New Roman" w:hAnsi="Times New Roman"/>
                <w:b w:val="0"/>
                <w:sz w:val="22"/>
                <w:szCs w:val="22"/>
                <w:lang w:val="vi-VN"/>
              </w:rPr>
            </w:pPr>
            <w:r>
              <w:rPr>
                <w:rFonts w:ascii="Times New Roman" w:hAnsi="Times New Roman"/>
                <w:b w:val="0"/>
                <w:sz w:val="22"/>
                <w:szCs w:val="22"/>
                <w:lang w:val="vi-VN"/>
              </w:rPr>
              <w:t>- Các đại biểu HĐND tỉnh</w:t>
            </w:r>
            <w:r>
              <w:rPr>
                <w:rFonts w:ascii="Times New Roman" w:hAnsi="Times New Roman"/>
                <w:b w:val="0"/>
                <w:sz w:val="22"/>
                <w:szCs w:val="22"/>
              </w:rPr>
              <w:t xml:space="preserve"> khóa XVIII</w:t>
            </w:r>
            <w:r>
              <w:rPr>
                <w:rFonts w:ascii="Times New Roman" w:hAnsi="Times New Roman"/>
                <w:b w:val="0"/>
                <w:sz w:val="22"/>
                <w:szCs w:val="22"/>
                <w:lang w:val="vi-VN"/>
              </w:rPr>
              <w:t>;</w:t>
            </w:r>
          </w:p>
          <w:p w14:paraId="3BF48093" w14:textId="77777777" w:rsidR="008D6642" w:rsidRDefault="008D6642" w:rsidP="00CF4FD8">
            <w:pPr>
              <w:pStyle w:val="Heading1"/>
              <w:rPr>
                <w:rFonts w:ascii="Times New Roman" w:hAnsi="Times New Roman"/>
                <w:b w:val="0"/>
                <w:sz w:val="22"/>
                <w:szCs w:val="22"/>
                <w:lang w:val="vi-VN"/>
              </w:rPr>
            </w:pPr>
            <w:r>
              <w:rPr>
                <w:rFonts w:ascii="Times New Roman" w:hAnsi="Times New Roman"/>
                <w:b w:val="0"/>
                <w:sz w:val="22"/>
                <w:szCs w:val="22"/>
                <w:lang w:val="vi-VN"/>
              </w:rPr>
              <w:t xml:space="preserve">- Các đại biểu tham dự </w:t>
            </w:r>
            <w:r>
              <w:rPr>
                <w:rFonts w:ascii="Times New Roman" w:hAnsi="Times New Roman"/>
                <w:b w:val="0"/>
                <w:sz w:val="22"/>
                <w:szCs w:val="22"/>
              </w:rPr>
              <w:t>K</w:t>
            </w:r>
            <w:r>
              <w:rPr>
                <w:rFonts w:ascii="Times New Roman" w:hAnsi="Times New Roman"/>
                <w:b w:val="0"/>
                <w:sz w:val="22"/>
                <w:szCs w:val="22"/>
                <w:lang w:val="vi-VN"/>
              </w:rPr>
              <w:t>ỳ họp</w:t>
            </w:r>
            <w:r>
              <w:rPr>
                <w:rFonts w:ascii="Times New Roman" w:hAnsi="Times New Roman"/>
                <w:b w:val="0"/>
                <w:sz w:val="22"/>
                <w:szCs w:val="22"/>
              </w:rPr>
              <w:t xml:space="preserve"> thứ 24</w:t>
            </w:r>
            <w:r>
              <w:rPr>
                <w:rFonts w:ascii="Times New Roman" w:hAnsi="Times New Roman"/>
                <w:b w:val="0"/>
                <w:sz w:val="22"/>
                <w:szCs w:val="22"/>
                <w:lang w:val="vi-VN"/>
              </w:rPr>
              <w:t>;</w:t>
            </w:r>
          </w:p>
          <w:p w14:paraId="2DF56DC1" w14:textId="77777777" w:rsidR="008D6642" w:rsidRDefault="008D6642" w:rsidP="00CF4FD8">
            <w:pPr>
              <w:pStyle w:val="Heading1"/>
              <w:rPr>
                <w:rFonts w:ascii="Times New Roman" w:hAnsi="Times New Roman"/>
                <w:b w:val="0"/>
                <w:sz w:val="22"/>
                <w:szCs w:val="22"/>
                <w:lang w:val="vi-VN"/>
              </w:rPr>
            </w:pPr>
            <w:r>
              <w:rPr>
                <w:rFonts w:ascii="Times New Roman" w:hAnsi="Times New Roman"/>
                <w:b w:val="0"/>
                <w:sz w:val="22"/>
                <w:szCs w:val="22"/>
                <w:lang w:val="vi-VN"/>
              </w:rPr>
              <w:t xml:space="preserve">- </w:t>
            </w:r>
            <w:r>
              <w:rPr>
                <w:rFonts w:ascii="Times New Roman" w:hAnsi="Times New Roman"/>
                <w:b w:val="0"/>
                <w:sz w:val="22"/>
                <w:szCs w:val="22"/>
              </w:rPr>
              <w:t xml:space="preserve">Các </w:t>
            </w:r>
            <w:r>
              <w:rPr>
                <w:rFonts w:ascii="Times New Roman" w:hAnsi="Times New Roman"/>
                <w:b w:val="0"/>
                <w:sz w:val="22"/>
                <w:szCs w:val="22"/>
                <w:lang w:val="vi-VN"/>
              </w:rPr>
              <w:t>VP</w:t>
            </w:r>
            <w:r>
              <w:rPr>
                <w:rFonts w:ascii="Times New Roman" w:hAnsi="Times New Roman"/>
                <w:b w:val="0"/>
                <w:sz w:val="22"/>
                <w:szCs w:val="22"/>
              </w:rPr>
              <w:t xml:space="preserve">: Đoàn ĐBQH và </w:t>
            </w:r>
            <w:r>
              <w:rPr>
                <w:rFonts w:ascii="Times New Roman" w:hAnsi="Times New Roman"/>
                <w:b w:val="0"/>
                <w:sz w:val="22"/>
                <w:szCs w:val="22"/>
                <w:lang w:val="vi-VN"/>
              </w:rPr>
              <w:t>HĐND</w:t>
            </w:r>
            <w:r>
              <w:rPr>
                <w:rFonts w:ascii="Times New Roman" w:hAnsi="Times New Roman"/>
                <w:b w:val="0"/>
                <w:sz w:val="22"/>
                <w:szCs w:val="22"/>
              </w:rPr>
              <w:t xml:space="preserve"> tỉnh, UBND</w:t>
            </w:r>
            <w:r>
              <w:rPr>
                <w:rFonts w:ascii="Times New Roman" w:hAnsi="Times New Roman"/>
                <w:b w:val="0"/>
                <w:sz w:val="22"/>
                <w:szCs w:val="22"/>
                <w:lang w:val="vi-VN"/>
              </w:rPr>
              <w:t xml:space="preserve"> tỉnh;</w:t>
            </w:r>
          </w:p>
          <w:p w14:paraId="3B806399" w14:textId="77777777" w:rsidR="008D6642" w:rsidRDefault="008D6642" w:rsidP="00CF4FD8">
            <w:pPr>
              <w:pStyle w:val="Heading1"/>
              <w:rPr>
                <w:sz w:val="22"/>
                <w:szCs w:val="22"/>
                <w:lang w:val="vi-VN"/>
              </w:rPr>
            </w:pPr>
            <w:r>
              <w:rPr>
                <w:rFonts w:ascii="Times New Roman" w:hAnsi="Times New Roman"/>
                <w:b w:val="0"/>
                <w:sz w:val="22"/>
                <w:szCs w:val="22"/>
                <w:lang w:val="vi-VN"/>
              </w:rPr>
              <w:t xml:space="preserve">- Lưu: VT, </w:t>
            </w:r>
            <w:r>
              <w:rPr>
                <w:rFonts w:ascii="Times New Roman" w:hAnsi="Times New Roman"/>
                <w:b w:val="0"/>
                <w:sz w:val="22"/>
                <w:szCs w:val="22"/>
              </w:rPr>
              <w:t>HĐ</w:t>
            </w:r>
            <w:r>
              <w:rPr>
                <w:rFonts w:ascii="Times New Roman" w:hAnsi="Times New Roman"/>
                <w:b w:val="0"/>
                <w:sz w:val="22"/>
                <w:szCs w:val="22"/>
                <w:vertAlign w:val="subscript"/>
              </w:rPr>
              <w:t>4</w:t>
            </w:r>
            <w:r>
              <w:rPr>
                <w:rFonts w:ascii="Times New Roman" w:hAnsi="Times New Roman"/>
                <w:b w:val="0"/>
                <w:sz w:val="22"/>
                <w:szCs w:val="22"/>
                <w:lang w:val="vi-VN"/>
              </w:rPr>
              <w:t>.</w:t>
            </w:r>
          </w:p>
        </w:tc>
        <w:tc>
          <w:tcPr>
            <w:tcW w:w="2703" w:type="pct"/>
          </w:tcPr>
          <w:p w14:paraId="4779C04B" w14:textId="77777777" w:rsidR="008D6642" w:rsidRDefault="008D6642" w:rsidP="00CF4FD8">
            <w:pPr>
              <w:jc w:val="center"/>
              <w:rPr>
                <w:b/>
                <w:lang w:val="vi-VN"/>
              </w:rPr>
            </w:pPr>
            <w:r>
              <w:rPr>
                <w:b/>
                <w:lang w:val="vi-VN"/>
              </w:rPr>
              <w:t xml:space="preserve">TM. BAN KINH TẾ </w:t>
            </w:r>
            <w:r>
              <w:rPr>
                <w:b/>
              </w:rPr>
              <w:t xml:space="preserve">- </w:t>
            </w:r>
            <w:r>
              <w:rPr>
                <w:b/>
                <w:lang w:val="vi-VN"/>
              </w:rPr>
              <w:t>NGÂN SÁCH</w:t>
            </w:r>
          </w:p>
          <w:p w14:paraId="24D2E3AD" w14:textId="77777777" w:rsidR="008D6642" w:rsidRDefault="008D6642" w:rsidP="00CF4FD8">
            <w:pPr>
              <w:jc w:val="center"/>
              <w:rPr>
                <w:b/>
                <w:lang w:val="vi-VN"/>
              </w:rPr>
            </w:pPr>
            <w:r>
              <w:rPr>
                <w:b/>
                <w:lang w:val="vi-VN"/>
              </w:rPr>
              <w:t>TRƯỞNG BAN</w:t>
            </w:r>
          </w:p>
          <w:p w14:paraId="497522F0" w14:textId="77777777" w:rsidR="008D6642" w:rsidRDefault="008D6642" w:rsidP="00CF4FD8">
            <w:pPr>
              <w:jc w:val="center"/>
              <w:rPr>
                <w:lang w:val="vi-VN"/>
              </w:rPr>
            </w:pPr>
          </w:p>
          <w:p w14:paraId="0D2C88D6" w14:textId="77777777" w:rsidR="008D6642" w:rsidRDefault="008D6642" w:rsidP="008D6642">
            <w:pPr>
              <w:rPr>
                <w:i/>
                <w:lang w:val="nb-NO"/>
              </w:rPr>
            </w:pPr>
          </w:p>
          <w:p w14:paraId="1C311037" w14:textId="77777777" w:rsidR="008D6642" w:rsidRDefault="008D6642" w:rsidP="00220BCB">
            <w:pPr>
              <w:rPr>
                <w:b/>
              </w:rPr>
            </w:pPr>
          </w:p>
          <w:p w14:paraId="0D04F78A" w14:textId="77777777" w:rsidR="00220BCB" w:rsidRDefault="00220BCB" w:rsidP="00220BCB">
            <w:pPr>
              <w:rPr>
                <w:b/>
                <w:lang w:val="vi-VN"/>
              </w:rPr>
            </w:pPr>
          </w:p>
          <w:p w14:paraId="2C8910F5" w14:textId="77777777" w:rsidR="008D6642" w:rsidRDefault="008D6642" w:rsidP="00CF4FD8">
            <w:pPr>
              <w:jc w:val="center"/>
              <w:rPr>
                <w:b/>
                <w:lang w:val="vi-VN"/>
              </w:rPr>
            </w:pPr>
          </w:p>
          <w:p w14:paraId="27637A36" w14:textId="77777777" w:rsidR="008D6642" w:rsidRDefault="008D6642" w:rsidP="008D6642">
            <w:pPr>
              <w:rPr>
                <w:b/>
                <w:lang w:val="vi-VN"/>
              </w:rPr>
            </w:pPr>
          </w:p>
          <w:p w14:paraId="69BB674B" w14:textId="77777777" w:rsidR="008D6642" w:rsidRDefault="008D6642" w:rsidP="00CF4FD8">
            <w:pPr>
              <w:jc w:val="center"/>
              <w:rPr>
                <w:lang w:val="es-PR"/>
              </w:rPr>
            </w:pPr>
            <w:r>
              <w:rPr>
                <w:b/>
                <w:lang w:val="es-PR"/>
              </w:rPr>
              <w:t>Nguyễn Thị Thúy Nga</w:t>
            </w:r>
          </w:p>
        </w:tc>
      </w:tr>
    </w:tbl>
    <w:p w14:paraId="3FD8C5BB" w14:textId="77777777" w:rsidR="00E648A4" w:rsidRDefault="00E648A4"/>
    <w:sectPr w:rsidR="00E648A4" w:rsidSect="00220BCB">
      <w:headerReference w:type="default" r:id="rId7"/>
      <w:footerReference w:type="even" r:id="rId8"/>
      <w:pgSz w:w="11909" w:h="16834" w:code="9"/>
      <w:pgMar w:top="1134" w:right="1134" w:bottom="1021" w:left="1701" w:header="720" w:footer="62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F3845" w14:textId="77777777" w:rsidR="00E5221E" w:rsidRDefault="00E5221E">
      <w:r>
        <w:separator/>
      </w:r>
    </w:p>
  </w:endnote>
  <w:endnote w:type="continuationSeparator" w:id="0">
    <w:p w14:paraId="6E7E6EE4" w14:textId="77777777" w:rsidR="00E5221E" w:rsidRDefault="00E52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C3F11" w14:textId="77777777" w:rsidR="00E648A4" w:rsidRDefault="00FA6D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9DC5E4B" w14:textId="77777777" w:rsidR="00E648A4" w:rsidRDefault="00E648A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C9BB8" w14:textId="77777777" w:rsidR="00E5221E" w:rsidRDefault="00E5221E">
      <w:r>
        <w:separator/>
      </w:r>
    </w:p>
  </w:footnote>
  <w:footnote w:type="continuationSeparator" w:id="0">
    <w:p w14:paraId="694361D2" w14:textId="77777777" w:rsidR="00E5221E" w:rsidRDefault="00E5221E">
      <w:r>
        <w:continuationSeparator/>
      </w:r>
    </w:p>
  </w:footnote>
  <w:footnote w:id="1">
    <w:p w14:paraId="077AC245" w14:textId="77777777" w:rsidR="00E648A4" w:rsidRDefault="00FA6DD5">
      <w:pPr>
        <w:pStyle w:val="FootnoteText"/>
        <w:ind w:firstLine="720"/>
        <w:jc w:val="both"/>
      </w:pPr>
      <w:r>
        <w:rPr>
          <w:rStyle w:val="FootnoteReference"/>
        </w:rPr>
        <w:footnoteRef/>
      </w:r>
      <w:r>
        <w:t xml:space="preserve"> Nghị quyết số 111/2024/QH15 ngày 18/01/2024 của Quốc hội về một số cơ chế, chính sách đặc thù thực hiện các chương trình mục tiêu quốc gia; Luật 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w:t>
      </w:r>
    </w:p>
  </w:footnote>
  <w:footnote w:id="2">
    <w:p w14:paraId="0B7B73C3" w14:textId="77777777" w:rsidR="00E648A4" w:rsidRDefault="00FA6DD5">
      <w:pPr>
        <w:pStyle w:val="FootnoteText"/>
        <w:ind w:firstLine="720"/>
        <w:jc w:val="both"/>
      </w:pPr>
      <w:r>
        <w:rPr>
          <w:rStyle w:val="FootnoteReference"/>
        </w:rPr>
        <w:footnoteRef/>
      </w:r>
      <w:r>
        <w:t xml:space="preserve"> Nhiệm vụ, quyền hạn của Hội đồng nhân dân các cấp: </w:t>
      </w:r>
      <w:r>
        <w:rPr>
          <w:i/>
          <w:iCs/>
        </w:rPr>
        <w:t>“5. Quyết định điều chỉnh dự toán ngân sách địa phương trong trường hợp cần thiết”.</w:t>
      </w:r>
    </w:p>
  </w:footnote>
  <w:footnote w:id="3">
    <w:p w14:paraId="7F511A7E" w14:textId="507F9D0D" w:rsidR="00220BCB" w:rsidRDefault="00220BCB" w:rsidP="00220BCB">
      <w:pPr>
        <w:pStyle w:val="FootnoteText"/>
        <w:ind w:firstLine="720"/>
        <w:jc w:val="both"/>
      </w:pPr>
      <w:r>
        <w:rPr>
          <w:rStyle w:val="FootnoteReference"/>
        </w:rPr>
        <w:footnoteRef/>
      </w:r>
      <w:r>
        <w:t xml:space="preserve"> Nhiệm vụ, quyền hạn của Hội đồng nhân dân tỉnh trong lĩnh vực kinh tế, tài nguyên, môi trường: “</w:t>
      </w:r>
      <w:r w:rsidRPr="00220BCB">
        <w:rPr>
          <w:i/>
          <w:iCs/>
        </w:rPr>
        <w:t>b) Quyết định…điều chỉnh dự toán ngân sách địa phương trong trường hợp cần thiết…”</w:t>
      </w:r>
      <w:r>
        <w:t>.</w:t>
      </w:r>
    </w:p>
  </w:footnote>
  <w:footnote w:id="4">
    <w:p w14:paraId="1A14B724" w14:textId="77777777" w:rsidR="00E648A4" w:rsidRDefault="00FA6DD5">
      <w:pPr>
        <w:pStyle w:val="FootnoteText"/>
        <w:ind w:firstLine="720"/>
        <w:jc w:val="both"/>
      </w:pPr>
      <w:r>
        <w:rPr>
          <w:rStyle w:val="FootnoteReference"/>
        </w:rPr>
        <w:footnoteRef/>
      </w:r>
      <w:r>
        <w:t xml:space="preserve"> “</w:t>
      </w:r>
      <w:r>
        <w:rPr>
          <w:color w:val="000000"/>
          <w:shd w:val="clear" w:color="auto" w:fill="FFFFFF"/>
        </w:rPr>
        <w:t>Hội đồng nhân dân cấp tỉnh quyết định phân bổ hoặc phân cấp cho Hội đồng nhân dân cấp huyện quyết định phân bổ dự toán chi thường xuyên ngân sách trung ương hằng năm của từng chương trình mục tiêu quốc gia chi tiết đến dự án thành phần”.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66D75" w14:textId="77777777" w:rsidR="00E648A4" w:rsidRDefault="00FA6DD5">
    <w:pPr>
      <w:pStyle w:val="Header"/>
      <w:jc w:val="center"/>
    </w:pPr>
    <w:r>
      <w:fldChar w:fldCharType="begin"/>
    </w:r>
    <w:r>
      <w:instrText xml:space="preserve"> PAGE   \* MERGEFORMAT </w:instrText>
    </w:r>
    <w:r>
      <w:fldChar w:fldCharType="separate"/>
    </w:r>
    <w:r>
      <w:rPr>
        <w:noProof/>
      </w:rPr>
      <w:t>3</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8A4"/>
    <w:rsid w:val="00220BCB"/>
    <w:rsid w:val="008D6642"/>
    <w:rsid w:val="00DD2CDE"/>
    <w:rsid w:val="00E5221E"/>
    <w:rsid w:val="00E648A4"/>
    <w:rsid w:val="00FA6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2FE86"/>
  <w14:defaultImageDpi w14:val="32767"/>
  <w15:docId w15:val="{F9EECF09-E812-49D6-986D-8C9D5304D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b/>
        <w:color w:val="000000"/>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 w:val="0"/>
      <w:color w:val="auto"/>
    </w:rPr>
  </w:style>
  <w:style w:type="paragraph" w:styleId="Heading1">
    <w:name w:val="heading 1"/>
    <w:basedOn w:val="Normal"/>
    <w:next w:val="Normal"/>
    <w:link w:val="Heading1Char"/>
    <w:qFormat/>
    <w:pPr>
      <w:keepNext/>
      <w:outlineLvl w:val="0"/>
    </w:pPr>
    <w:rPr>
      <w:rFonts w:ascii=".VnTime" w:hAnsi=".VnTime"/>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VnTime" w:hAnsi=".VnTime"/>
      <w:bCs/>
      <w:color w:val="auto"/>
      <w:sz w:val="32"/>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b w:val="0"/>
      <w:color w:val="auto"/>
    </w:rPr>
  </w:style>
  <w:style w:type="character" w:styleId="PageNumber">
    <w:name w:val="page number"/>
    <w:basedOn w:val="DefaultParagraphFont"/>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 text,FOOTNOTES"/>
    <w:basedOn w:val="Normal"/>
    <w:link w:val="FootnoteTextChar"/>
    <w:qFormat/>
    <w:rPr>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qFormat/>
    <w:rPr>
      <w:b w:val="0"/>
      <w:color w:val="auto"/>
      <w:sz w:val="20"/>
      <w:szCs w:val="20"/>
    </w:rPr>
  </w:style>
  <w:style w:type="character" w:styleId="FootnoteReference">
    <w:name w:val="footnote reference"/>
    <w:aliases w:val="Footnote,Footnote text,Ref,de nota al pie,ftref,BearingPoint,16 Point,Superscript 6 Point,fr,Footnote Text1,f,(NECG) Footnote Reference, BVI fnr,footnote ref,BVI fnr,SUPERS,Footnote dich,Footnote + Arial,10 pt,Black,Знак сноски 1,R,f1"/>
    <w:link w:val="CarattereCarattereCharCharCharCharCharCharZchn"/>
    <w:qFormat/>
    <w:rPr>
      <w:vertAlign w:val="superscript"/>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b w:val="0"/>
      <w:color w:val="auto"/>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pPr>
      <w:spacing w:after="160" w:line="240" w:lineRule="exact"/>
    </w:pPr>
    <w:rPr>
      <w:b/>
      <w:color w:val="000000"/>
      <w:vertAlign w:val="superscript"/>
    </w:rPr>
  </w:style>
  <w:style w:type="paragraph" w:styleId="BalloonText">
    <w:name w:val="Balloon Text"/>
    <w:basedOn w:val="Normal"/>
    <w:link w:val="BalloonTextChar"/>
    <w:uiPriority w:val="99"/>
    <w:semiHidden/>
    <w:unhideWhenUsed/>
    <w:rPr>
      <w:sz w:val="18"/>
      <w:szCs w:val="18"/>
    </w:rPr>
  </w:style>
  <w:style w:type="character" w:customStyle="1" w:styleId="BalloonTextChar">
    <w:name w:val="Balloon Text Char"/>
    <w:basedOn w:val="DefaultParagraphFont"/>
    <w:link w:val="BalloonText"/>
    <w:uiPriority w:val="99"/>
    <w:semiHidden/>
    <w:rPr>
      <w:b w:val="0"/>
      <w:color w:val="auto"/>
      <w:sz w:val="18"/>
      <w:szCs w:val="18"/>
    </w:rPr>
  </w:style>
  <w:style w:type="character" w:styleId="Strong">
    <w:name w:val="Strong"/>
    <w:basedOn w:val="DefaultParagraphFont"/>
    <w:uiPriority w:val="22"/>
    <w:qFormat/>
    <w:rPr>
      <w:b w:val="0"/>
      <w:bCs/>
    </w:rPr>
  </w:style>
  <w:style w:type="paragraph" w:styleId="Revision">
    <w:name w:val="Revision"/>
    <w:hidden/>
    <w:uiPriority w:val="99"/>
    <w:semiHidden/>
    <w:rPr>
      <w:b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120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05F7A55-66B6-4069-99F9-D5A5EADAE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Administrator</cp:lastModifiedBy>
  <cp:revision>8</cp:revision>
  <cp:lastPrinted>2025-01-22T01:28:00Z</cp:lastPrinted>
  <dcterms:created xsi:type="dcterms:W3CDTF">2025-01-22T02:48:00Z</dcterms:created>
  <dcterms:modified xsi:type="dcterms:W3CDTF">2025-01-22T10:06:00Z</dcterms:modified>
</cp:coreProperties>
</file>