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6" w:type="dxa"/>
        <w:tblInd w:w="-342" w:type="dxa"/>
        <w:tblLook w:val="01E0" w:firstRow="1" w:lastRow="1" w:firstColumn="1" w:lastColumn="1" w:noHBand="0" w:noVBand="0"/>
      </w:tblPr>
      <w:tblGrid>
        <w:gridCol w:w="3666"/>
        <w:gridCol w:w="6140"/>
      </w:tblGrid>
      <w:tr w:rsidR="00F0319E" w:rsidRPr="0092759D" w:rsidTr="009A7B55">
        <w:tc>
          <w:tcPr>
            <w:tcW w:w="3666" w:type="dxa"/>
          </w:tcPr>
          <w:p w:rsidR="00F0319E" w:rsidRPr="0092759D" w:rsidRDefault="00F0319E" w:rsidP="00F0319E">
            <w:pPr>
              <w:ind w:left="67" w:right="262"/>
              <w:jc w:val="center"/>
              <w:rPr>
                <w:b/>
                <w:sz w:val="28"/>
                <w:szCs w:val="28"/>
              </w:rPr>
            </w:pPr>
            <w:r w:rsidRPr="0092759D">
              <w:rPr>
                <w:b/>
                <w:sz w:val="28"/>
                <w:szCs w:val="28"/>
              </w:rPr>
              <w:t>HỘI ĐỒNG NHÂN DÂN</w:t>
            </w:r>
          </w:p>
          <w:p w:rsidR="00F0319E" w:rsidRPr="0092759D" w:rsidRDefault="00F0319E" w:rsidP="00F0319E">
            <w:pPr>
              <w:ind w:left="72" w:right="259"/>
              <w:jc w:val="center"/>
              <w:rPr>
                <w:b/>
                <w:sz w:val="28"/>
                <w:szCs w:val="28"/>
              </w:rPr>
            </w:pPr>
            <w:r w:rsidRPr="0092759D">
              <w:rPr>
                <w:b/>
                <w:sz w:val="28"/>
                <w:szCs w:val="28"/>
              </w:rPr>
              <w:t>TỈNH HÀ TĨNH</w:t>
            </w:r>
          </w:p>
          <w:p w:rsidR="00F0319E" w:rsidRPr="0092759D" w:rsidRDefault="00F0319E" w:rsidP="00F0319E">
            <w:pPr>
              <w:ind w:left="68" w:right="261"/>
              <w:jc w:val="center"/>
              <w:rPr>
                <w:sz w:val="28"/>
                <w:szCs w:val="28"/>
              </w:rPr>
            </w:pPr>
            <w:r w:rsidRPr="0092759D">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569595</wp:posOffset>
                      </wp:positionH>
                      <wp:positionV relativeFrom="paragraph">
                        <wp:posOffset>27304</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91E7E04"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" strokecolor="windowText" strokeweight=".5pt">
                      <v:stroke joinstyle="miter"/>
                    </v:line>
                  </w:pict>
                </mc:Fallback>
              </mc:AlternateContent>
            </w:r>
          </w:p>
          <w:p w:rsidR="00F0319E" w:rsidRPr="0092759D" w:rsidRDefault="00A05ECD" w:rsidP="00F0319E">
            <w:pPr>
              <w:ind w:left="68" w:right="261"/>
              <w:jc w:val="center"/>
              <w:rPr>
                <w:sz w:val="28"/>
                <w:szCs w:val="28"/>
              </w:rPr>
            </w:pPr>
            <w:r>
              <w:rPr>
                <w:sz w:val="28"/>
                <w:szCs w:val="28"/>
              </w:rPr>
              <w:t>Số: 393</w:t>
            </w:r>
            <w:r w:rsidR="00F0319E">
              <w:rPr>
                <w:sz w:val="28"/>
                <w:szCs w:val="28"/>
              </w:rPr>
              <w:t>/</w:t>
            </w:r>
            <w:r w:rsidR="00F0319E" w:rsidRPr="0092759D">
              <w:rPr>
                <w:sz w:val="28"/>
                <w:szCs w:val="28"/>
              </w:rPr>
              <w:t>BC-HĐND</w:t>
            </w:r>
          </w:p>
        </w:tc>
        <w:tc>
          <w:tcPr>
            <w:tcW w:w="6140" w:type="dxa"/>
          </w:tcPr>
          <w:p w:rsidR="00F0319E" w:rsidRPr="0092759D" w:rsidRDefault="00F0319E" w:rsidP="00F0319E">
            <w:pPr>
              <w:ind w:left="67" w:right="-108"/>
              <w:jc w:val="center"/>
              <w:rPr>
                <w:b/>
                <w:sz w:val="28"/>
                <w:szCs w:val="28"/>
              </w:rPr>
            </w:pPr>
            <w:r w:rsidRPr="0092759D">
              <w:rPr>
                <w:b/>
                <w:sz w:val="28"/>
                <w:szCs w:val="28"/>
              </w:rPr>
              <w:t>CỘNG HOÀ XÃ HỘI CHỦ NGHĨA VIỆT NAM</w:t>
            </w:r>
          </w:p>
          <w:p w:rsidR="00F0319E" w:rsidRPr="0092759D" w:rsidRDefault="00F0319E" w:rsidP="00F0319E">
            <w:pPr>
              <w:ind w:left="72" w:right="259"/>
              <w:jc w:val="center"/>
              <w:rPr>
                <w:b/>
                <w:sz w:val="28"/>
                <w:szCs w:val="28"/>
              </w:rPr>
            </w:pPr>
            <w:r w:rsidRPr="0092759D">
              <w:rPr>
                <w:b/>
                <w:sz w:val="28"/>
                <w:szCs w:val="28"/>
              </w:rPr>
              <w:t>Độc lập - Tự do - Hạnh phúc</w:t>
            </w:r>
          </w:p>
          <w:p w:rsidR="00F0319E" w:rsidRPr="0092759D" w:rsidRDefault="00F0319E" w:rsidP="00F0319E">
            <w:pPr>
              <w:ind w:right="-41"/>
              <w:jc w:val="center"/>
              <w:rPr>
                <w:i/>
                <w:sz w:val="28"/>
                <w:szCs w:val="28"/>
              </w:rPr>
            </w:pPr>
            <w:r w:rsidRPr="0092759D">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1059180</wp:posOffset>
                      </wp:positionH>
                      <wp:positionV relativeFrom="paragraph">
                        <wp:posOffset>62229</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5D5FEA84"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" strokecolor="windowText" strokeweight=".5pt">
                      <v:stroke joinstyle="miter"/>
                    </v:line>
                  </w:pict>
                </mc:Fallback>
              </mc:AlternateContent>
            </w:r>
          </w:p>
          <w:p w:rsidR="00F0319E" w:rsidRPr="0092759D" w:rsidRDefault="00A05ECD" w:rsidP="00F0319E">
            <w:pPr>
              <w:ind w:right="-41"/>
              <w:jc w:val="center"/>
              <w:rPr>
                <w:i/>
                <w:sz w:val="28"/>
                <w:szCs w:val="28"/>
              </w:rPr>
            </w:pPr>
            <w:r>
              <w:rPr>
                <w:i/>
                <w:sz w:val="28"/>
                <w:szCs w:val="28"/>
              </w:rPr>
              <w:t>Hà Tĩnh, ngày 09</w:t>
            </w:r>
            <w:r w:rsidR="00F0319E" w:rsidRPr="0092759D">
              <w:rPr>
                <w:i/>
                <w:sz w:val="28"/>
                <w:szCs w:val="28"/>
              </w:rPr>
              <w:t xml:space="preserve"> tháng 7 năm 2019</w:t>
            </w:r>
          </w:p>
        </w:tc>
      </w:tr>
    </w:tbl>
    <w:p w:rsidR="00F0319E" w:rsidRPr="0092759D" w:rsidRDefault="00F0319E" w:rsidP="00F0319E">
      <w:pPr>
        <w:jc w:val="center"/>
        <w:rPr>
          <w:b/>
          <w:sz w:val="28"/>
          <w:szCs w:val="28"/>
        </w:rPr>
      </w:pPr>
    </w:p>
    <w:p w:rsidR="00123068" w:rsidRDefault="00123068" w:rsidP="00F0319E">
      <w:pPr>
        <w:jc w:val="center"/>
        <w:rPr>
          <w:b/>
          <w:sz w:val="28"/>
          <w:szCs w:val="28"/>
        </w:rPr>
      </w:pPr>
    </w:p>
    <w:p w:rsidR="00777E39" w:rsidRDefault="00F0319E" w:rsidP="00F0319E">
      <w:pPr>
        <w:jc w:val="center"/>
        <w:rPr>
          <w:b/>
          <w:sz w:val="28"/>
          <w:szCs w:val="28"/>
        </w:rPr>
      </w:pPr>
      <w:r w:rsidRPr="004B0990">
        <w:rPr>
          <w:b/>
          <w:sz w:val="28"/>
          <w:szCs w:val="28"/>
        </w:rPr>
        <w:t>BÁO CÁO</w:t>
      </w:r>
      <w:r>
        <w:rPr>
          <w:b/>
          <w:sz w:val="28"/>
          <w:szCs w:val="28"/>
        </w:rPr>
        <w:t xml:space="preserve"> </w:t>
      </w:r>
    </w:p>
    <w:p w:rsidR="00F966D9" w:rsidRDefault="00777E39" w:rsidP="00777E39">
      <w:pPr>
        <w:jc w:val="center"/>
        <w:rPr>
          <w:b/>
          <w:noProof/>
          <w:sz w:val="28"/>
          <w:szCs w:val="28"/>
          <w:lang w:val="vi-VN"/>
        </w:rPr>
      </w:pPr>
      <w:r w:rsidRPr="00F966D9">
        <w:rPr>
          <w:b/>
          <w:noProof/>
          <w:sz w:val="28"/>
          <w:szCs w:val="28"/>
          <w:lang w:val="vi-VN"/>
        </w:rPr>
        <w:t xml:space="preserve"> Thẩm tra Tờ trình và Dự thảo Nghị quyết quy định số lượng cán bộ, </w:t>
      </w:r>
    </w:p>
    <w:p w:rsidR="00F966D9" w:rsidRDefault="00777E39" w:rsidP="00777E39">
      <w:pPr>
        <w:jc w:val="center"/>
        <w:rPr>
          <w:b/>
          <w:noProof/>
          <w:sz w:val="28"/>
          <w:szCs w:val="28"/>
          <w:lang w:val="vi-VN"/>
        </w:rPr>
      </w:pPr>
      <w:r w:rsidRPr="00F966D9">
        <w:rPr>
          <w:b/>
          <w:noProof/>
          <w:sz w:val="28"/>
          <w:szCs w:val="28"/>
          <w:lang w:val="vi-VN"/>
        </w:rPr>
        <w:t xml:space="preserve">công chức xã, phường, thị trấn; chức danh, số lượng, mức khoán chi </w:t>
      </w:r>
      <w:r w:rsidR="00F966D9">
        <w:rPr>
          <w:b/>
          <w:noProof/>
          <w:sz w:val="28"/>
          <w:szCs w:val="28"/>
          <w:lang w:val="vi-VN"/>
        </w:rPr>
        <w:t xml:space="preserve">phụ </w:t>
      </w:r>
      <w:r w:rsidR="00F966D9">
        <w:rPr>
          <w:b/>
          <w:noProof/>
          <w:sz w:val="28"/>
          <w:szCs w:val="28"/>
        </w:rPr>
        <w:t>c</w:t>
      </w:r>
      <w:r w:rsidRPr="00F966D9">
        <w:rPr>
          <w:b/>
          <w:noProof/>
          <w:sz w:val="28"/>
          <w:szCs w:val="28"/>
          <w:lang w:val="vi-VN"/>
        </w:rPr>
        <w:t>ấp đối với</w:t>
      </w:r>
      <w:r w:rsidR="00F966D9" w:rsidRPr="00F966D9">
        <w:rPr>
          <w:b/>
          <w:noProof/>
          <w:sz w:val="28"/>
          <w:szCs w:val="28"/>
          <w:lang w:val="vi-VN"/>
        </w:rPr>
        <w:t xml:space="preserve"> người hoạt động không chuyên </w:t>
      </w:r>
      <w:r w:rsidRPr="00F966D9">
        <w:rPr>
          <w:b/>
          <w:noProof/>
          <w:sz w:val="28"/>
          <w:szCs w:val="28"/>
          <w:lang w:val="vi-VN"/>
        </w:rPr>
        <w:t>trách ở cấp xã, ở thôn,</w:t>
      </w:r>
    </w:p>
    <w:p w:rsidR="00F966D9" w:rsidRDefault="00777E39" w:rsidP="00777E39">
      <w:pPr>
        <w:jc w:val="center"/>
        <w:rPr>
          <w:b/>
          <w:noProof/>
          <w:sz w:val="28"/>
          <w:szCs w:val="28"/>
          <w:lang w:val="vi-VN"/>
        </w:rPr>
      </w:pPr>
      <w:r w:rsidRPr="00F966D9">
        <w:rPr>
          <w:b/>
          <w:noProof/>
          <w:sz w:val="28"/>
          <w:szCs w:val="28"/>
          <w:lang w:val="vi-VN"/>
        </w:rPr>
        <w:t xml:space="preserve"> tổ dân phố; mức bồi dưỡng đối với người trực tiếp tham gia </w:t>
      </w:r>
    </w:p>
    <w:p w:rsidR="00777E39" w:rsidRPr="00F966D9" w:rsidRDefault="00777E39" w:rsidP="00777E39">
      <w:pPr>
        <w:jc w:val="center"/>
        <w:rPr>
          <w:b/>
          <w:noProof/>
          <w:sz w:val="28"/>
          <w:szCs w:val="28"/>
          <w:lang w:val="vi-VN"/>
        </w:rPr>
      </w:pPr>
      <w:r w:rsidRPr="00F966D9">
        <w:rPr>
          <w:b/>
          <w:noProof/>
          <w:sz w:val="28"/>
          <w:szCs w:val="28"/>
          <w:lang w:val="vi-VN"/>
        </w:rPr>
        <w:t xml:space="preserve">công việc của thôn, tổ dân phố  </w:t>
      </w:r>
    </w:p>
    <w:p w:rsidR="00F0319E" w:rsidRPr="004B0990" w:rsidRDefault="00F0319E" w:rsidP="00F0319E">
      <w:pPr>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089D1453" wp14:editId="0D216B4E">
                <wp:simplePos x="0" y="0"/>
                <wp:positionH relativeFrom="column">
                  <wp:posOffset>2483485</wp:posOffset>
                </wp:positionH>
                <wp:positionV relativeFrom="paragraph">
                  <wp:posOffset>83346</wp:posOffset>
                </wp:positionV>
                <wp:extent cx="7385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10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6.55pt" to="253.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RqHQ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"/>
            </w:pict>
          </mc:Fallback>
        </mc:AlternateContent>
      </w:r>
    </w:p>
    <w:p w:rsidR="00F0319E" w:rsidRDefault="00F0319E" w:rsidP="00F0319E">
      <w:pPr>
        <w:ind w:firstLine="720"/>
        <w:jc w:val="both"/>
        <w:rPr>
          <w:sz w:val="28"/>
          <w:szCs w:val="28"/>
        </w:rPr>
      </w:pPr>
    </w:p>
    <w:p w:rsidR="008A2DBF" w:rsidRPr="008A2DBF" w:rsidRDefault="00777E39" w:rsidP="00507B83">
      <w:pPr>
        <w:spacing w:line="264" w:lineRule="auto"/>
        <w:ind w:firstLine="709"/>
        <w:jc w:val="both"/>
        <w:rPr>
          <w:spacing w:val="-2"/>
          <w:sz w:val="28"/>
          <w:szCs w:val="28"/>
        </w:rPr>
      </w:pPr>
      <w:r w:rsidRPr="005002B7">
        <w:rPr>
          <w:sz w:val="28"/>
          <w:szCs w:val="28"/>
        </w:rPr>
        <w:t>Ban Pháp chế Hội đồng nhân dân tỉnh được phân công thẩm tra Tờ trình</w:t>
      </w:r>
      <w:r w:rsidRPr="00DB5BE9">
        <w:rPr>
          <w:sz w:val="28"/>
          <w:szCs w:val="28"/>
        </w:rPr>
        <w:t xml:space="preserve"> </w:t>
      </w:r>
      <w:r>
        <w:rPr>
          <w:sz w:val="28"/>
          <w:szCs w:val="28"/>
        </w:rPr>
        <w:t xml:space="preserve">số </w:t>
      </w:r>
      <w:r w:rsidR="005804F6">
        <w:rPr>
          <w:sz w:val="28"/>
          <w:szCs w:val="28"/>
        </w:rPr>
        <w:t>214/TTr-UBND ngày 09</w:t>
      </w:r>
      <w:r w:rsidR="001B2EC4">
        <w:rPr>
          <w:sz w:val="28"/>
          <w:szCs w:val="28"/>
        </w:rPr>
        <w:t xml:space="preserve"> tháng 7 năm </w:t>
      </w:r>
      <w:r w:rsidRPr="00205CEE">
        <w:rPr>
          <w:sz w:val="28"/>
          <w:szCs w:val="28"/>
        </w:rPr>
        <w:t>2019 của Ủy ban nhân dân tỉnh</w:t>
      </w:r>
      <w:r w:rsidRPr="00DB5BE9">
        <w:rPr>
          <w:sz w:val="28"/>
          <w:szCs w:val="28"/>
        </w:rPr>
        <w:t xml:space="preserve"> </w:t>
      </w:r>
      <w:r w:rsidR="008A2DBF">
        <w:rPr>
          <w:sz w:val="28"/>
          <w:szCs w:val="28"/>
        </w:rPr>
        <w:t xml:space="preserve">và dự thảo Nghị quyết </w:t>
      </w:r>
      <w:r w:rsidR="00E128B4">
        <w:rPr>
          <w:sz w:val="28"/>
          <w:szCs w:val="28"/>
        </w:rPr>
        <w:t xml:space="preserve">của Hội đồng nhân dân tỉnh </w:t>
      </w:r>
      <w:r w:rsidR="008A2DBF" w:rsidRPr="008A2DBF">
        <w:rPr>
          <w:spacing w:val="-2"/>
          <w:sz w:val="28"/>
          <w:szCs w:val="28"/>
        </w:rPr>
        <w:t>quy định 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w:t>
      </w:r>
      <w:r w:rsidR="00757D1D">
        <w:rPr>
          <w:spacing w:val="-2"/>
          <w:sz w:val="28"/>
          <w:szCs w:val="28"/>
        </w:rPr>
        <w:t>.</w:t>
      </w:r>
      <w:r w:rsidR="008A2DBF" w:rsidRPr="008A2DBF">
        <w:rPr>
          <w:spacing w:val="-2"/>
          <w:sz w:val="28"/>
          <w:szCs w:val="28"/>
        </w:rPr>
        <w:t xml:space="preserve">  </w:t>
      </w:r>
    </w:p>
    <w:p w:rsidR="00777E39" w:rsidRPr="005002B7" w:rsidRDefault="00777E39" w:rsidP="00777E39">
      <w:pPr>
        <w:spacing w:line="288" w:lineRule="auto"/>
        <w:ind w:firstLine="709"/>
        <w:jc w:val="both"/>
        <w:rPr>
          <w:sz w:val="28"/>
          <w:szCs w:val="28"/>
        </w:rPr>
      </w:pPr>
      <w:r w:rsidRPr="005002B7">
        <w:rPr>
          <w:sz w:val="28"/>
          <w:szCs w:val="28"/>
        </w:rPr>
        <w:t>Sau khi nghiên cứu các văn bản, tài liệu và làm việc với các cơ quan liên quan, Ban Pháp chế Hội đồng nhân dân tỉnh kính trình Hội đồng nhân dân tỉnh</w:t>
      </w:r>
      <w:r>
        <w:rPr>
          <w:sz w:val="28"/>
          <w:szCs w:val="28"/>
        </w:rPr>
        <w:t xml:space="preserve"> </w:t>
      </w:r>
      <w:r w:rsidRPr="005002B7">
        <w:rPr>
          <w:sz w:val="28"/>
          <w:szCs w:val="28"/>
        </w:rPr>
        <w:t xml:space="preserve">kết quả thẩm tra như sau: </w:t>
      </w:r>
    </w:p>
    <w:p w:rsidR="00E13E4E" w:rsidRPr="007F17FA" w:rsidRDefault="00E13E4E" w:rsidP="00123068">
      <w:pPr>
        <w:spacing w:line="312" w:lineRule="auto"/>
        <w:ind w:firstLine="720"/>
        <w:jc w:val="both"/>
        <w:rPr>
          <w:b/>
          <w:noProof/>
          <w:sz w:val="28"/>
          <w:szCs w:val="28"/>
        </w:rPr>
      </w:pPr>
      <w:r w:rsidRPr="007F17FA">
        <w:rPr>
          <w:b/>
          <w:noProof/>
          <w:sz w:val="28"/>
          <w:szCs w:val="28"/>
        </w:rPr>
        <w:t xml:space="preserve">1. Sự cần thiết </w:t>
      </w:r>
      <w:r w:rsidR="00345613">
        <w:rPr>
          <w:b/>
          <w:noProof/>
          <w:sz w:val="28"/>
          <w:szCs w:val="28"/>
        </w:rPr>
        <w:t>ban hành Nghị quyết</w:t>
      </w:r>
    </w:p>
    <w:p w:rsidR="00052FA6" w:rsidRDefault="001B2EC4" w:rsidP="00FE1041">
      <w:pPr>
        <w:spacing w:line="312" w:lineRule="auto"/>
        <w:ind w:firstLine="709"/>
        <w:jc w:val="both"/>
        <w:rPr>
          <w:sz w:val="28"/>
          <w:szCs w:val="28"/>
        </w:rPr>
      </w:pPr>
      <w:r>
        <w:rPr>
          <w:sz w:val="28"/>
          <w:szCs w:val="28"/>
          <w:lang w:val="nl-NL"/>
        </w:rPr>
        <w:t xml:space="preserve">Ngày 24 tháng 4 năm </w:t>
      </w:r>
      <w:r w:rsidR="00FE1041">
        <w:rPr>
          <w:sz w:val="28"/>
          <w:szCs w:val="28"/>
          <w:lang w:val="nl-NL"/>
        </w:rPr>
        <w:t xml:space="preserve">2019, Chính phủ đã ban hành Nghị định số 34/2019/NĐ-CP </w:t>
      </w:r>
      <w:r w:rsidR="00FE1041" w:rsidRPr="00FE1041">
        <w:rPr>
          <w:sz w:val="28"/>
          <w:szCs w:val="28"/>
        </w:rPr>
        <w:t>sửa đổi, bổ sung một số quy định về cán bộ, công chức cấp xã và người hoạt động không chuyên trách ở cấp xã, ở thôn, tổ dân phố</w:t>
      </w:r>
      <w:r w:rsidR="00E93E65">
        <w:rPr>
          <w:sz w:val="28"/>
          <w:szCs w:val="28"/>
        </w:rPr>
        <w:t xml:space="preserve">; </w:t>
      </w:r>
      <w:r w:rsidR="004206E9">
        <w:rPr>
          <w:sz w:val="28"/>
          <w:szCs w:val="28"/>
        </w:rPr>
        <w:t xml:space="preserve">do đó, </w:t>
      </w:r>
      <w:r w:rsidR="00E93E65">
        <w:rPr>
          <w:sz w:val="28"/>
          <w:szCs w:val="28"/>
        </w:rPr>
        <w:t xml:space="preserve">những quy định </w:t>
      </w:r>
      <w:r w:rsidR="004206E9">
        <w:rPr>
          <w:sz w:val="28"/>
          <w:szCs w:val="28"/>
        </w:rPr>
        <w:t xml:space="preserve">trước đây của Hội đồng nhân dân tỉnh về </w:t>
      </w:r>
      <w:r w:rsidR="004206E9" w:rsidRPr="004206E9">
        <w:rPr>
          <w:sz w:val="28"/>
          <w:szCs w:val="28"/>
        </w:rPr>
        <w:t>chức danh, số lượng cán bộ,</w:t>
      </w:r>
      <w:r w:rsidR="004206E9">
        <w:rPr>
          <w:sz w:val="28"/>
          <w:szCs w:val="28"/>
        </w:rPr>
        <w:t xml:space="preserve"> công chức xã, phường, thị trấn và</w:t>
      </w:r>
      <w:r w:rsidR="004206E9" w:rsidRPr="004206E9">
        <w:rPr>
          <w:sz w:val="28"/>
          <w:szCs w:val="28"/>
        </w:rPr>
        <w:t xml:space="preserve"> số lượng, chức danh, chế độ phụ cấp đối với những người hoạt động không chuyên tr</w:t>
      </w:r>
      <w:r w:rsidR="004206E9">
        <w:rPr>
          <w:sz w:val="28"/>
          <w:szCs w:val="28"/>
        </w:rPr>
        <w:t xml:space="preserve">ách ở cấp xã, </w:t>
      </w:r>
      <w:r w:rsidR="00C126B9">
        <w:rPr>
          <w:sz w:val="28"/>
          <w:szCs w:val="28"/>
        </w:rPr>
        <w:t xml:space="preserve">ở </w:t>
      </w:r>
      <w:r w:rsidR="004206E9">
        <w:rPr>
          <w:sz w:val="28"/>
          <w:szCs w:val="28"/>
        </w:rPr>
        <w:t>thôn, tổ dân phố</w:t>
      </w:r>
      <w:r w:rsidR="00826831">
        <w:rPr>
          <w:rStyle w:val="FootnoteReference"/>
          <w:sz w:val="28"/>
          <w:szCs w:val="28"/>
        </w:rPr>
        <w:footnoteReference w:id="1"/>
      </w:r>
      <w:r w:rsidR="004206E9">
        <w:rPr>
          <w:sz w:val="28"/>
          <w:szCs w:val="28"/>
        </w:rPr>
        <w:t xml:space="preserve"> đã </w:t>
      </w:r>
      <w:r w:rsidR="00052FA6">
        <w:rPr>
          <w:sz w:val="28"/>
          <w:szCs w:val="28"/>
        </w:rPr>
        <w:t>không còn phù hợp.</w:t>
      </w:r>
    </w:p>
    <w:p w:rsidR="005468FA" w:rsidRDefault="00CD1D77" w:rsidP="005468FA">
      <w:pPr>
        <w:spacing w:line="288" w:lineRule="auto"/>
        <w:ind w:firstLine="709"/>
        <w:jc w:val="both"/>
        <w:rPr>
          <w:spacing w:val="-2"/>
          <w:sz w:val="28"/>
          <w:szCs w:val="28"/>
        </w:rPr>
      </w:pPr>
      <w:r>
        <w:rPr>
          <w:rStyle w:val="Hyperlink"/>
          <w:color w:val="auto"/>
          <w:sz w:val="28"/>
          <w:szCs w:val="28"/>
          <w:u w:val="none"/>
        </w:rPr>
        <w:t xml:space="preserve">Để </w:t>
      </w:r>
      <w:r w:rsidRPr="007F17FA">
        <w:rPr>
          <w:rStyle w:val="Hyperlink"/>
          <w:color w:val="auto"/>
          <w:sz w:val="28"/>
          <w:szCs w:val="28"/>
          <w:u w:val="none"/>
        </w:rPr>
        <w:t>thực h</w:t>
      </w:r>
      <w:r w:rsidR="001B2EC4">
        <w:rPr>
          <w:rStyle w:val="Hyperlink"/>
          <w:color w:val="auto"/>
          <w:sz w:val="28"/>
          <w:szCs w:val="28"/>
          <w:u w:val="none"/>
        </w:rPr>
        <w:t xml:space="preserve">iện Nghị quyết 18-NQ/TW ngày 25 tháng 10 năm </w:t>
      </w:r>
      <w:r w:rsidRPr="007F17FA">
        <w:rPr>
          <w:rStyle w:val="Hyperlink"/>
          <w:color w:val="auto"/>
          <w:sz w:val="28"/>
          <w:szCs w:val="28"/>
          <w:u w:val="none"/>
        </w:rPr>
        <w:t>2017 của Ban Chấp hành Trung ương (khóa XII)</w:t>
      </w:r>
      <w:r w:rsidR="009C56A0">
        <w:rPr>
          <w:rStyle w:val="Hyperlink"/>
          <w:color w:val="auto"/>
          <w:sz w:val="28"/>
          <w:szCs w:val="28"/>
          <w:u w:val="none"/>
        </w:rPr>
        <w:t xml:space="preserve">, đảm bảo thực hiện đúng quy định tại Nghị </w:t>
      </w:r>
      <w:r w:rsidR="009C56A0">
        <w:rPr>
          <w:rStyle w:val="Hyperlink"/>
          <w:color w:val="auto"/>
          <w:sz w:val="28"/>
          <w:szCs w:val="28"/>
          <w:u w:val="none"/>
        </w:rPr>
        <w:lastRenderedPageBreak/>
        <w:t xml:space="preserve">định </w:t>
      </w:r>
      <w:r w:rsidR="009A553F">
        <w:rPr>
          <w:rStyle w:val="Hyperlink"/>
          <w:color w:val="auto"/>
          <w:sz w:val="28"/>
          <w:szCs w:val="28"/>
          <w:u w:val="none"/>
        </w:rPr>
        <w:t>34/2019/NĐ-CP</w:t>
      </w:r>
      <w:r w:rsidR="009C56A0">
        <w:rPr>
          <w:rStyle w:val="Hyperlink"/>
          <w:color w:val="auto"/>
          <w:sz w:val="28"/>
          <w:szCs w:val="28"/>
          <w:u w:val="none"/>
        </w:rPr>
        <w:t xml:space="preserve"> của Chính phủ </w:t>
      </w:r>
      <w:r w:rsidR="00D32B75">
        <w:rPr>
          <w:rStyle w:val="Hyperlink"/>
          <w:color w:val="auto"/>
          <w:sz w:val="28"/>
          <w:szCs w:val="28"/>
          <w:u w:val="none"/>
        </w:rPr>
        <w:t>và</w:t>
      </w:r>
      <w:r w:rsidR="009C56A0">
        <w:rPr>
          <w:rStyle w:val="Hyperlink"/>
          <w:color w:val="auto"/>
          <w:sz w:val="28"/>
          <w:szCs w:val="28"/>
          <w:u w:val="none"/>
        </w:rPr>
        <w:t xml:space="preserve"> </w:t>
      </w:r>
      <w:r w:rsidR="009C56A0" w:rsidRPr="009C56A0">
        <w:rPr>
          <w:rStyle w:val="Hyperlink"/>
          <w:color w:val="auto"/>
          <w:sz w:val="28"/>
          <w:szCs w:val="28"/>
          <w:u w:val="none"/>
        </w:rPr>
        <w:t>tiếp tục cụ thể hóa chủ trương tại Kết luận số 92-KL/TU ngày 03</w:t>
      </w:r>
      <w:r w:rsidR="001B2EC4">
        <w:rPr>
          <w:rStyle w:val="Hyperlink"/>
          <w:color w:val="auto"/>
          <w:sz w:val="28"/>
          <w:szCs w:val="28"/>
          <w:u w:val="none"/>
        </w:rPr>
        <w:t xml:space="preserve"> tháng 10 năm </w:t>
      </w:r>
      <w:bookmarkStart w:id="0" w:name="_GoBack"/>
      <w:bookmarkEnd w:id="0"/>
      <w:r w:rsidR="009C56A0" w:rsidRPr="009C56A0">
        <w:rPr>
          <w:rStyle w:val="Hyperlink"/>
          <w:color w:val="auto"/>
          <w:sz w:val="28"/>
          <w:szCs w:val="28"/>
          <w:u w:val="none"/>
        </w:rPr>
        <w:t>2018 của Ban Thường vụ Tỉnh ủy</w:t>
      </w:r>
      <w:r w:rsidR="005468FA">
        <w:rPr>
          <w:rStyle w:val="Hyperlink"/>
          <w:color w:val="auto"/>
          <w:sz w:val="28"/>
          <w:szCs w:val="28"/>
          <w:u w:val="none"/>
        </w:rPr>
        <w:t xml:space="preserve">, việc Hội đồng nhân dân tỉnh ban hành Nghị quyết </w:t>
      </w:r>
      <w:r w:rsidR="005468FA" w:rsidRPr="008A2DBF">
        <w:rPr>
          <w:spacing w:val="-2"/>
          <w:sz w:val="28"/>
          <w:szCs w:val="28"/>
        </w:rPr>
        <w:t>quy định 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w:t>
      </w:r>
      <w:r w:rsidR="00A61BF7">
        <w:rPr>
          <w:spacing w:val="-2"/>
          <w:sz w:val="28"/>
          <w:szCs w:val="28"/>
        </w:rPr>
        <w:t>, là cần thiết.</w:t>
      </w:r>
    </w:p>
    <w:p w:rsidR="003266A2" w:rsidRDefault="003266A2" w:rsidP="003266A2">
      <w:pPr>
        <w:spacing w:before="60" w:line="312" w:lineRule="auto"/>
        <w:ind w:firstLine="720"/>
        <w:jc w:val="both"/>
        <w:rPr>
          <w:b/>
          <w:sz w:val="28"/>
        </w:rPr>
      </w:pPr>
      <w:r w:rsidRPr="001E26BE">
        <w:rPr>
          <w:b/>
          <w:sz w:val="28"/>
        </w:rPr>
        <w:t>2. Trình tự, thủ tục; thẩm quyền ban hành</w:t>
      </w:r>
      <w:r w:rsidR="00E948B0">
        <w:rPr>
          <w:b/>
          <w:sz w:val="28"/>
        </w:rPr>
        <w:t xml:space="preserve"> Nghị quyết</w:t>
      </w:r>
    </w:p>
    <w:p w:rsidR="003266A2" w:rsidRPr="00E52351" w:rsidRDefault="00F654DB" w:rsidP="003266A2">
      <w:pPr>
        <w:spacing w:before="60" w:line="312" w:lineRule="auto"/>
        <w:ind w:firstLine="720"/>
        <w:jc w:val="both"/>
        <w:rPr>
          <w:sz w:val="28"/>
          <w:szCs w:val="28"/>
        </w:rPr>
      </w:pPr>
      <w:r>
        <w:rPr>
          <w:sz w:val="28"/>
          <w:szCs w:val="28"/>
          <w:lang w:val="af-ZA"/>
        </w:rPr>
        <w:t>Hồ sơ, t</w:t>
      </w:r>
      <w:r w:rsidR="003266A2">
        <w:rPr>
          <w:sz w:val="28"/>
          <w:szCs w:val="28"/>
          <w:lang w:val="af-ZA"/>
        </w:rPr>
        <w:t>rình tự, thủ tục xây dựng Tờ trình, dự thảo Nghị quyết</w:t>
      </w:r>
      <w:r w:rsidR="003266A2" w:rsidRPr="00E52351">
        <w:rPr>
          <w:sz w:val="28"/>
          <w:szCs w:val="28"/>
          <w:lang w:val="af-ZA"/>
        </w:rPr>
        <w:t xml:space="preserve"> của Ủy ban nhân dân tỉnh</w:t>
      </w:r>
      <w:r w:rsidR="003266A2">
        <w:rPr>
          <w:rStyle w:val="FootnoteReference"/>
          <w:szCs w:val="28"/>
          <w:lang w:val="af-ZA"/>
        </w:rPr>
        <w:footnoteReference w:id="2"/>
      </w:r>
      <w:r w:rsidR="003266A2" w:rsidRPr="00E52351">
        <w:rPr>
          <w:sz w:val="28"/>
          <w:szCs w:val="28"/>
          <w:lang w:val="af-ZA"/>
        </w:rPr>
        <w:t xml:space="preserve"> </w:t>
      </w:r>
      <w:r w:rsidR="003266A2" w:rsidRPr="00B804D3">
        <w:rPr>
          <w:spacing w:val="-2"/>
          <w:sz w:val="28"/>
          <w:szCs w:val="28"/>
        </w:rPr>
        <w:t xml:space="preserve">và thẩm quyền ban hành Nghị quyết </w:t>
      </w:r>
      <w:r w:rsidR="003266A2">
        <w:rPr>
          <w:spacing w:val="-2"/>
          <w:sz w:val="28"/>
          <w:szCs w:val="28"/>
        </w:rPr>
        <w:t>đảm bảo đúng theo</w:t>
      </w:r>
      <w:r w:rsidR="003266A2" w:rsidRPr="00E52351">
        <w:rPr>
          <w:spacing w:val="-2"/>
          <w:sz w:val="28"/>
          <w:szCs w:val="28"/>
        </w:rPr>
        <w:t xml:space="preserve"> các quy định của pháp luật hiện </w:t>
      </w:r>
      <w:r w:rsidR="003266A2">
        <w:rPr>
          <w:spacing w:val="-2"/>
          <w:sz w:val="28"/>
          <w:szCs w:val="28"/>
        </w:rPr>
        <w:t>hành</w:t>
      </w:r>
      <w:r w:rsidR="003266A2" w:rsidRPr="00E52351">
        <w:rPr>
          <w:spacing w:val="-2"/>
          <w:sz w:val="28"/>
          <w:szCs w:val="28"/>
        </w:rPr>
        <w:t xml:space="preserve">. </w:t>
      </w:r>
    </w:p>
    <w:p w:rsidR="00D262EC" w:rsidRPr="007F17FA" w:rsidRDefault="00D262EC" w:rsidP="00E37750">
      <w:pPr>
        <w:spacing w:line="312" w:lineRule="auto"/>
        <w:ind w:firstLine="709"/>
        <w:jc w:val="both"/>
        <w:rPr>
          <w:b/>
          <w:sz w:val="28"/>
          <w:szCs w:val="28"/>
        </w:rPr>
      </w:pPr>
      <w:r w:rsidRPr="007F17FA">
        <w:rPr>
          <w:b/>
          <w:sz w:val="28"/>
          <w:szCs w:val="28"/>
        </w:rPr>
        <w:t>3. Về nội dung Tờ trình và dự thảo Nghị quyết</w:t>
      </w:r>
    </w:p>
    <w:p w:rsidR="004B4128" w:rsidRPr="005804F6" w:rsidRDefault="005804F6" w:rsidP="005804F6">
      <w:pPr>
        <w:spacing w:line="288" w:lineRule="auto"/>
        <w:ind w:firstLine="709"/>
        <w:jc w:val="both"/>
        <w:rPr>
          <w:noProof/>
          <w:sz w:val="28"/>
          <w:szCs w:val="28"/>
        </w:rPr>
      </w:pPr>
      <w:r w:rsidRPr="00E52351">
        <w:rPr>
          <w:sz w:val="28"/>
          <w:szCs w:val="28"/>
          <w:lang w:val="sq-AL"/>
        </w:rPr>
        <w:t xml:space="preserve">Ban Pháp chế </w:t>
      </w:r>
      <w:r>
        <w:rPr>
          <w:sz w:val="28"/>
          <w:szCs w:val="28"/>
          <w:lang w:val="sq-AL"/>
        </w:rPr>
        <w:t xml:space="preserve">nhất trí với các nội dung của Tờ trình và dự thảo Nghị quyết; </w:t>
      </w:r>
      <w:r w:rsidRPr="00E52351">
        <w:rPr>
          <w:sz w:val="28"/>
          <w:szCs w:val="28"/>
          <w:lang w:val="sq-AL"/>
        </w:rPr>
        <w:t xml:space="preserve">kính đề nghị Hội đồng nhân dân tỉnh </w:t>
      </w:r>
      <w:r w:rsidR="007F17FA" w:rsidRPr="007F17FA">
        <w:rPr>
          <w:noProof/>
          <w:sz w:val="28"/>
          <w:szCs w:val="28"/>
        </w:rPr>
        <w:t xml:space="preserve">thông qua Nghị quyết </w:t>
      </w:r>
      <w:r w:rsidR="007F17FA">
        <w:rPr>
          <w:bCs/>
          <w:noProof/>
          <w:sz w:val="28"/>
          <w:szCs w:val="28"/>
          <w:lang w:val="vi-VN"/>
        </w:rPr>
        <w:t>q</w:t>
      </w:r>
      <w:r w:rsidR="007F17FA" w:rsidRPr="007F17FA">
        <w:rPr>
          <w:bCs/>
          <w:noProof/>
          <w:sz w:val="28"/>
          <w:szCs w:val="28"/>
          <w:lang w:val="vi-VN"/>
        </w:rPr>
        <w:t>uy định số lượng cán bộ, công chức xã, phường, thị trấn; chức danh, số lượng, mức khoán chi phụ cấp đối với</w:t>
      </w:r>
      <w:r w:rsidR="007F17FA" w:rsidRPr="007F17FA">
        <w:rPr>
          <w:noProof/>
          <w:sz w:val="28"/>
          <w:szCs w:val="28"/>
          <w:lang w:val="vi-VN"/>
        </w:rPr>
        <w:t xml:space="preserve"> người hoạt động không chuyên trách ở cấp xã, ở thôn, tổ dân phố; mức bồi dưỡng đối với </w:t>
      </w:r>
      <w:r w:rsidR="007F17FA" w:rsidRPr="007F17FA">
        <w:rPr>
          <w:noProof/>
          <w:sz w:val="28"/>
          <w:szCs w:val="28"/>
        </w:rPr>
        <w:t>n</w:t>
      </w:r>
      <w:r w:rsidR="007F17FA" w:rsidRPr="007F17FA">
        <w:rPr>
          <w:noProof/>
          <w:sz w:val="28"/>
          <w:szCs w:val="28"/>
          <w:lang w:val="vi-VN"/>
        </w:rPr>
        <w:t>gười trực tiếp tham gia công việc của thôn, tổ</w:t>
      </w:r>
      <w:r w:rsidR="00C126B9">
        <w:rPr>
          <w:noProof/>
          <w:sz w:val="28"/>
          <w:szCs w:val="28"/>
          <w:lang w:val="vi-VN"/>
        </w:rPr>
        <w:t xml:space="preserve"> dân phố tại K</w:t>
      </w:r>
      <w:r w:rsidR="004B4128">
        <w:rPr>
          <w:noProof/>
          <w:sz w:val="28"/>
          <w:szCs w:val="28"/>
          <w:lang w:val="vi-VN"/>
        </w:rPr>
        <w:t xml:space="preserve">ỳ họp này. </w:t>
      </w:r>
    </w:p>
    <w:p w:rsidR="004B4128" w:rsidRPr="00123068" w:rsidRDefault="004B4128" w:rsidP="00123068">
      <w:pPr>
        <w:spacing w:line="312" w:lineRule="auto"/>
        <w:ind w:firstLine="709"/>
        <w:jc w:val="both"/>
        <w:rPr>
          <w:sz w:val="28"/>
          <w:szCs w:val="28"/>
          <w:lang w:val="sq-AL"/>
        </w:rPr>
      </w:pPr>
      <w:r w:rsidRPr="00123068">
        <w:rPr>
          <w:sz w:val="28"/>
          <w:szCs w:val="28"/>
          <w:lang w:val="sq-AL"/>
        </w:rPr>
        <w:t>Đề nghị Ủy ban nhân dân tỉnh sau khi Nghị quyết có hiệu lực thi hành,</w:t>
      </w:r>
      <w:r w:rsidR="008E263A">
        <w:rPr>
          <w:sz w:val="28"/>
          <w:szCs w:val="28"/>
          <w:lang w:val="sq-AL"/>
        </w:rPr>
        <w:t xml:space="preserve"> chỉ đạo các cấp, các ngành </w:t>
      </w:r>
      <w:r w:rsidR="00036A87">
        <w:rPr>
          <w:sz w:val="28"/>
          <w:szCs w:val="28"/>
          <w:lang w:val="sq-AL"/>
        </w:rPr>
        <w:t xml:space="preserve">thực hiện tốt việc </w:t>
      </w:r>
      <w:r w:rsidR="00123068" w:rsidRPr="00123068">
        <w:rPr>
          <w:sz w:val="28"/>
          <w:szCs w:val="28"/>
        </w:rPr>
        <w:t>tuyên truyền, phổ biến</w:t>
      </w:r>
      <w:r w:rsidR="008E263A">
        <w:rPr>
          <w:sz w:val="28"/>
          <w:szCs w:val="28"/>
        </w:rPr>
        <w:t xml:space="preserve"> và triển khai thực hiện Nghị quyết; </w:t>
      </w:r>
      <w:r w:rsidRPr="00123068">
        <w:rPr>
          <w:sz w:val="28"/>
          <w:szCs w:val="28"/>
          <w:lang w:val="sq-AL"/>
        </w:rPr>
        <w:t>ban hành hướng dẫn</w:t>
      </w:r>
      <w:r w:rsidR="0026720D">
        <w:rPr>
          <w:sz w:val="28"/>
          <w:szCs w:val="28"/>
          <w:lang w:val="sq-AL"/>
        </w:rPr>
        <w:t xml:space="preserve"> cụ thể</w:t>
      </w:r>
      <w:r w:rsidR="0064264A">
        <w:rPr>
          <w:sz w:val="28"/>
          <w:szCs w:val="28"/>
          <w:lang w:val="sq-AL"/>
        </w:rPr>
        <w:t xml:space="preserve"> </w:t>
      </w:r>
      <w:r w:rsidRPr="00123068">
        <w:rPr>
          <w:sz w:val="28"/>
          <w:szCs w:val="28"/>
          <w:lang w:val="sq-AL"/>
        </w:rPr>
        <w:t xml:space="preserve">việc bố trí </w:t>
      </w:r>
      <w:r w:rsidR="00123771" w:rsidRPr="007F17FA">
        <w:rPr>
          <w:bCs/>
          <w:noProof/>
          <w:sz w:val="28"/>
          <w:szCs w:val="28"/>
          <w:lang w:val="vi-VN"/>
        </w:rPr>
        <w:t>số lượng cán bộ, công chức xã, phường, thị trấn</w:t>
      </w:r>
      <w:r w:rsidR="00123771">
        <w:rPr>
          <w:sz w:val="28"/>
          <w:szCs w:val="28"/>
          <w:lang w:val="sq-AL"/>
        </w:rPr>
        <w:t xml:space="preserve">; chức danh, số lượng </w:t>
      </w:r>
      <w:r w:rsidRPr="00123068">
        <w:rPr>
          <w:sz w:val="28"/>
          <w:szCs w:val="28"/>
          <w:lang w:val="sq-AL"/>
        </w:rPr>
        <w:t>cán bộ không chuyên trách ở cấp xã, ở thôn, tổ dân phố</w:t>
      </w:r>
      <w:r w:rsidR="0032063B">
        <w:rPr>
          <w:sz w:val="28"/>
          <w:szCs w:val="28"/>
          <w:lang w:val="sq-AL"/>
        </w:rPr>
        <w:t>,</w:t>
      </w:r>
      <w:r w:rsidRPr="00123068">
        <w:rPr>
          <w:sz w:val="28"/>
          <w:szCs w:val="28"/>
          <w:lang w:val="sq-AL"/>
        </w:rPr>
        <w:t xml:space="preserve"> đảm bảo không bỏ sót nhiệm vụ và phù hợp với điều kiện thực tiễn của địa phương; hướng dẫn mức bồi dưỡng đối với những người </w:t>
      </w:r>
      <w:r w:rsidR="003A3512">
        <w:rPr>
          <w:sz w:val="28"/>
          <w:szCs w:val="28"/>
          <w:lang w:val="sq-AL"/>
        </w:rPr>
        <w:t xml:space="preserve">trực tiếp tham gia công việc </w:t>
      </w:r>
      <w:r w:rsidR="00FF24E9">
        <w:rPr>
          <w:sz w:val="28"/>
          <w:szCs w:val="28"/>
          <w:lang w:val="sq-AL"/>
        </w:rPr>
        <w:t>của</w:t>
      </w:r>
      <w:r w:rsidRPr="00123068">
        <w:rPr>
          <w:sz w:val="28"/>
          <w:szCs w:val="28"/>
          <w:lang w:val="sq-AL"/>
        </w:rPr>
        <w:t xml:space="preserve"> thôn, tổ dân phố</w:t>
      </w:r>
      <w:r w:rsidR="00FF24E9">
        <w:rPr>
          <w:sz w:val="28"/>
          <w:szCs w:val="28"/>
          <w:lang w:val="sq-AL"/>
        </w:rPr>
        <w:t xml:space="preserve">.  </w:t>
      </w:r>
    </w:p>
    <w:p w:rsidR="00F0319E" w:rsidRPr="00123068" w:rsidRDefault="004B4128" w:rsidP="00123068">
      <w:pPr>
        <w:spacing w:line="312" w:lineRule="auto"/>
        <w:ind w:firstLine="709"/>
        <w:jc w:val="both"/>
        <w:rPr>
          <w:sz w:val="28"/>
          <w:szCs w:val="28"/>
          <w:lang w:val="sq-AL"/>
        </w:rPr>
      </w:pPr>
      <w:r w:rsidRPr="00123068">
        <w:rPr>
          <w:sz w:val="28"/>
          <w:szCs w:val="28"/>
          <w:lang w:val="sq-AL"/>
        </w:rPr>
        <w:t>Ban Pháp chế kính</w:t>
      </w:r>
      <w:r w:rsidR="007F17FA" w:rsidRPr="00123068">
        <w:rPr>
          <w:sz w:val="28"/>
          <w:szCs w:val="28"/>
          <w:lang w:val="sq-AL"/>
        </w:rPr>
        <w:t xml:space="preserve"> trình Hội đồng nhân dân tỉnh xem xét, thảo luận và quyết định./.</w:t>
      </w:r>
    </w:p>
    <w:p w:rsidR="007F17FA" w:rsidRPr="007F17FA" w:rsidRDefault="007F17FA" w:rsidP="007F17FA">
      <w:pPr>
        <w:spacing w:line="312" w:lineRule="auto"/>
        <w:ind w:firstLine="709"/>
        <w:jc w:val="both"/>
        <w:rPr>
          <w:sz w:val="8"/>
          <w:szCs w:val="8"/>
          <w:lang w:val="sq-AL"/>
        </w:rPr>
      </w:pPr>
    </w:p>
    <w:tbl>
      <w:tblPr>
        <w:tblW w:w="9394" w:type="dxa"/>
        <w:tblInd w:w="-72" w:type="dxa"/>
        <w:tblLook w:val="01E0" w:firstRow="1" w:lastRow="1" w:firstColumn="1" w:lastColumn="1" w:noHBand="0" w:noVBand="0"/>
      </w:tblPr>
      <w:tblGrid>
        <w:gridCol w:w="4575"/>
        <w:gridCol w:w="4819"/>
      </w:tblGrid>
      <w:tr w:rsidR="00F0319E" w:rsidRPr="000C2B8C" w:rsidTr="009A7B55">
        <w:trPr>
          <w:trHeight w:val="2277"/>
        </w:trPr>
        <w:tc>
          <w:tcPr>
            <w:tcW w:w="4575" w:type="dxa"/>
            <w:shd w:val="clear" w:color="auto" w:fill="auto"/>
          </w:tcPr>
          <w:p w:rsidR="00F0319E" w:rsidRPr="00C76A1F" w:rsidRDefault="00F0319E" w:rsidP="00F0319E">
            <w:pPr>
              <w:rPr>
                <w:b/>
                <w:i/>
                <w:lang w:val="nb-NO"/>
              </w:rPr>
            </w:pPr>
            <w:r w:rsidRPr="00C76A1F">
              <w:rPr>
                <w:b/>
                <w:i/>
                <w:lang w:val="nb-NO"/>
              </w:rPr>
              <w:t>N</w:t>
            </w:r>
            <w:r w:rsidRPr="00C76A1F">
              <w:rPr>
                <w:rFonts w:hint="eastAsia"/>
                <w:b/>
                <w:i/>
                <w:lang w:val="nb-NO"/>
              </w:rPr>
              <w:t>ơ</w:t>
            </w:r>
            <w:r w:rsidRPr="00C76A1F">
              <w:rPr>
                <w:b/>
                <w:i/>
                <w:lang w:val="nb-NO"/>
              </w:rPr>
              <w:t>i nhận:</w:t>
            </w:r>
          </w:p>
          <w:p w:rsidR="00F0319E" w:rsidRDefault="00F0319E" w:rsidP="00F0319E">
            <w:pPr>
              <w:rPr>
                <w:sz w:val="22"/>
                <w:lang w:val="nb-NO"/>
              </w:rPr>
            </w:pPr>
            <w:r>
              <w:rPr>
                <w:sz w:val="22"/>
                <w:lang w:val="nb-NO"/>
              </w:rPr>
              <w:t>- Thường trực HĐND tỉnh;</w:t>
            </w:r>
          </w:p>
          <w:p w:rsidR="00F0319E" w:rsidRDefault="00F0319E" w:rsidP="00F0319E">
            <w:pPr>
              <w:rPr>
                <w:sz w:val="22"/>
                <w:lang w:val="nb-NO"/>
              </w:rPr>
            </w:pPr>
            <w:r>
              <w:rPr>
                <w:sz w:val="22"/>
                <w:lang w:val="nb-NO"/>
              </w:rPr>
              <w:t>- UBND tỉnh;</w:t>
            </w:r>
          </w:p>
          <w:p w:rsidR="00E76D4B" w:rsidRDefault="00E76D4B" w:rsidP="00F0319E">
            <w:pPr>
              <w:rPr>
                <w:sz w:val="22"/>
                <w:lang w:val="nb-NO"/>
              </w:rPr>
            </w:pPr>
            <w:r>
              <w:rPr>
                <w:sz w:val="22"/>
                <w:lang w:val="nb-NO"/>
              </w:rPr>
              <w:t>- Thành viên Ban Pháp chế HĐND tỉnh;</w:t>
            </w:r>
          </w:p>
          <w:p w:rsidR="00F0319E" w:rsidRDefault="00F0319E" w:rsidP="00F0319E">
            <w:pPr>
              <w:rPr>
                <w:sz w:val="22"/>
                <w:lang w:val="nb-NO"/>
              </w:rPr>
            </w:pPr>
            <w:r w:rsidRPr="000C2B8C">
              <w:rPr>
                <w:sz w:val="22"/>
                <w:lang w:val="nb-NO"/>
              </w:rPr>
              <w:t>- Đại biểu HĐND tỉnh;</w:t>
            </w:r>
          </w:p>
          <w:p w:rsidR="00F0319E" w:rsidRPr="000C2B8C" w:rsidRDefault="00F0319E" w:rsidP="00F0319E">
            <w:pPr>
              <w:rPr>
                <w:sz w:val="22"/>
              </w:rPr>
            </w:pPr>
            <w:r w:rsidRPr="000C2B8C">
              <w:rPr>
                <w:sz w:val="22"/>
              </w:rPr>
              <w:t>- L</w:t>
            </w:r>
            <w:r w:rsidRPr="000C2B8C">
              <w:rPr>
                <w:rFonts w:hint="eastAsia"/>
                <w:sz w:val="22"/>
              </w:rPr>
              <w:t>ư</w:t>
            </w:r>
            <w:r>
              <w:rPr>
                <w:sz w:val="22"/>
              </w:rPr>
              <w:t>u: VT, PC.</w:t>
            </w:r>
          </w:p>
          <w:p w:rsidR="00F0319E" w:rsidRPr="000C2B8C" w:rsidRDefault="00F0319E" w:rsidP="00F0319E">
            <w:pPr>
              <w:rPr>
                <w:sz w:val="22"/>
              </w:rPr>
            </w:pPr>
          </w:p>
          <w:p w:rsidR="00F0319E" w:rsidRPr="000C2B8C" w:rsidRDefault="00F0319E" w:rsidP="00F0319E">
            <w:pPr>
              <w:rPr>
                <w:b/>
                <w:i/>
              </w:rPr>
            </w:pPr>
          </w:p>
          <w:p w:rsidR="00F0319E" w:rsidRPr="000C2B8C" w:rsidRDefault="00F0319E" w:rsidP="00F0319E">
            <w:pPr>
              <w:rPr>
                <w:sz w:val="22"/>
              </w:rPr>
            </w:pPr>
          </w:p>
        </w:tc>
        <w:tc>
          <w:tcPr>
            <w:tcW w:w="4819" w:type="dxa"/>
            <w:shd w:val="clear" w:color="auto" w:fill="auto"/>
          </w:tcPr>
          <w:p w:rsidR="00F0319E" w:rsidRPr="00E76D4B" w:rsidRDefault="00F0319E" w:rsidP="00F0319E">
            <w:pPr>
              <w:jc w:val="center"/>
              <w:rPr>
                <w:b/>
                <w:sz w:val="28"/>
              </w:rPr>
            </w:pPr>
            <w:r w:rsidRPr="00E76D4B">
              <w:rPr>
                <w:b/>
                <w:sz w:val="28"/>
              </w:rPr>
              <w:t>TM. BAN PHÁP CHẾ HĐND</w:t>
            </w:r>
          </w:p>
          <w:p w:rsidR="00F0319E" w:rsidRPr="00E76D4B" w:rsidRDefault="00F0319E" w:rsidP="00F0319E">
            <w:pPr>
              <w:jc w:val="center"/>
              <w:rPr>
                <w:b/>
                <w:sz w:val="28"/>
              </w:rPr>
            </w:pPr>
            <w:r w:rsidRPr="00E76D4B">
              <w:rPr>
                <w:b/>
                <w:sz w:val="28"/>
              </w:rPr>
              <w:t>TRƯỞNG BAN</w:t>
            </w:r>
          </w:p>
          <w:p w:rsidR="00F0319E" w:rsidRPr="00E76D4B" w:rsidRDefault="00F0319E" w:rsidP="00F0319E">
            <w:pPr>
              <w:jc w:val="center"/>
              <w:rPr>
                <w:b/>
                <w:sz w:val="28"/>
              </w:rPr>
            </w:pPr>
          </w:p>
          <w:p w:rsidR="00F0319E" w:rsidRPr="00E76D4B" w:rsidRDefault="00F0319E" w:rsidP="00F0319E">
            <w:pPr>
              <w:jc w:val="center"/>
              <w:rPr>
                <w:noProof/>
                <w:sz w:val="28"/>
              </w:rPr>
            </w:pPr>
          </w:p>
          <w:p w:rsidR="00F0319E" w:rsidRPr="00E76D4B" w:rsidRDefault="00F0319E" w:rsidP="00F0319E">
            <w:pPr>
              <w:jc w:val="center"/>
              <w:rPr>
                <w:noProof/>
                <w:sz w:val="28"/>
              </w:rPr>
            </w:pPr>
          </w:p>
          <w:p w:rsidR="00F0319E" w:rsidRPr="00E76D4B" w:rsidRDefault="00F0319E" w:rsidP="00F0319E">
            <w:pPr>
              <w:jc w:val="center"/>
              <w:rPr>
                <w:noProof/>
                <w:sz w:val="28"/>
              </w:rPr>
            </w:pPr>
          </w:p>
          <w:p w:rsidR="00F0319E" w:rsidRPr="00E76D4B" w:rsidRDefault="00F0319E" w:rsidP="00F0319E">
            <w:pPr>
              <w:jc w:val="center"/>
              <w:rPr>
                <w:b/>
                <w:sz w:val="28"/>
              </w:rPr>
            </w:pPr>
          </w:p>
          <w:p w:rsidR="00F0319E" w:rsidRPr="000C2B8C" w:rsidRDefault="00F0319E" w:rsidP="00F0319E">
            <w:pPr>
              <w:jc w:val="center"/>
              <w:rPr>
                <w:b/>
                <w:szCs w:val="26"/>
              </w:rPr>
            </w:pPr>
            <w:r w:rsidRPr="00E76D4B">
              <w:rPr>
                <w:b/>
                <w:sz w:val="28"/>
              </w:rPr>
              <w:t>Nguyễn Huy Hùng</w:t>
            </w:r>
          </w:p>
        </w:tc>
      </w:tr>
    </w:tbl>
    <w:p w:rsidR="007F3720" w:rsidRDefault="007F3720" w:rsidP="00F0319E"/>
    <w:sectPr w:rsidR="007F3720" w:rsidSect="00E723ED">
      <w:footerReference w:type="default" r:id="rId7"/>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8B" w:rsidRDefault="00621F8B" w:rsidP="00AF5E2F">
      <w:r>
        <w:separator/>
      </w:r>
    </w:p>
  </w:endnote>
  <w:endnote w:type="continuationSeparator" w:id="0">
    <w:p w:rsidR="00621F8B" w:rsidRDefault="00621F8B" w:rsidP="00AF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901929"/>
      <w:docPartObj>
        <w:docPartGallery w:val="Page Numbers (Bottom of Page)"/>
        <w:docPartUnique/>
      </w:docPartObj>
    </w:sdtPr>
    <w:sdtEndPr>
      <w:rPr>
        <w:noProof/>
      </w:rPr>
    </w:sdtEndPr>
    <w:sdtContent>
      <w:p w:rsidR="00E723ED" w:rsidRDefault="00E723ED">
        <w:pPr>
          <w:pStyle w:val="Footer"/>
          <w:jc w:val="right"/>
        </w:pPr>
        <w:r>
          <w:fldChar w:fldCharType="begin"/>
        </w:r>
        <w:r>
          <w:instrText xml:space="preserve"> PAGE   \* MERGEFORMAT </w:instrText>
        </w:r>
        <w:r>
          <w:fldChar w:fldCharType="separate"/>
        </w:r>
        <w:r w:rsidR="001B2EC4">
          <w:rPr>
            <w:noProof/>
          </w:rPr>
          <w:t>1</w:t>
        </w:r>
        <w:r>
          <w:rPr>
            <w:noProof/>
          </w:rPr>
          <w:fldChar w:fldCharType="end"/>
        </w:r>
      </w:p>
    </w:sdtContent>
  </w:sdt>
  <w:p w:rsidR="00E723ED" w:rsidRDefault="00E723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8B" w:rsidRDefault="00621F8B" w:rsidP="00AF5E2F">
      <w:r>
        <w:separator/>
      </w:r>
    </w:p>
  </w:footnote>
  <w:footnote w:type="continuationSeparator" w:id="0">
    <w:p w:rsidR="00621F8B" w:rsidRDefault="00621F8B" w:rsidP="00AF5E2F">
      <w:r>
        <w:continuationSeparator/>
      </w:r>
    </w:p>
  </w:footnote>
  <w:footnote w:id="1">
    <w:p w:rsidR="006E7EBA" w:rsidRDefault="00826831" w:rsidP="00FB0E1D">
      <w:pPr>
        <w:jc w:val="both"/>
        <w:rPr>
          <w:noProof/>
          <w:sz w:val="20"/>
          <w:lang w:val="es-ES_tradnl"/>
        </w:rPr>
      </w:pPr>
      <w:r w:rsidRPr="00826831">
        <w:rPr>
          <w:rStyle w:val="FootnoteReference"/>
          <w:sz w:val="20"/>
        </w:rPr>
        <w:footnoteRef/>
      </w:r>
      <w:r>
        <w:t xml:space="preserve"> </w:t>
      </w:r>
      <w:r w:rsidRPr="00826831">
        <w:rPr>
          <w:noProof/>
          <w:sz w:val="20"/>
          <w:lang w:val="es-ES_tradnl"/>
        </w:rPr>
        <w:t xml:space="preserve">Nghị quyết số 131/2010/NQ-HĐND ngày 13/10/2010 quy định chức danh, số lượng cán bộ, công chức xã, phường, thị trấn; số lượng, chức danh, chế độ phụ cấp đối với những người hoạt động không chuyên trách ở cấp xã, thôn, tổ dân phố; </w:t>
      </w:r>
    </w:p>
    <w:p w:rsidR="006E7EBA" w:rsidRDefault="00826831" w:rsidP="00FB0E1D">
      <w:pPr>
        <w:jc w:val="both"/>
        <w:rPr>
          <w:sz w:val="20"/>
          <w:szCs w:val="28"/>
          <w:lang w:val="es-ES_tradnl"/>
        </w:rPr>
      </w:pPr>
      <w:r w:rsidRPr="00826831">
        <w:rPr>
          <w:sz w:val="20"/>
          <w:szCs w:val="28"/>
          <w:lang w:val="es-ES_tradnl"/>
        </w:rPr>
        <w:t xml:space="preserve">Nghị quyết số 165/2015/NQ-HĐND </w:t>
      </w:r>
      <w:r w:rsidRPr="00826831">
        <w:rPr>
          <w:sz w:val="20"/>
          <w:lang w:val="es-ES_tradnl" w:eastAsia="fr-FR"/>
        </w:rPr>
        <w:t>n</w:t>
      </w:r>
      <w:r w:rsidRPr="00826831">
        <w:rPr>
          <w:sz w:val="20"/>
          <w:szCs w:val="28"/>
          <w:lang w:val="es-ES_tradnl"/>
        </w:rPr>
        <w:t>gày 12/12/2015 quy định số lượng, chức danh, mức phụ cấp của những người hoạt động không chuyên trách ở cấp xã, ở thôn, tổ dân phố</w:t>
      </w:r>
      <w:r w:rsidR="00CD1D77">
        <w:rPr>
          <w:sz w:val="20"/>
          <w:szCs w:val="28"/>
          <w:lang w:val="es-ES_tradnl"/>
        </w:rPr>
        <w:t xml:space="preserve">;  </w:t>
      </w:r>
    </w:p>
    <w:p w:rsidR="00826831" w:rsidRPr="007B2E06" w:rsidRDefault="00826831" w:rsidP="00FB0E1D">
      <w:pPr>
        <w:jc w:val="both"/>
        <w:rPr>
          <w:noProof/>
          <w:lang w:val="es-ES_tradnl"/>
        </w:rPr>
      </w:pPr>
      <w:r w:rsidRPr="00826831">
        <w:rPr>
          <w:noProof/>
          <w:sz w:val="20"/>
          <w:lang w:val="es-ES_tradnl"/>
        </w:rPr>
        <w:t>Nghị quyết số 129/2018/NQ-HĐND</w:t>
      </w:r>
      <w:r w:rsidRPr="00826831">
        <w:rPr>
          <w:sz w:val="20"/>
          <w:szCs w:val="28"/>
          <w:lang w:val="es-ES_tradnl"/>
        </w:rPr>
        <w:t xml:space="preserve"> ngày 13/12/2018</w:t>
      </w:r>
      <w:r w:rsidRPr="00826831">
        <w:rPr>
          <w:noProof/>
          <w:sz w:val="20"/>
          <w:lang w:val="es-ES_tradnl"/>
        </w:rPr>
        <w:t xml:space="preserve"> sửa đổi, bổ sung nội dung về số lượng, mức khoán chi phụ cấp tại Khoản 1, Khoản 2 Điều 1 Nghị quyết số 165/2015/NQ-HĐND ngày 12/12/2015 </w:t>
      </w:r>
      <w:r w:rsidRPr="00826831">
        <w:rPr>
          <w:noProof/>
          <w:sz w:val="20"/>
          <w:lang w:val="vi-VN"/>
        </w:rPr>
        <w:t>quy định số lượng, chức danh, mức phụ cấp của những người hoạt động không chuyên trách ở cấp xã, ở thôn, tổ dân phố</w:t>
      </w:r>
      <w:r w:rsidRPr="00826831">
        <w:rPr>
          <w:noProof/>
          <w:sz w:val="20"/>
          <w:lang w:val="es-ES_tradnl"/>
        </w:rPr>
        <w:t xml:space="preserve">. </w:t>
      </w:r>
    </w:p>
    <w:p w:rsidR="00826831" w:rsidRDefault="00826831" w:rsidP="00FB0E1D">
      <w:pPr>
        <w:pStyle w:val="FootnoteText"/>
      </w:pPr>
    </w:p>
  </w:footnote>
  <w:footnote w:id="2">
    <w:p w:rsidR="003266A2" w:rsidRPr="007E3C4F" w:rsidRDefault="003266A2" w:rsidP="00673093">
      <w:pPr>
        <w:pStyle w:val="FootnoteText"/>
        <w:jc w:val="both"/>
        <w:rPr>
          <w:lang w:val="vi-VN"/>
        </w:rPr>
      </w:pPr>
      <w:r>
        <w:rPr>
          <w:rStyle w:val="FootnoteReference"/>
        </w:rPr>
        <w:footnoteRef/>
      </w:r>
      <w:r>
        <w:t xml:space="preserve"> Luật ban hành </w:t>
      </w:r>
      <w:r w:rsidRPr="009D7144">
        <w:rPr>
          <w:szCs w:val="22"/>
        </w:rPr>
        <w:t>Văn bản quy phạm pháp luật năm 2015; Nghị định 34/2016/NĐ-CP ngày 14/5/2016 của Chính phủ quy định chi tiết một số điều và biện pháp thi hành Luật ban hành văn bản quy phạm pháp luật</w:t>
      </w:r>
      <w:r>
        <w:rPr>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9E"/>
    <w:rsid w:val="00036A87"/>
    <w:rsid w:val="00046CEC"/>
    <w:rsid w:val="00052FA6"/>
    <w:rsid w:val="00066082"/>
    <w:rsid w:val="00094687"/>
    <w:rsid w:val="000A284A"/>
    <w:rsid w:val="00103F17"/>
    <w:rsid w:val="00123068"/>
    <w:rsid w:val="00123771"/>
    <w:rsid w:val="00180116"/>
    <w:rsid w:val="001B048D"/>
    <w:rsid w:val="001B2EC4"/>
    <w:rsid w:val="001F0B89"/>
    <w:rsid w:val="0026720D"/>
    <w:rsid w:val="00273549"/>
    <w:rsid w:val="0029585C"/>
    <w:rsid w:val="0032063B"/>
    <w:rsid w:val="003266A2"/>
    <w:rsid w:val="0034152E"/>
    <w:rsid w:val="00345409"/>
    <w:rsid w:val="00345613"/>
    <w:rsid w:val="003A3512"/>
    <w:rsid w:val="003C3990"/>
    <w:rsid w:val="00417874"/>
    <w:rsid w:val="004206E9"/>
    <w:rsid w:val="00455C8D"/>
    <w:rsid w:val="004B4128"/>
    <w:rsid w:val="004D6569"/>
    <w:rsid w:val="00503B22"/>
    <w:rsid w:val="0050547D"/>
    <w:rsid w:val="00507B83"/>
    <w:rsid w:val="005468FA"/>
    <w:rsid w:val="00567BEF"/>
    <w:rsid w:val="005804F6"/>
    <w:rsid w:val="005859D3"/>
    <w:rsid w:val="0060106D"/>
    <w:rsid w:val="00606F1F"/>
    <w:rsid w:val="00621F8B"/>
    <w:rsid w:val="00626FC0"/>
    <w:rsid w:val="0064264A"/>
    <w:rsid w:val="00673093"/>
    <w:rsid w:val="006E51A9"/>
    <w:rsid w:val="006E7EBA"/>
    <w:rsid w:val="006F6B95"/>
    <w:rsid w:val="00734D6E"/>
    <w:rsid w:val="007373EC"/>
    <w:rsid w:val="00753EE4"/>
    <w:rsid w:val="007542A3"/>
    <w:rsid w:val="00757D1D"/>
    <w:rsid w:val="00777E39"/>
    <w:rsid w:val="007C3AFF"/>
    <w:rsid w:val="007F17FA"/>
    <w:rsid w:val="007F3720"/>
    <w:rsid w:val="00813769"/>
    <w:rsid w:val="00826831"/>
    <w:rsid w:val="0085160C"/>
    <w:rsid w:val="00875E16"/>
    <w:rsid w:val="008A0D43"/>
    <w:rsid w:val="008A2DBF"/>
    <w:rsid w:val="008E263A"/>
    <w:rsid w:val="00906DC2"/>
    <w:rsid w:val="0091154F"/>
    <w:rsid w:val="009527E3"/>
    <w:rsid w:val="009608B2"/>
    <w:rsid w:val="009719A0"/>
    <w:rsid w:val="00971AFD"/>
    <w:rsid w:val="009A553F"/>
    <w:rsid w:val="009C56A0"/>
    <w:rsid w:val="00A05ECD"/>
    <w:rsid w:val="00A10791"/>
    <w:rsid w:val="00A10C01"/>
    <w:rsid w:val="00A13290"/>
    <w:rsid w:val="00A61BF7"/>
    <w:rsid w:val="00AA5C1C"/>
    <w:rsid w:val="00AB1E02"/>
    <w:rsid w:val="00AB1F62"/>
    <w:rsid w:val="00AB64DE"/>
    <w:rsid w:val="00AC4BB3"/>
    <w:rsid w:val="00AF5CE5"/>
    <w:rsid w:val="00AF5E2F"/>
    <w:rsid w:val="00B05290"/>
    <w:rsid w:val="00B55F95"/>
    <w:rsid w:val="00B82515"/>
    <w:rsid w:val="00B95BAF"/>
    <w:rsid w:val="00BB1034"/>
    <w:rsid w:val="00BD126E"/>
    <w:rsid w:val="00BE0726"/>
    <w:rsid w:val="00C035C7"/>
    <w:rsid w:val="00C126B9"/>
    <w:rsid w:val="00C31C75"/>
    <w:rsid w:val="00C550D9"/>
    <w:rsid w:val="00CD1D77"/>
    <w:rsid w:val="00CF7C73"/>
    <w:rsid w:val="00D262EC"/>
    <w:rsid w:val="00D32B75"/>
    <w:rsid w:val="00D33B09"/>
    <w:rsid w:val="00D72B25"/>
    <w:rsid w:val="00D7566D"/>
    <w:rsid w:val="00E0493B"/>
    <w:rsid w:val="00E128B4"/>
    <w:rsid w:val="00E13E4E"/>
    <w:rsid w:val="00E16BBC"/>
    <w:rsid w:val="00E37750"/>
    <w:rsid w:val="00E437CD"/>
    <w:rsid w:val="00E723ED"/>
    <w:rsid w:val="00E76D4B"/>
    <w:rsid w:val="00E93E65"/>
    <w:rsid w:val="00E948B0"/>
    <w:rsid w:val="00EA7EBB"/>
    <w:rsid w:val="00ED14AC"/>
    <w:rsid w:val="00F0319E"/>
    <w:rsid w:val="00F654DB"/>
    <w:rsid w:val="00F91AA2"/>
    <w:rsid w:val="00F966D9"/>
    <w:rsid w:val="00FB0E1D"/>
    <w:rsid w:val="00FE1041"/>
    <w:rsid w:val="00FF23FE"/>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A2F0"/>
  <w15:chartTrackingRefBased/>
  <w15:docId w15:val="{9834D3BF-870C-47B4-B7DA-3F689A28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AF5E2F"/>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AF5E2F"/>
    <w:rPr>
      <w:rFonts w:eastAsia="Times New Roman"/>
      <w:sz w:val="20"/>
      <w:szCs w:val="20"/>
    </w:rPr>
  </w:style>
  <w:style w:type="character" w:styleId="FootnoteReference">
    <w:name w:val="footnote reference"/>
    <w:aliases w:val="Footnote text,Footnote,Ref,de nota al pie,ftref,BearingPoint,16 Point,Superscript 6 Point,fr,Footnote Text1,f,(NECG) Footnote Reference, BVI fnr,footnote ref,BVI fnr,SUPERS,Footnote dich,Footnote + Arial,10 pt,Black,Знак сноски 1,R"/>
    <w:basedOn w:val="DefaultParagraphFont"/>
    <w:qFormat/>
    <w:rsid w:val="00AF5E2F"/>
    <w:rPr>
      <w:vertAlign w:val="superscript"/>
    </w:rPr>
  </w:style>
  <w:style w:type="character" w:styleId="Hyperlink">
    <w:name w:val="Hyperlink"/>
    <w:basedOn w:val="DefaultParagraphFont"/>
    <w:uiPriority w:val="99"/>
    <w:rsid w:val="00AF5E2F"/>
    <w:rPr>
      <w:color w:val="0000FF"/>
      <w:u w:val="single"/>
    </w:rPr>
  </w:style>
  <w:style w:type="paragraph" w:styleId="Header">
    <w:name w:val="header"/>
    <w:basedOn w:val="Normal"/>
    <w:link w:val="HeaderChar"/>
    <w:uiPriority w:val="99"/>
    <w:unhideWhenUsed/>
    <w:rsid w:val="00E723ED"/>
    <w:pPr>
      <w:tabs>
        <w:tab w:val="center" w:pos="4680"/>
        <w:tab w:val="right" w:pos="9360"/>
      </w:tabs>
    </w:pPr>
  </w:style>
  <w:style w:type="character" w:customStyle="1" w:styleId="HeaderChar">
    <w:name w:val="Header Char"/>
    <w:basedOn w:val="DefaultParagraphFont"/>
    <w:link w:val="Header"/>
    <w:uiPriority w:val="99"/>
    <w:rsid w:val="00E723ED"/>
    <w:rPr>
      <w:rFonts w:eastAsia="Times New Roman"/>
      <w:sz w:val="24"/>
      <w:szCs w:val="24"/>
    </w:rPr>
  </w:style>
  <w:style w:type="paragraph" w:styleId="Footer">
    <w:name w:val="footer"/>
    <w:basedOn w:val="Normal"/>
    <w:link w:val="FooterChar"/>
    <w:uiPriority w:val="99"/>
    <w:unhideWhenUsed/>
    <w:rsid w:val="00E723ED"/>
    <w:pPr>
      <w:tabs>
        <w:tab w:val="center" w:pos="4680"/>
        <w:tab w:val="right" w:pos="9360"/>
      </w:tabs>
    </w:pPr>
  </w:style>
  <w:style w:type="character" w:customStyle="1" w:styleId="FooterChar">
    <w:name w:val="Footer Char"/>
    <w:basedOn w:val="DefaultParagraphFont"/>
    <w:link w:val="Footer"/>
    <w:uiPriority w:val="99"/>
    <w:rsid w:val="00E723E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879D-9EEB-4C82-B3DA-D3C433A8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dcterms:created xsi:type="dcterms:W3CDTF">2019-07-08T00:43:00Z</dcterms:created>
  <dcterms:modified xsi:type="dcterms:W3CDTF">2019-07-12T14:38:00Z</dcterms:modified>
</cp:coreProperties>
</file>