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3271"/>
        <w:gridCol w:w="6017"/>
      </w:tblGrid>
      <w:tr>
        <w:trPr>
          <w:trHeight w:val="1244"/>
        </w:trPr>
        <w:tc>
          <w:tcPr>
            <w:tcW w:w="1761" w:type="pct"/>
          </w:tcPr>
          <w:p>
            <w:pPr>
              <w:jc w:val="center"/>
              <w:rPr>
                <w:b/>
                <w:sz w:val="26"/>
                <w:szCs w:val="26"/>
              </w:rPr>
            </w:pPr>
            <w:r>
              <w:rPr>
                <w:b/>
                <w:sz w:val="26"/>
                <w:szCs w:val="26"/>
              </w:rPr>
              <w:t>HỘI ĐỒNG NHÂN DÂN</w:t>
            </w:r>
          </w:p>
          <w:p>
            <w:pPr>
              <w:jc w:val="center"/>
              <w:rPr>
                <w:b/>
                <w:sz w:val="26"/>
                <w:szCs w:val="26"/>
              </w:rPr>
            </w:pPr>
            <w:r>
              <w:rPr>
                <w:b/>
                <w:sz w:val="26"/>
                <w:szCs w:val="26"/>
              </w:rPr>
              <w:t>TỈNH HÀ TĨNH</w:t>
            </w:r>
          </w:p>
          <w:p>
            <w:pPr>
              <w:jc w:val="center"/>
              <w:rPr>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654413</wp:posOffset>
                      </wp:positionH>
                      <wp:positionV relativeFrom="paragraph">
                        <wp:posOffset>53975</wp:posOffset>
                      </wp:positionV>
                      <wp:extent cx="631372" cy="0"/>
                      <wp:effectExtent l="0" t="0" r="165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4.25pt" to="101.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c8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"/>
                  </w:pict>
                </mc:Fallback>
              </mc:AlternateContent>
            </w:r>
          </w:p>
          <w:p>
            <w:pPr>
              <w:jc w:val="center"/>
              <w:rPr>
                <w:b/>
                <w:lang w:val="vi-VN"/>
              </w:rPr>
            </w:pPr>
            <w:r>
              <w:rPr>
                <w:sz w:val="26"/>
                <w:szCs w:val="26"/>
              </w:rPr>
              <w:t>Số: 356/BC-HĐND</w:t>
            </w:r>
          </w:p>
        </w:tc>
        <w:tc>
          <w:tcPr>
            <w:tcW w:w="3239" w:type="pct"/>
          </w:tcPr>
          <w:p>
            <w:pPr>
              <w:jc w:val="center"/>
              <w:rPr>
                <w:b/>
                <w:sz w:val="26"/>
                <w:szCs w:val="26"/>
                <w:lang w:val="vi-VN"/>
              </w:rPr>
            </w:pPr>
            <w:r>
              <w:rPr>
                <w:b/>
                <w:sz w:val="26"/>
                <w:szCs w:val="26"/>
                <w:lang w:val="vi-VN"/>
              </w:rPr>
              <w:t>CỘNG HÒA XÃ HỘI CHỦ NGHĨA VIỆT NAM</w:t>
            </w:r>
          </w:p>
          <w:p>
            <w:pPr>
              <w:jc w:val="center"/>
              <w:rPr>
                <w:b/>
                <w:sz w:val="26"/>
                <w:szCs w:val="26"/>
              </w:rPr>
            </w:pPr>
            <w:r>
              <w:rPr>
                <w:b/>
                <w:sz w:val="26"/>
                <w:szCs w:val="26"/>
              </w:rPr>
              <w:t>Độc lập - Tự do - Hạnh phúc</w:t>
            </w:r>
          </w:p>
          <w:p>
            <w:pPr>
              <w:tabs>
                <w:tab w:val="left" w:pos="1620"/>
              </w:tabs>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909955</wp:posOffset>
                      </wp:positionH>
                      <wp:positionV relativeFrom="paragraph">
                        <wp:posOffset>52705</wp:posOffset>
                      </wp:positionV>
                      <wp:extent cx="1838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4.15pt" to="216.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"/>
                  </w:pict>
                </mc:Fallback>
              </mc:AlternateContent>
            </w:r>
          </w:p>
          <w:p>
            <w:pPr>
              <w:jc w:val="center"/>
            </w:pPr>
            <w:r>
              <w:rPr>
                <w:i/>
                <w:sz w:val="26"/>
                <w:szCs w:val="26"/>
              </w:rPr>
              <w:t>Hà Tĩnh, ngày 11 tháng 7 năm 2023</w:t>
            </w:r>
          </w:p>
        </w:tc>
      </w:tr>
    </w:tbl>
    <w:p>
      <w:pPr>
        <w:jc w:val="center"/>
        <w:outlineLvl w:val="0"/>
        <w:rPr>
          <w:b/>
          <w:sz w:val="32"/>
          <w:lang w:val="vi-VN"/>
        </w:rPr>
      </w:pPr>
    </w:p>
    <w:p>
      <w:pPr>
        <w:jc w:val="center"/>
        <w:outlineLvl w:val="0"/>
        <w:rPr>
          <w:b/>
          <w:lang w:val="vi-VN"/>
        </w:rPr>
      </w:pPr>
      <w:r>
        <w:rPr>
          <w:b/>
          <w:lang w:val="vi-VN"/>
        </w:rPr>
        <w:t>BÁO CÁO</w:t>
      </w:r>
    </w:p>
    <w:p>
      <w:pPr>
        <w:pStyle w:val="BodyText"/>
        <w:widowControl w:val="0"/>
        <w:spacing w:before="60" w:line="216" w:lineRule="auto"/>
        <w:jc w:val="center"/>
        <w:rPr>
          <w:bCs/>
          <w:spacing w:val="-4"/>
          <w:sz w:val="28"/>
          <w:szCs w:val="28"/>
          <w:lang w:val="pt-BR"/>
        </w:rPr>
      </w:pPr>
      <w:r>
        <w:rPr>
          <w:b/>
          <w:spacing w:val="-2"/>
          <w:sz w:val="28"/>
          <w:szCs w:val="28"/>
          <w:lang w:val="vi-VN"/>
        </w:rPr>
        <w:t xml:space="preserve">Thẩm tra </w:t>
      </w:r>
      <w:r>
        <w:rPr>
          <w:b/>
          <w:iCs/>
          <w:spacing w:val="-2"/>
          <w:sz w:val="28"/>
          <w:szCs w:val="28"/>
          <w:lang w:val="vi-VN"/>
        </w:rPr>
        <w:t xml:space="preserve">Tờ trình và Dự thảo Nghị quyết </w:t>
      </w:r>
      <w:r>
        <w:rPr>
          <w:b/>
          <w:bCs/>
          <w:spacing w:val="-4"/>
          <w:sz w:val="28"/>
          <w:szCs w:val="28"/>
          <w:lang w:val="pt-BR"/>
        </w:rPr>
        <w:t>quyết định chủ trương đầu tư, điều chỉnh chủ trương đầu tư, bổ sung kế hoạch đầu tư công trung hạn và thông qua nội dung báo cáo nghiên cứu tiền khả thi một số dự án đầu tư công</w:t>
      </w:r>
    </w:p>
    <w:p>
      <w:pPr>
        <w:pStyle w:val="BodyText"/>
        <w:widowControl w:val="0"/>
        <w:jc w:val="center"/>
        <w:rPr>
          <w:b/>
          <w:bCs/>
          <w:spacing w:val="-2"/>
          <w:sz w:val="28"/>
          <w:szCs w:val="28"/>
        </w:rPr>
      </w:pPr>
      <w:r>
        <w:rPr>
          <w:b/>
          <w:noProof/>
          <w:spacing w:val="-2"/>
          <w:sz w:val="26"/>
          <w:szCs w:val="26"/>
        </w:rPr>
        <mc:AlternateContent>
          <mc:Choice Requires="wps">
            <w:drawing>
              <wp:anchor distT="0" distB="0" distL="114300" distR="114300" simplePos="0" relativeHeight="251662336" behindDoc="0" locked="0" layoutInCell="1" allowOverlap="1">
                <wp:simplePos x="0" y="0"/>
                <wp:positionH relativeFrom="column">
                  <wp:posOffset>1981835</wp:posOffset>
                </wp:positionH>
                <wp:positionV relativeFrom="paragraph">
                  <wp:posOffset>37134</wp:posOffset>
                </wp:positionV>
                <wp:extent cx="18383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05pt,2.9pt" to="300.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9G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"/>
            </w:pict>
          </mc:Fallback>
        </mc:AlternateContent>
      </w:r>
    </w:p>
    <w:p>
      <w:pPr>
        <w:spacing w:after="120" w:line="360" w:lineRule="exact"/>
        <w:ind w:firstLine="720"/>
        <w:jc w:val="both"/>
        <w:rPr>
          <w:lang w:val="vi-VN"/>
        </w:rPr>
      </w:pPr>
      <w:r>
        <w:rPr>
          <w:lang w:val="vi-VN"/>
        </w:rPr>
        <w:t xml:space="preserve">Thực hiện chức năng, nhiệm vụ theo quy định và phân công của Thường trực Hội đồng nhân dân tỉnh, Ban Kinh tế - Ngân sách báo cáo kết quả thẩm tra Tờ trình số </w:t>
      </w:r>
      <w:r>
        <w:t>294</w:t>
      </w:r>
      <w:r>
        <w:rPr>
          <w:lang w:val="vi-VN"/>
        </w:rPr>
        <w:t xml:space="preserve">/TTr-UBND ngày </w:t>
      </w:r>
      <w:r>
        <w:t>11</w:t>
      </w:r>
      <w:r>
        <w:rPr>
          <w:lang w:val="vi-VN"/>
        </w:rPr>
        <w:t>/</w:t>
      </w:r>
      <w:r>
        <w:t>7</w:t>
      </w:r>
      <w:r>
        <w:rPr>
          <w:lang w:val="vi-VN"/>
        </w:rPr>
        <w:t>/202</w:t>
      </w:r>
      <w:r>
        <w:t>3</w:t>
      </w:r>
      <w:r>
        <w:rPr>
          <w:lang w:val="vi-VN"/>
        </w:rPr>
        <w:t xml:space="preserve"> của Ủy ban nhân dân tỉnh và Dự thảo Nghị quyết </w:t>
      </w:r>
      <w:r>
        <w:rPr>
          <w:bCs/>
          <w:spacing w:val="-4"/>
          <w:lang w:val="pt-BR"/>
        </w:rPr>
        <w:t>quyết định chủ trương đầu tư, điều chỉnh chủ trương đầu tư, bổ sung kế hoạch đầu tư công trung hạn và thông qua nội dung báo cáo nghiên cứu tiền khả thi một số dự án đầu tư công</w:t>
      </w:r>
      <w:r>
        <w:rPr>
          <w:bCs/>
          <w:color w:val="000000"/>
          <w:spacing w:val="-4"/>
          <w:lang w:val="pt-BR"/>
        </w:rPr>
        <w:t xml:space="preserve"> </w:t>
      </w:r>
      <w:r>
        <w:rPr>
          <w:lang w:val="vi-VN"/>
        </w:rPr>
        <w:t>như sau:</w:t>
      </w:r>
    </w:p>
    <w:p>
      <w:pPr>
        <w:spacing w:after="120" w:line="360" w:lineRule="exact"/>
        <w:ind w:firstLine="720"/>
        <w:jc w:val="both"/>
        <w:rPr>
          <w:b/>
          <w:lang w:val="sq-AL"/>
        </w:rPr>
      </w:pPr>
      <w:bookmarkStart w:id="0" w:name="dieu_58"/>
      <w:r>
        <w:rPr>
          <w:b/>
          <w:lang w:val="pt-BR"/>
        </w:rPr>
        <w:t>1.</w:t>
      </w:r>
      <w:r>
        <w:rPr>
          <w:lang w:val="pt-BR"/>
        </w:rPr>
        <w:t xml:space="preserve"> </w:t>
      </w:r>
      <w:r>
        <w:rPr>
          <w:b/>
          <w:lang w:val="pt-BR"/>
        </w:rPr>
        <w:t>C</w:t>
      </w:r>
      <w:r>
        <w:rPr>
          <w:b/>
          <w:lang w:val="vi-VN"/>
        </w:rPr>
        <w:t xml:space="preserve">ăn cứ pháp lý, thẩm quyền, </w:t>
      </w:r>
      <w:r>
        <w:rPr>
          <w:b/>
          <w:iCs/>
          <w:lang w:val="vi-VN"/>
        </w:rPr>
        <w:t xml:space="preserve">sự cần thiết phải </w:t>
      </w:r>
      <w:r>
        <w:rPr>
          <w:b/>
          <w:bCs/>
          <w:color w:val="000000"/>
          <w:spacing w:val="-4"/>
          <w:lang w:val="pt-BR"/>
        </w:rPr>
        <w:t>quyết định chủ trương đầu tư, điều chỉnh chủ trương đầu tư</w:t>
      </w:r>
      <w:r>
        <w:rPr>
          <w:b/>
          <w:color w:val="000000"/>
          <w:lang w:val="pt-BR"/>
        </w:rPr>
        <w:t xml:space="preserve"> </w:t>
      </w:r>
      <w:r>
        <w:rPr>
          <w:b/>
          <w:bCs/>
          <w:color w:val="000000"/>
          <w:spacing w:val="-4"/>
          <w:lang w:val="pt-BR"/>
        </w:rPr>
        <w:t>một số dự án đầu tư công.</w:t>
      </w:r>
    </w:p>
    <w:p>
      <w:pPr>
        <w:spacing w:after="120" w:line="360" w:lineRule="exact"/>
        <w:ind w:firstLine="720"/>
        <w:jc w:val="both"/>
        <w:rPr>
          <w:color w:val="000000"/>
          <w:shd w:val="clear" w:color="auto" w:fill="FFFFFF"/>
          <w:lang w:val="sq-AL"/>
        </w:rPr>
      </w:pPr>
      <w:r>
        <w:rPr>
          <w:bCs/>
          <w:shd w:val="clear" w:color="auto" w:fill="FFFFFF"/>
          <w:lang w:val="vi-VN"/>
        </w:rPr>
        <w:t>Trình tự, thủ tục</w:t>
      </w:r>
      <w:r>
        <w:rPr>
          <w:bCs/>
          <w:shd w:val="clear" w:color="auto" w:fill="FFFFFF"/>
          <w:lang w:val="sq-AL"/>
        </w:rPr>
        <w:t>, thẩm quyền</w:t>
      </w:r>
      <w:r>
        <w:rPr>
          <w:bCs/>
          <w:shd w:val="clear" w:color="auto" w:fill="FFFFFF"/>
          <w:lang w:val="vi-VN"/>
        </w:rPr>
        <w:t xml:space="preserve"> </w:t>
      </w:r>
      <w:r>
        <w:rPr>
          <w:iCs/>
          <w:lang w:val="sq-AL"/>
        </w:rPr>
        <w:t>quyết định</w:t>
      </w:r>
      <w:r>
        <w:rPr>
          <w:lang w:val="vi-VN"/>
        </w:rPr>
        <w:t xml:space="preserve"> chủ trương đầu tư</w:t>
      </w:r>
      <w:r>
        <w:rPr>
          <w:iCs/>
          <w:lang w:val="sq-AL"/>
        </w:rPr>
        <w:t xml:space="preserve">, </w:t>
      </w:r>
      <w:r>
        <w:rPr>
          <w:lang w:val="sq-AL"/>
        </w:rPr>
        <w:t xml:space="preserve">điều chỉnh </w:t>
      </w:r>
      <w:r>
        <w:rPr>
          <w:lang w:val="vi-VN"/>
        </w:rPr>
        <w:t>chủ trương đầu tư</w:t>
      </w:r>
      <w:r>
        <w:t>, cho ý kiến về chủ trương đầu tư</w:t>
      </w:r>
      <w:r>
        <w:rPr>
          <w:lang w:val="vi-VN"/>
        </w:rPr>
        <w:t xml:space="preserve"> </w:t>
      </w:r>
      <w:r>
        <w:rPr>
          <w:bCs/>
          <w:shd w:val="clear" w:color="auto" w:fill="FFFFFF"/>
          <w:lang w:val="sq-AL"/>
        </w:rPr>
        <w:t xml:space="preserve">các dự án </w:t>
      </w:r>
      <w:r>
        <w:rPr>
          <w:lang w:val="vi-VN"/>
        </w:rPr>
        <w:t xml:space="preserve">đảm bảo quy định </w:t>
      </w:r>
      <w:r>
        <w:rPr>
          <w:lang w:val="sq-AL"/>
        </w:rPr>
        <w:t>tại Điều 27</w:t>
      </w:r>
      <w:r>
        <w:rPr>
          <w:rStyle w:val="FootnoteReference"/>
        </w:rPr>
        <w:footnoteReference w:id="1"/>
      </w:r>
      <w:r>
        <w:rPr>
          <w:lang w:val="sq-AL"/>
        </w:rPr>
        <w:t>, khoản 1</w:t>
      </w:r>
      <w:r>
        <w:rPr>
          <w:rStyle w:val="FootnoteReference"/>
        </w:rPr>
        <w:footnoteReference w:id="2"/>
      </w:r>
      <w:r>
        <w:rPr>
          <w:lang w:val="sq-AL"/>
        </w:rPr>
        <w:t xml:space="preserve"> Điều 34 và </w:t>
      </w:r>
      <w:r>
        <w:rPr>
          <w:iCs/>
        </w:rPr>
        <w:t>điểm c</w:t>
      </w:r>
      <w:r>
        <w:rPr>
          <w:rStyle w:val="FootnoteReference"/>
          <w:iCs/>
        </w:rPr>
        <w:footnoteReference w:id="3"/>
      </w:r>
      <w:r>
        <w:rPr>
          <w:iCs/>
        </w:rPr>
        <w:t xml:space="preserve">, khoản 1 Điều 23 </w:t>
      </w:r>
      <w:r>
        <w:rPr>
          <w:lang w:val="sq-AL"/>
        </w:rPr>
        <w:t>của</w:t>
      </w:r>
      <w:r>
        <w:rPr>
          <w:lang w:val="vi-VN"/>
        </w:rPr>
        <w:t xml:space="preserve"> Luật Đầu tư công</w:t>
      </w:r>
      <w:r>
        <w:rPr>
          <w:lang w:val="sq-AL"/>
        </w:rPr>
        <w:t xml:space="preserve"> năm 2019</w:t>
      </w:r>
      <w:bookmarkStart w:id="1" w:name="loai_1_name"/>
      <w:r>
        <w:rPr>
          <w:color w:val="000000"/>
          <w:shd w:val="clear" w:color="auto" w:fill="FFFFFF"/>
          <w:lang w:val="sq-AL"/>
        </w:rPr>
        <w:t>.</w:t>
      </w:r>
      <w:bookmarkEnd w:id="1"/>
    </w:p>
    <w:p>
      <w:pPr>
        <w:spacing w:after="120" w:line="360" w:lineRule="exact"/>
        <w:ind w:firstLine="720"/>
        <w:jc w:val="both"/>
      </w:pPr>
      <w:r>
        <w:rPr>
          <w:i/>
        </w:rPr>
        <w:t>Ủy ban nhân dân tỉnh trình Hội đồng nhân dân tỉnh quyết định chủ trương đầu tư 9 dự án</w:t>
      </w:r>
      <w:r>
        <w:rPr>
          <w:rStyle w:val="FootnoteReference"/>
          <w:i/>
        </w:rPr>
        <w:footnoteReference w:id="4"/>
      </w:r>
      <w:r>
        <w:rPr>
          <w:i/>
        </w:rPr>
        <w:t>, điều chỉnh chủ trương đầu tư 06 dự án</w:t>
      </w:r>
      <w:r>
        <w:rPr>
          <w:rStyle w:val="FootnoteReference"/>
          <w:i/>
        </w:rPr>
        <w:footnoteReference w:id="5"/>
      </w:r>
      <w:r>
        <w:rPr>
          <w:i/>
        </w:rPr>
        <w:t xml:space="preserve">, cho ý kiến về </w:t>
      </w:r>
      <w:r>
        <w:rPr>
          <w:i/>
        </w:rPr>
        <w:lastRenderedPageBreak/>
        <w:t>chủ trương đầu tư 01 dự án</w:t>
      </w:r>
      <w:r>
        <w:rPr>
          <w:rStyle w:val="FootnoteReference"/>
          <w:i/>
        </w:rPr>
        <w:footnoteReference w:id="6"/>
      </w:r>
      <w:r>
        <w:rPr>
          <w:i/>
        </w:rPr>
        <w:t xml:space="preserve">; </w:t>
      </w:r>
      <w:r>
        <w:t>đã được</w:t>
      </w:r>
      <w:r>
        <w:rPr>
          <w:color w:val="000000"/>
          <w:lang w:val="pt-BR"/>
        </w:rPr>
        <w:t xml:space="preserve"> Ban Chấp hành Đảng bộ tỉnh thống nhất</w:t>
      </w:r>
      <w:r>
        <w:rPr>
          <w:rStyle w:val="FootnoteReference"/>
          <w:color w:val="000000"/>
          <w:lang w:val="pt-BR"/>
        </w:rPr>
        <w:footnoteReference w:id="7"/>
      </w:r>
      <w:r>
        <w:rPr>
          <w:color w:val="000000"/>
          <w:lang w:val="pt-BR"/>
        </w:rPr>
        <w:t>; Ban Thường vụ</w:t>
      </w:r>
      <w:r>
        <w:rPr>
          <w:rStyle w:val="FootnoteReference"/>
          <w:color w:val="000000"/>
          <w:lang w:val="pt-BR"/>
        </w:rPr>
        <w:footnoteReference w:id="8"/>
      </w:r>
      <w:r>
        <w:rPr>
          <w:color w:val="000000"/>
          <w:lang w:val="pt-BR"/>
        </w:rPr>
        <w:t>, Thường trực Tỉnh ủy</w:t>
      </w:r>
      <w:r>
        <w:rPr>
          <w:rStyle w:val="FootnoteReference"/>
          <w:color w:val="000000"/>
          <w:lang w:val="pt-BR"/>
        </w:rPr>
        <w:footnoteReference w:id="9"/>
      </w:r>
      <w:r>
        <w:rPr>
          <w:color w:val="000000"/>
          <w:lang w:val="pt-BR"/>
        </w:rPr>
        <w:t xml:space="preserve"> có ý kiến theo thẩm quyền;</w:t>
      </w:r>
      <w:r>
        <w:t xml:space="preserve"> Ban Kinh tế - Ngân sách phối hợp với Sở Kế hoạch – Đầu tư, Sở Tài chính khảo sát thực tế hiện trường một số dự án; nghiên cứu các hồ sơ, tài liệu liên quan cho thấy</w:t>
      </w:r>
      <w:r>
        <w:rPr>
          <w:iCs/>
        </w:rPr>
        <w:t xml:space="preserve"> đây là các dự án quan trọng, cần thiết, có tác động lan tỏa; </w:t>
      </w:r>
      <w:r>
        <w:t xml:space="preserve">giải quyết điểm nghẽn giao thông; kết nối giữa các khu trung tâm kinh tế, chính trị của địa phương, là tuyến đường huyết mạch; </w:t>
      </w:r>
      <w:r>
        <w:rPr>
          <w:iCs/>
        </w:rPr>
        <w:t xml:space="preserve"> </w:t>
      </w:r>
      <w:r>
        <w:t>ứng dụng công nghệ thông tin, thực hiện chuyển đổi số</w:t>
      </w:r>
      <w:r>
        <w:rPr>
          <w:iCs/>
        </w:rPr>
        <w:t>; phù hợp với các quy hoạch chuyên ngành, quy hoạch sử dụng đất...</w:t>
      </w:r>
    </w:p>
    <w:p>
      <w:pPr>
        <w:spacing w:after="120" w:line="360" w:lineRule="exact"/>
        <w:ind w:firstLine="720"/>
        <w:jc w:val="both"/>
        <w:outlineLvl w:val="0"/>
        <w:rPr>
          <w:b/>
          <w:shd w:val="clear" w:color="auto" w:fill="FFFFFF"/>
        </w:rPr>
      </w:pPr>
      <w:bookmarkStart w:id="2" w:name="dieu_22"/>
      <w:r>
        <w:rPr>
          <w:b/>
          <w:iCs/>
        </w:rPr>
        <w:t>2</w:t>
      </w:r>
      <w:r>
        <w:rPr>
          <w:b/>
          <w:lang w:val="pt-BR"/>
        </w:rPr>
        <w:t xml:space="preserve">. Về </w:t>
      </w:r>
      <w:r>
        <w:rPr>
          <w:b/>
          <w:iCs/>
        </w:rPr>
        <w:t>sự phù hợp quy hoạch, kế hoạch;</w:t>
      </w:r>
      <w:r>
        <w:rPr>
          <w:b/>
          <w:shd w:val="clear" w:color="auto" w:fill="FFFFFF"/>
        </w:rPr>
        <w:t xml:space="preserve"> mục tiêu, phạm vi, quy mô, dự kiến tổng mức vốn và cơ cấu nguồn; tiến độ và nội dung của báo cáo đề xuất chủ trương đầu tư các dự án.</w:t>
      </w:r>
    </w:p>
    <w:p>
      <w:pPr>
        <w:spacing w:after="120" w:line="360" w:lineRule="exact"/>
        <w:ind w:firstLine="720"/>
        <w:jc w:val="both"/>
        <w:rPr>
          <w:color w:val="000000"/>
          <w:shd w:val="clear" w:color="auto" w:fill="FFFFFF"/>
        </w:rPr>
      </w:pPr>
      <w:r>
        <w:rPr>
          <w:lang w:val="es-ES"/>
        </w:rPr>
        <w:t xml:space="preserve">Các </w:t>
      </w:r>
      <w:r>
        <w:t>dự án cơ bản phù hợp với quy</w:t>
      </w:r>
      <w:r>
        <w:rPr>
          <w:lang w:val="vi-VN"/>
        </w:rPr>
        <w:t xml:space="preserve"> hoạch</w:t>
      </w:r>
      <w:r>
        <w:rPr>
          <w:color w:val="000000"/>
          <w:shd w:val="clear" w:color="auto" w:fill="FFFFFF"/>
        </w:rPr>
        <w:t>, kế hoạch phát triển kinh tế - xã hội, quy hoạch, kế hoạch sử dụng đất; đã được các cơ quan chuyên môn của Ủy ban nhân dân tỉnh kiểm tra, thẩm định cho ý kiến và cơ quan lập báo cáo đề xuất chủ trương đầu tư tiếp thu hoàn thiện. Ban Kinh tế - Ngân sách cơ bản thống nhất với ý kiến thẩm định của cơ quan chuyên môn về báo cáo đề xuất chủ trương đầu tư, điều chỉnh chủ trương đầu tư các dự án; đồng thời đề nghị quan tâm một số nội dung sau:</w:t>
      </w:r>
    </w:p>
    <w:p>
      <w:pPr>
        <w:widowControl w:val="0"/>
        <w:spacing w:after="120" w:line="360" w:lineRule="exact"/>
        <w:ind w:firstLine="720"/>
        <w:jc w:val="both"/>
        <w:rPr>
          <w:lang w:eastAsia="vi-VN"/>
        </w:rPr>
      </w:pPr>
      <w:r>
        <w:rPr>
          <w:lang w:val="nl-NL"/>
        </w:rPr>
        <w:t xml:space="preserve">Đây là các dự án khởi công mới, dự án điều chỉnh chủ trương đề xuất sử dụng </w:t>
      </w:r>
      <w:r>
        <w:rPr>
          <w:lang w:eastAsia="vi-VN"/>
        </w:rPr>
        <w:t>từ nguồn tăng thu, tiết kiệm chi ngân sách cấp tỉnh và nguồn vốn ngân sách cấp huyện. Tuy vậy, nguồn tăng thu, tiết kiệm chi phụ thuộc vào quá trình điều hành ngân sách hàng năm, có tính chất không ổn định, ngoại trừ nguồn của năm 2021, 2022 đã được xác định và xây dựng phương án sử dụng.</w:t>
      </w:r>
    </w:p>
    <w:p>
      <w:pPr>
        <w:widowControl w:val="0"/>
        <w:spacing w:after="120" w:line="360" w:lineRule="exact"/>
        <w:ind w:firstLine="720"/>
        <w:jc w:val="both"/>
      </w:pPr>
      <w:r>
        <w:rPr>
          <w:lang w:eastAsia="vi-VN"/>
        </w:rPr>
        <w:t>Theo báo cáo của Ủy ban nhân dân tỉnh</w:t>
      </w:r>
      <w:r>
        <w:rPr>
          <w:rStyle w:val="FootnoteReference"/>
          <w:lang w:eastAsia="vi-VN"/>
        </w:rPr>
        <w:footnoteReference w:id="10"/>
      </w:r>
      <w:r>
        <w:rPr>
          <w:lang w:eastAsia="vi-VN"/>
        </w:rPr>
        <w:t xml:space="preserve"> </w:t>
      </w:r>
      <w:r>
        <w:t>nguồn tăng thu, tiết kiệm chi ngân sách tỉnh năm 2021, 2022 là 4.926.786 triệu đồng</w:t>
      </w:r>
      <w:r>
        <w:rPr>
          <w:rStyle w:val="FootnoteReference"/>
        </w:rPr>
        <w:footnoteReference w:id="11"/>
      </w:r>
      <w:r>
        <w:t xml:space="preserve"> và dự kiến giai đoạn 2023-2025 là 5.600.000 triệu đồng</w:t>
      </w:r>
      <w:r>
        <w:rPr>
          <w:rStyle w:val="FootnoteReference"/>
        </w:rPr>
        <w:footnoteReference w:id="12"/>
      </w:r>
      <w:r>
        <w:t>. Thường trực Hội đồng nhân dân tỉnh đã có Văn bản số 298/HĐND-HĐ</w:t>
      </w:r>
      <w:r>
        <w:rPr>
          <w:vertAlign w:val="subscript"/>
        </w:rPr>
        <w:t>1</w:t>
      </w:r>
      <w:r>
        <w:t xml:space="preserve"> ngày 29/6/2023, theo đó đề nghị Ủy ban nhân dân tỉnh đảm bảo nguồn vốn thực hiện các nhiệm vụ quy định tại điểm a, b, c, d khoản 2 Điều 59 Luật Ngân sách Nhà nước năm 2015; Phần còn lại tăng chi cho đầu tư, xây dựng theo nguyên tắc, tiêu chí phân bổ, đảm bảo quy định tại Nghị quyết số 245/2020/NQ-HĐND ngày 08/12/2020 và Nghị quyết số </w:t>
      </w:r>
      <w:r>
        <w:lastRenderedPageBreak/>
        <w:t>68/2022/NQHĐND ngày 15/7/2022 của Hội đồng nhân dân tỉnh, trong đó ưu tiên bố trí đủ phần vốn còn thiếu (phần ngân sách tỉnh đảm bảo) cho các dự án thuộc Kế hoạch đầu tư công trung hạn nguồn NSTW, NSĐP giai đoạn 2021-2025…;</w:t>
      </w:r>
    </w:p>
    <w:p>
      <w:pPr>
        <w:widowControl w:val="0"/>
        <w:spacing w:after="120" w:line="360" w:lineRule="exact"/>
        <w:ind w:firstLine="720"/>
        <w:jc w:val="both"/>
        <w:rPr>
          <w:bCs/>
        </w:rPr>
      </w:pPr>
      <w:r>
        <w:t xml:space="preserve">Theo phương án do Ủy ban nhân dân tỉnh trình, nguồn vốn tăng thu, tiết kiệm chi và cơ cấu nguồn vốn cho thấy: </w:t>
      </w:r>
      <w:r>
        <w:rPr>
          <w:color w:val="000000"/>
        </w:rPr>
        <w:t xml:space="preserve">Dự kiến </w:t>
      </w:r>
      <w:r>
        <w:rPr>
          <w:bCs/>
          <w:spacing w:val="2"/>
        </w:rPr>
        <w:t xml:space="preserve">bố trí </w:t>
      </w:r>
      <w:r>
        <w:rPr>
          <w:b/>
          <w:bCs/>
          <w:spacing w:val="2"/>
        </w:rPr>
        <w:t>2.021.844</w:t>
      </w:r>
      <w:r>
        <w:rPr>
          <w:bCs/>
          <w:spacing w:val="2"/>
        </w:rPr>
        <w:t xml:space="preserve"> triệu đồng cho </w:t>
      </w:r>
      <w:r>
        <w:rPr>
          <w:bCs/>
        </w:rPr>
        <w:t>15 dự án (bao gồm cả các dự án đề xuất điều chỉnh tăng tổng mức đầu tư); trong khi nhu cầu đầu tư của các dự án này là 2.553.417 triệu đồng. Như vậy, có 531.573 triệu đồng phải bố trí trong Kế hoạch Đầu tư công trung hạn giai đoạn 2026-2030.</w:t>
      </w:r>
    </w:p>
    <w:p>
      <w:pPr>
        <w:widowControl w:val="0"/>
        <w:spacing w:after="120" w:line="360" w:lineRule="exact"/>
        <w:ind w:firstLine="720"/>
        <w:jc w:val="both"/>
        <w:rPr>
          <w:lang w:eastAsia="vi-VN"/>
        </w:rPr>
      </w:pPr>
      <w:r>
        <w:rPr>
          <w:bCs/>
        </w:rPr>
        <w:t xml:space="preserve">Ban Kinh tế - Ngân sách cho rằng song song với việc bố trí đủ vốn cho Kế hoạch đầu tư công trung hạn giai đoạn 2016-2020, cần dự kiến một số dự án chuyển tiếp thực hiện trong giai đoạn 2026-2030. Do đó, phương án vốn quyết định chủ trương đầu tư lần này là phù hợp; Đối với phần vốn thực hiện sau năm 2025 </w:t>
      </w:r>
      <w:r>
        <w:t xml:space="preserve">đề nghị xác định rõ từ các nguồn: Nguồn xây dựng cơ bản tập trung hoặc tiền sử dụng đất, </w:t>
      </w:r>
      <w:r>
        <w:rPr>
          <w:bCs/>
        </w:rPr>
        <w:t>để có thể đưa vào Kế hoạch đầu tư công trung hạn giai đoạn 2026-2030 (</w:t>
      </w:r>
      <w:r>
        <w:t>vì ngay đầu kỳ chưa thể có nguồn tăng thu, tiết kiệm chi)</w:t>
      </w:r>
      <w:r>
        <w:rPr>
          <w:bCs/>
        </w:rPr>
        <w:t xml:space="preserve">. </w:t>
      </w:r>
      <w:r>
        <w:rPr>
          <w:lang w:eastAsia="vi-VN"/>
        </w:rPr>
        <w:t>Đồng thời, Ban đề nghị Ủy ban nhân dân tỉnh quan tâm một số nội dung cụ thể sau:</w:t>
      </w:r>
    </w:p>
    <w:p>
      <w:pPr>
        <w:spacing w:after="120" w:line="360" w:lineRule="exact"/>
        <w:ind w:firstLine="720"/>
        <w:jc w:val="both"/>
        <w:rPr>
          <w:b/>
        </w:rPr>
      </w:pPr>
      <w:r>
        <w:rPr>
          <w:b/>
          <w:color w:val="000000"/>
          <w:shd w:val="clear" w:color="auto" w:fill="FFFFFF"/>
        </w:rPr>
        <w:t>2.1. Đối với việc</w:t>
      </w:r>
      <w:r>
        <w:rPr>
          <w:color w:val="000000"/>
          <w:shd w:val="clear" w:color="auto" w:fill="FFFFFF"/>
        </w:rPr>
        <w:t xml:space="preserve"> </w:t>
      </w:r>
      <w:r>
        <w:rPr>
          <w:b/>
        </w:rPr>
        <w:t>quyết định chủ trương đầu tư 9 dự án</w:t>
      </w:r>
    </w:p>
    <w:p>
      <w:pPr>
        <w:spacing w:after="120" w:line="360" w:lineRule="exact"/>
        <w:ind w:firstLine="720"/>
        <w:jc w:val="both"/>
      </w:pPr>
      <w:r>
        <w:rPr>
          <w:i/>
          <w:lang w:val="pt-BR"/>
        </w:rPr>
        <w:t>(</w:t>
      </w:r>
      <w:r>
        <w:rPr>
          <w:i/>
          <w:lang w:val="nl-NL"/>
        </w:rPr>
        <w:t xml:space="preserve">1). </w:t>
      </w:r>
      <w:r>
        <w:rPr>
          <w:i/>
        </w:rPr>
        <w:t xml:space="preserve">Đường Xô Viết Nghệ Tĩnh kéo dài về phía Đông: </w:t>
      </w:r>
      <w:r>
        <w:t>Dự án đề xuất có điểm đấu nối với Quốc lộ 15B tại lý trình khoảng Km29+00; chưa có trong danh mục các điểm đấu nối được phê duyệt. Đề nghị UBND tỉnh khẩn trương trình Bộ Giao thông vận tải bổ sung quy hoạch đấu nối của dự án với tuyến đường Quốc lộ 15B theo đúng quy định, làm cơ sở triển khai đầu tư theo đúng kế hoạch, lộ trình.</w:t>
      </w:r>
    </w:p>
    <w:p>
      <w:pPr>
        <w:spacing w:after="120" w:line="360" w:lineRule="exact"/>
        <w:ind w:firstLine="720"/>
        <w:jc w:val="both"/>
      </w:pPr>
      <w:r>
        <w:rPr>
          <w:i/>
          <w:lang w:val="nl-NL"/>
        </w:rPr>
        <w:t xml:space="preserve">(2). </w:t>
      </w:r>
      <w:r>
        <w:rPr>
          <w:i/>
        </w:rPr>
        <w:t>Cầu vượt lũ Phố Giang, huyện Hương Sơn:</w:t>
      </w:r>
      <w:r>
        <w:t xml:space="preserve"> Phạm vi xây dựng cầu và đường hai đầu cầu Phố Giang giai đoạn này cần nghiên cứu hướng tuyến tổng thể theo quy mô quy hoạch hoàn chỉnh (nền đường 30m) để đảm bảo phù hợp với điều kiện hiện trường (địa hình, địa chất, thủy văn), tránh trường hợp làm phát sinh tăng kinh phí giải phóng mặt bằng (GPMB) khi đầu tư hoàn chỉnh tuyến đường trong tương lai.</w:t>
      </w:r>
    </w:p>
    <w:p>
      <w:pPr>
        <w:spacing w:after="120" w:line="360" w:lineRule="exact"/>
        <w:ind w:firstLine="720"/>
        <w:jc w:val="both"/>
      </w:pPr>
      <w:r>
        <w:t>Về chi phí GPMB, đề nghị Ủy ban nhân dân huyện Hương Sơn điều tra khảo sát, soát xét kỹ lưỡng (nhất là đối với phần diện tích đất ở), tránh trường hợp khi thực hiện phát sinh tăng kinh phí GPMB làm vượt tổng mức đầu tư dự án.</w:t>
      </w:r>
    </w:p>
    <w:p>
      <w:pPr>
        <w:spacing w:after="120" w:line="360" w:lineRule="exact"/>
        <w:ind w:firstLine="720"/>
        <w:jc w:val="both"/>
      </w:pPr>
      <w:r>
        <w:rPr>
          <w:lang w:val="nl-NL"/>
        </w:rPr>
        <w:t xml:space="preserve">(3). </w:t>
      </w:r>
      <w:r>
        <w:rPr>
          <w:i/>
        </w:rPr>
        <w:t xml:space="preserve">Đường giao thông liên xã Khánh Vĩnh Yên, Thanh Lộc đi thị xã Hồng Lĩnh: </w:t>
      </w:r>
      <w:r>
        <w:t xml:space="preserve">Dự án chưa có trong kế hoạch sử dụng đất năm 2023 huyện Can Lộc tại </w:t>
      </w:r>
      <w:r>
        <w:lastRenderedPageBreak/>
        <w:t>Quyết định số 1120/QĐ-UBND ngày 18/5/2023 của Ủy ban nhân dân tỉnh, đề nghị khẩn trương bổ sung trước khi quyết định đầu tư.</w:t>
      </w:r>
    </w:p>
    <w:p>
      <w:pPr>
        <w:spacing w:after="120" w:line="360" w:lineRule="exact"/>
        <w:ind w:firstLine="720"/>
        <w:jc w:val="both"/>
      </w:pPr>
      <w:r>
        <w:t>Các điểm đấu nối vào ĐT.548 tại Km17+074(P) và đấu nối vào QL.281: (1) tại Km31+680(P) và (2) tại Km32+310(P) đề nghị có phương án cải tạo nút giao phù hợp; Bình đồ và mặt cắt dọc đề nghị bố trí đảm bảo đạt tiêu chuẩn đường cấp V đồng bằng theo tiêu chuẩn TCVN 4054:2005.</w:t>
      </w:r>
    </w:p>
    <w:p>
      <w:pPr>
        <w:spacing w:after="120" w:line="360" w:lineRule="exact"/>
        <w:ind w:firstLine="720"/>
        <w:jc w:val="both"/>
        <w:rPr>
          <w:lang w:val="sq-AL"/>
        </w:rPr>
      </w:pPr>
      <w:r>
        <w:rPr>
          <w:i/>
          <w:lang w:val="nl-NL"/>
        </w:rPr>
        <w:t xml:space="preserve">(4) </w:t>
      </w:r>
      <w:r>
        <w:rPr>
          <w:i/>
        </w:rPr>
        <w:t>Đầu tư xây dựng một số hạng mục Trường THPT Phan Đình Phùng:</w:t>
      </w:r>
      <w:r>
        <w:t xml:space="preserve"> Thực hiện phá dỡ và xây dựng mới, vì vậy </w:t>
      </w:r>
      <w:r>
        <w:rPr>
          <w:lang w:val="pt-BR"/>
        </w:rPr>
        <w:t>việc quyết định chủ trương đầu tư</w:t>
      </w:r>
      <w:r>
        <w:rPr>
          <w:i/>
          <w:lang w:val="pt-BR"/>
        </w:rPr>
        <w:t xml:space="preserve"> </w:t>
      </w:r>
      <w:r>
        <w:rPr>
          <w:lang w:val="pt-BR"/>
        </w:rPr>
        <w:t xml:space="preserve">đề nghị quy mô bám sát tiêu </w:t>
      </w:r>
      <w:r>
        <w:rPr>
          <w:lang w:val="sq-AL"/>
        </w:rPr>
        <w:t xml:space="preserve">chuẩn TCVN 8794:2011; theo đó: </w:t>
      </w:r>
    </w:p>
    <w:p>
      <w:pPr>
        <w:spacing w:after="120" w:line="360" w:lineRule="exact"/>
        <w:ind w:firstLine="720"/>
        <w:jc w:val="both"/>
        <w:rPr>
          <w:lang w:val="sq-AL"/>
        </w:rPr>
      </w:pPr>
      <w:r>
        <w:rPr>
          <w:lang w:val="sq-AL"/>
        </w:rPr>
        <w:t>Chỉ tiêu quy hoạch trường trong tương lai phải đáp ứng cho khoảng 4.500  đến 6.000 học sinh (hiện nay quy mô trường đang là 39 lớp với gần 1.600 học sinh); Diện tích khu đất tối thiểu 6 m</w:t>
      </w:r>
      <w:r>
        <w:rPr>
          <w:vertAlign w:val="superscript"/>
          <w:lang w:val="sq-AL"/>
        </w:rPr>
        <w:t>2</w:t>
      </w:r>
      <w:r>
        <w:rPr>
          <w:lang w:val="sq-AL"/>
        </w:rPr>
        <w:t>/học sinh. Như vậy, diện tích khu đất hiện là 14.951 m</w:t>
      </w:r>
      <w:r>
        <w:rPr>
          <w:vertAlign w:val="superscript"/>
          <w:lang w:val="sq-AL"/>
        </w:rPr>
        <w:t>2</w:t>
      </w:r>
      <w:r>
        <w:rPr>
          <w:lang w:val="sq-AL"/>
        </w:rPr>
        <w:t>, xét theo tiêu chuẩn diện tích khu đất quy hoạch chưa đảm bảo (diện tích tối thiểu phải là 27.000 m</w:t>
      </w:r>
      <w:r>
        <w:rPr>
          <w:vertAlign w:val="superscript"/>
          <w:lang w:val="sq-AL"/>
        </w:rPr>
        <w:t>2</w:t>
      </w:r>
      <w:r>
        <w:rPr>
          <w:lang w:val="sq-AL"/>
        </w:rPr>
        <w:t>).</w:t>
      </w:r>
    </w:p>
    <w:p>
      <w:pPr>
        <w:spacing w:after="120" w:line="360" w:lineRule="exact"/>
        <w:ind w:firstLine="720"/>
        <w:jc w:val="both"/>
        <w:rPr>
          <w:lang w:val="pt-BR"/>
        </w:rPr>
      </w:pPr>
      <w:r>
        <w:rPr>
          <w:lang w:val="sq-AL"/>
        </w:rPr>
        <w:t>Quá trình thiết kế phải đảm bảo diện tích sử dụng đất xây dựng công trình không quá 45% tổng khu đất, diện tích cây xanh không nhỏ hơn 30%; diện tích sân chơi nội bộ không nhỏ hơn 25%...</w:t>
      </w:r>
    </w:p>
    <w:p>
      <w:pPr>
        <w:spacing w:after="120" w:line="360" w:lineRule="exact"/>
        <w:ind w:firstLine="720"/>
        <w:jc w:val="both"/>
        <w:rPr>
          <w:lang w:val="pt-BR"/>
        </w:rPr>
      </w:pPr>
      <w:r>
        <w:rPr>
          <w:lang w:val="pt-BR"/>
        </w:rPr>
        <w:t xml:space="preserve">(5). </w:t>
      </w:r>
      <w:r>
        <w:rPr>
          <w:i/>
        </w:rPr>
        <w:t>Dự án Đẩy mạnh ứng dụng công nghệ thông tin trong hoạt động của các cơ quan Đảng, Mặt trận Tổ quốc, các tổ chức chính trị - xã hội tỉnh Hà Tĩnh giai đoạn 2022 - 2025</w:t>
      </w:r>
      <w:r>
        <w:rPr>
          <w:lang w:val="pt-BR"/>
        </w:rPr>
        <w:t xml:space="preserve">: </w:t>
      </w:r>
      <w:r>
        <w:t>Đây là dự án ứng dụng công nghệ thông tin (không có cấu phần xây dựng); theo đó, đối với các hạng mục chi phí thiết bị của dự án, sau khi dự án được phê duyệt chủ trương đầu tư, việc mua sắm tài sản công tại cơ quan Đảng đề nghị thực hiện đúng theo quy định</w:t>
      </w:r>
      <w:r>
        <w:rPr>
          <w:rStyle w:val="FootnoteReference"/>
        </w:rPr>
        <w:footnoteReference w:id="13"/>
      </w:r>
      <w:r>
        <w:t>.</w:t>
      </w:r>
    </w:p>
    <w:p>
      <w:pPr>
        <w:pStyle w:val="NormalWeb"/>
        <w:shd w:val="clear" w:color="auto" w:fill="FFFFFF"/>
        <w:spacing w:before="0" w:beforeAutospacing="0" w:after="120" w:afterAutospacing="0" w:line="360" w:lineRule="exact"/>
        <w:ind w:firstLine="720"/>
        <w:jc w:val="both"/>
        <w:rPr>
          <w:sz w:val="28"/>
          <w:szCs w:val="28"/>
          <w:lang w:val="sq-AL"/>
        </w:rPr>
      </w:pPr>
      <w:r>
        <w:rPr>
          <w:i/>
          <w:sz w:val="28"/>
          <w:szCs w:val="28"/>
        </w:rPr>
        <w:t>(6). Nhà làm việc 2 tầng và các hạng mục phụ trợ - Trụ sở làm việc Ban Quản lý dự án đầu tư xây dựng khu vực Khu kinh tế tỉnh</w:t>
      </w:r>
      <w:r>
        <w:rPr>
          <w:sz w:val="28"/>
          <w:szCs w:val="28"/>
        </w:rPr>
        <w:t xml:space="preserve">: </w:t>
      </w:r>
      <w:r>
        <w:rPr>
          <w:sz w:val="28"/>
          <w:szCs w:val="28"/>
          <w:lang w:val="pt-BR"/>
        </w:rPr>
        <w:t>trong quá trình thiết kế, quyết định đầu tư</w:t>
      </w:r>
      <w:r>
        <w:rPr>
          <w:i/>
          <w:sz w:val="28"/>
          <w:szCs w:val="28"/>
          <w:lang w:val="pt-BR"/>
        </w:rPr>
        <w:t xml:space="preserve"> </w:t>
      </w:r>
      <w:r>
        <w:rPr>
          <w:sz w:val="28"/>
          <w:szCs w:val="28"/>
          <w:lang w:val="pt-BR"/>
        </w:rPr>
        <w:t xml:space="preserve">đề nghị bám sát tiêu </w:t>
      </w:r>
      <w:r>
        <w:rPr>
          <w:sz w:val="28"/>
          <w:szCs w:val="28"/>
          <w:lang w:val="sq-AL"/>
        </w:rPr>
        <w:t>chuẩn TCVN 4601:2012; theo đó:</w:t>
      </w:r>
    </w:p>
    <w:p>
      <w:pPr>
        <w:spacing w:after="120" w:line="360" w:lineRule="exact"/>
        <w:ind w:firstLine="720"/>
        <w:jc w:val="both"/>
        <w:rPr>
          <w:lang w:val="sq-AL"/>
        </w:rPr>
      </w:pPr>
      <w:r>
        <w:rPr>
          <w:lang w:val="sq-AL"/>
        </w:rPr>
        <w:t xml:space="preserve">Trên cơ sở số lượng cán bộ </w:t>
      </w:r>
      <w:r>
        <w:t>Ban Quản lý dự án đầu tư xây dựng khu vực Khu kinh tế tỉnh</w:t>
      </w:r>
      <w:r>
        <w:rPr>
          <w:lang w:val="sq-AL"/>
        </w:rPr>
        <w:t xml:space="preserve"> xác định diện tích sử dụng làm việc (Diện tích các phòng làm việc bố trí theo chức danh và được quy định rõ tại TCVN 4601:2012). Đảm bảo diện tích bộ phận công cộng và kỹ thuật, diện tích bộ phận phục vụ và phụ trợ; </w:t>
      </w:r>
    </w:p>
    <w:p>
      <w:pPr>
        <w:spacing w:after="120" w:line="360" w:lineRule="exact"/>
        <w:ind w:firstLine="720"/>
        <w:jc w:val="both"/>
        <w:rPr>
          <w:lang w:val="sq-AL"/>
        </w:rPr>
      </w:pPr>
      <w:r>
        <w:rPr>
          <w:lang w:val="sq-AL"/>
        </w:rPr>
        <w:lastRenderedPageBreak/>
        <w:t>Quy hoạch tổng thể mặt bằng cần xác định rõ diện tích xây dựng/diện tích khu đất, trong đó lưu ý: Diện tích xây dựng công trình không lớn hơn 70% diện tích khu đất, Quy hoạch tổng mặt bằng phải đảm bảo mật độ xây dựng hợp lý cho từng cấp công trình, đảm bảo mật độ cây xanh tối thiểu 30%.</w:t>
      </w:r>
    </w:p>
    <w:p>
      <w:pPr>
        <w:spacing w:after="120" w:line="360" w:lineRule="exact"/>
        <w:ind w:firstLine="720"/>
        <w:jc w:val="both"/>
      </w:pPr>
      <w:r>
        <w:rPr>
          <w:lang w:val="sq-AL"/>
        </w:rPr>
        <w:t xml:space="preserve">Đề nghị quan tâm xử lý </w:t>
      </w:r>
      <w:r>
        <w:t>khu vực ô nhiễm hoá chất bảo vệ thực vật tồn lưu trong phạm vi trụ sở trước khi tiến hành đầu tư xây dựng. Trước mắt, UBND tỉnh đề xuất đầu tư xây dựng nhà 02 tầng là phù hợp. Tuy vậy, phần kết cấu móng phải đảm bảo có thể nâng thêm số lượng tầng đáp ứng nhu cầu làm việc trong tương lai khi điều kiện nguồn vốn cho phép..</w:t>
      </w:r>
    </w:p>
    <w:p>
      <w:pPr>
        <w:spacing w:after="120" w:line="360" w:lineRule="exact"/>
        <w:ind w:firstLine="720"/>
        <w:jc w:val="both"/>
      </w:pPr>
      <w:r>
        <w:rPr>
          <w:i/>
        </w:rPr>
        <w:t xml:space="preserve">(7). Kè biển dọc theo khu tái định cư thôn Minh Huệ, xã Kỳ Nam, thị xã Kỳ Anh: </w:t>
      </w:r>
      <w:r>
        <w:t>Ban Kinh tế - Ngân sách nhận thấy việc sạt lở bờ biển xã Kỳ Nam tại khu vực bờ biển thôn Minh Huệ được phân loại mức độ sạt lở là sạt lở nguy hiểm theo Kế hoạch số 199/KH-UBND ngày 09/6/2021 của UBND tỉnh về việc thực hiện Đề án phòng chống sạt lở bờ sông, bờ biển theo Quyết định số 957/QĐ-TTg ngày 06/7/2020 của Thủ tướng Chính phủ; phù hợp danh mục dự án ưu tiên</w:t>
      </w:r>
      <w:r>
        <w:rPr>
          <w:rStyle w:val="FootnoteReference"/>
        </w:rPr>
        <w:footnoteReference w:id="14"/>
      </w:r>
      <w:r>
        <w:t>; vì vậy việc triển khai đầu tư là cần thiết. Phương án đầu tư cần phải được tính toán kết hợp với quần thể du lịch theo quy hoạch phân khu xây dựng Khu đô thị du lịch Kỳ Nam, thị xã Kỳ Anh, tỷ lệ 1/2.000 tại Quyết định số 3456/QĐ-UBND ngày 22/10/2019 của Ủy ban nhân dân tỉnh. Trong tổng diện tích thực hiện dự án có khoảng 1,6 ha đất bằng chưa sử dụng thuộc quy hoạch rừng phòng hộ cần quan tâm thực hiện chuyển đổi mục đích sử dụng rừng.</w:t>
      </w:r>
    </w:p>
    <w:p>
      <w:pPr>
        <w:spacing w:after="120" w:line="360" w:lineRule="exact"/>
        <w:ind w:firstLine="720"/>
        <w:jc w:val="both"/>
      </w:pPr>
      <w:r>
        <w:rPr>
          <w:i/>
        </w:rPr>
        <w:t xml:space="preserve">(8). Hệ thống điện chiếu sáng Khu du lịch Thiên Cầm đoạn  Quốc lộ 15B (từ Km44+950 đến Km52+120) và hệ thống đèn trang trí cầu Cửa Nhượng, huyện Cẩm Xuyên: </w:t>
      </w:r>
      <w:r>
        <w:t>cần quan tâm một số nội dung sau:</w:t>
      </w:r>
    </w:p>
    <w:p>
      <w:pPr>
        <w:spacing w:after="120" w:line="360" w:lineRule="exact"/>
        <w:ind w:firstLine="720"/>
        <w:jc w:val="both"/>
      </w:pPr>
      <w:r>
        <w:t>Trong các bước tiếp theo của dự án, đơn vị được giao làm chủ đầu tư  phải thực hiện đầy đủ các thủ tục về cấp phép, chấp thuận thiết kế theo đúng quy định</w:t>
      </w:r>
      <w:r>
        <w:rPr>
          <w:rStyle w:val="FootnoteReference"/>
        </w:rPr>
        <w:footnoteReference w:id="15"/>
      </w:r>
      <w:r>
        <w:t xml:space="preserve">; nghiên cứu kỹ Đồ án quy hoạch tổng thể Khu du lịch Thiên Cầm, đối với </w:t>
      </w:r>
      <w:r>
        <w:lastRenderedPageBreak/>
        <w:t>phần diện tích giao cho nhà đầu tư thì Ngân sách Nhà nước không bố trí đầu tư, nhất là đoạn phía Bắc Thiên Cầm đã có Nhà đầu tư khảo sát nghiên cứu.</w:t>
      </w:r>
    </w:p>
    <w:p>
      <w:pPr>
        <w:spacing w:after="120" w:line="360" w:lineRule="exact"/>
        <w:ind w:firstLine="720"/>
        <w:jc w:val="both"/>
      </w:pPr>
      <w:r>
        <w:t>Khu vực thực hiện dự án nằm trong Khu du lịch Thiên Cầm và cầu Cửa Nhượng cần nghiên cứu kỹ thiết kế, bố trí hệ thống thiết bị điện từ màu sắc, ánh sáng, kiểu dáng có tính thẩm mỹ cao, đặc biệt bố trí hệ thống chiếu sáng cầu Cửa Nhượng phải hài hòa với cảnh quan thiên nhiên.</w:t>
      </w:r>
    </w:p>
    <w:p>
      <w:pPr>
        <w:spacing w:after="120" w:line="360" w:lineRule="exact"/>
        <w:ind w:firstLine="720"/>
        <w:jc w:val="both"/>
        <w:rPr>
          <w:b/>
          <w:color w:val="000000"/>
          <w:shd w:val="clear" w:color="auto" w:fill="FFFFFF"/>
          <w:lang w:val="nl-NL"/>
        </w:rPr>
      </w:pPr>
      <w:r>
        <w:rPr>
          <w:i/>
        </w:rPr>
        <w:t xml:space="preserve">(9). Trụ sở làm việc Sở Y tế: </w:t>
      </w:r>
      <w:r>
        <w:t>Các hạng mục bổ sung được</w:t>
      </w:r>
      <w:r>
        <w:rPr>
          <w:i/>
        </w:rPr>
        <w:t xml:space="preserve"> </w:t>
      </w:r>
      <w:r>
        <w:t>đầu tư xây dựng trong khuôn viên Sở Y tế, với diện tích khu đất 2.496,2m</w:t>
      </w:r>
      <w:r>
        <w:rPr>
          <w:vertAlign w:val="superscript"/>
        </w:rPr>
        <w:t>2</w:t>
      </w:r>
      <w:r>
        <w:t xml:space="preserve"> đã được UBND tỉnh phê duyệt tổng mặt bằng sử dụng đất ngày 26/6/2023, nhằm đảm bảo điều kiện cơ sở vật chất, đáp ứng nhu cầu làm việc, kho vật tư y tế và lưu trữ hồ sơ của Sở Y tế. Đề nghị UBND tỉnh chỉ đạo chủ đầu tư và các cơ quan liên quan trong quá trình thực hiện bước khảo sát, lập hồ sơ Báo cáo kinh tế kỹ thuật cần có phương án thiết kế, kiến trúc hợp lý, đảm bảo mỹ quan đô thị, phù hợp nhu cầu khai thác, sử dụng</w:t>
      </w:r>
      <w:r>
        <w:rPr>
          <w:lang w:val="sq-AL"/>
        </w:rPr>
        <w:t xml:space="preserve"> của đơn vị.</w:t>
      </w:r>
    </w:p>
    <w:p>
      <w:pPr>
        <w:spacing w:after="120" w:line="360" w:lineRule="exact"/>
        <w:ind w:firstLine="720"/>
        <w:jc w:val="both"/>
        <w:rPr>
          <w:b/>
          <w:lang w:val="nl-NL"/>
        </w:rPr>
      </w:pPr>
      <w:r>
        <w:rPr>
          <w:b/>
          <w:color w:val="000000"/>
          <w:shd w:val="clear" w:color="auto" w:fill="FFFFFF"/>
          <w:lang w:val="nl-NL"/>
        </w:rPr>
        <w:t>2.2. Đối với việc</w:t>
      </w:r>
      <w:r>
        <w:rPr>
          <w:color w:val="000000"/>
          <w:shd w:val="clear" w:color="auto" w:fill="FFFFFF"/>
          <w:lang w:val="nl-NL"/>
        </w:rPr>
        <w:t xml:space="preserve"> </w:t>
      </w:r>
      <w:r>
        <w:rPr>
          <w:b/>
          <w:lang w:val="nl-NL"/>
        </w:rPr>
        <w:t>điều chỉnh chủ trương đầu tư 06 dự án</w:t>
      </w:r>
    </w:p>
    <w:p>
      <w:pPr>
        <w:spacing w:after="120" w:line="360" w:lineRule="exact"/>
        <w:ind w:firstLine="720"/>
        <w:jc w:val="both"/>
        <w:rPr>
          <w:lang w:val="nl-NL"/>
        </w:rPr>
      </w:pPr>
      <w:r>
        <w:rPr>
          <w:i/>
          <w:lang w:val="nl-NL"/>
        </w:rPr>
        <w:t xml:space="preserve">(1). </w:t>
      </w:r>
      <w:r>
        <w:rPr>
          <w:i/>
        </w:rPr>
        <w:t>Nâng cấp mở rộng đường từ Thạch Kênh đến Hồng Lộc</w:t>
      </w:r>
      <w:r>
        <w:rPr>
          <w:lang w:val="nl-NL"/>
        </w:rPr>
        <w:t>;</w:t>
      </w:r>
    </w:p>
    <w:p>
      <w:pPr>
        <w:spacing w:after="120" w:line="360" w:lineRule="exact"/>
        <w:ind w:firstLine="720"/>
        <w:jc w:val="both"/>
        <w:rPr>
          <w:lang w:val="nl-NL"/>
        </w:rPr>
      </w:pPr>
      <w:r>
        <w:t>Dự án được UBND tỉnh phê duyệt chủ trương đầu tư tại Quyết định số 1822/QĐ-UBND ngày 10/7/2019 với tổng mức đầu tư 49,5 tỷ đồng</w:t>
      </w:r>
      <w:r>
        <w:rPr>
          <w:rStyle w:val="FootnoteReference"/>
        </w:rPr>
        <w:footnoteReference w:id="16"/>
      </w:r>
      <w:r>
        <w:t xml:space="preserve"> (trong đó, chi phí bồi thường, giải phóng mặt bằng là 3,5 tỷ đồng); Đến nay, nguồn vốn ngân sách tỉnh đã bố trí cho dự án là 35,187 tỷ đồng</w:t>
      </w:r>
      <w:r>
        <w:rPr>
          <w:rStyle w:val="FootnoteReference"/>
        </w:rPr>
        <w:footnoteReference w:id="17"/>
      </w:r>
      <w:r>
        <w:t>. Quá trình triển khai đầu tư, dự án phát sinh thêm 23,5 tỷ đồng chi phí bồi thường, GPMB và dự kiến phát sinh kinh phí điều chỉnh giá nguyên vật liệu khoảng 2 tỷ đồng nên tổng mức đầu tư dự án tăng từ 49,5 tỷ đồng lên 75,0 tỷ đồng</w:t>
      </w:r>
      <w:r>
        <w:rPr>
          <w:rStyle w:val="FootnoteReference"/>
        </w:rPr>
        <w:footnoteReference w:id="18"/>
      </w:r>
      <w:r>
        <w:t>.</w:t>
      </w:r>
    </w:p>
    <w:p>
      <w:pPr>
        <w:spacing w:after="120" w:line="360" w:lineRule="exact"/>
        <w:ind w:firstLine="720"/>
        <w:jc w:val="both"/>
        <w:rPr>
          <w:lang w:val="nl-NL"/>
        </w:rPr>
      </w:pPr>
      <w:r>
        <w:rPr>
          <w:lang w:val="nl-NL"/>
        </w:rPr>
        <w:t>Như vậy, từ tháng 7 năm 2019 đến nay tổng mức đầu tư tăng lên 48,5%; cần chỉ rõ nguyên nhân và có giải pháp phù hợp trong công tác lập dự án và thực hiện quản lý đầu tư.</w:t>
      </w:r>
    </w:p>
    <w:p>
      <w:pPr>
        <w:spacing w:after="120" w:line="360" w:lineRule="exact"/>
        <w:ind w:firstLine="720"/>
        <w:jc w:val="both"/>
        <w:rPr>
          <w:lang w:val="pt-BR"/>
        </w:rPr>
      </w:pPr>
      <w:r>
        <w:rPr>
          <w:i/>
          <w:lang w:val="pt-BR"/>
        </w:rPr>
        <w:t xml:space="preserve">(2). </w:t>
      </w:r>
      <w:r>
        <w:rPr>
          <w:i/>
        </w:rPr>
        <w:t>Dự án đầu tư xây dựng cầu Cửa Rào, huyện Vũ Quang</w:t>
      </w:r>
    </w:p>
    <w:p>
      <w:pPr>
        <w:spacing w:after="120" w:line="360" w:lineRule="exact"/>
        <w:ind w:firstLine="720"/>
        <w:jc w:val="both"/>
      </w:pPr>
      <w:r>
        <w:t>Dự án được UBND tỉnh phê duyệt chủ trương đầu tư tại Quyết định số 63/QĐUBND ngày 07/01/2019 với tổng mức đầu tư 65 tỷ đồng</w:t>
      </w:r>
      <w:r>
        <w:rPr>
          <w:rStyle w:val="FootnoteReference"/>
        </w:rPr>
        <w:footnoteReference w:id="19"/>
      </w:r>
      <w:r>
        <w:t xml:space="preserve">, Tổng số vốn </w:t>
      </w:r>
      <w:r>
        <w:lastRenderedPageBreak/>
        <w:t>đã được bố trí 57.609,2 triệu đồng</w:t>
      </w:r>
      <w:r>
        <w:rPr>
          <w:rStyle w:val="FootnoteReference"/>
        </w:rPr>
        <w:footnoteReference w:id="20"/>
      </w:r>
      <w:r>
        <w:t>. Trong quá trình triển khai dự án, do bổ sung khối lượng phát sinh, thực hiện điều chỉnh giá và tăng kinh phí bồi thường, GPMB nên tổng mức đầu tư dự kiến tăng từ 65.000.000.000 đồng lên 69.072.990.000 đồng</w:t>
      </w:r>
      <w:r>
        <w:rPr>
          <w:rStyle w:val="FootnoteReference"/>
        </w:rPr>
        <w:footnoteReference w:id="21"/>
      </w:r>
      <w:r>
        <w:t>.</w:t>
      </w:r>
    </w:p>
    <w:p>
      <w:pPr>
        <w:spacing w:after="120" w:line="360" w:lineRule="exact"/>
        <w:ind w:firstLine="720"/>
        <w:jc w:val="both"/>
        <w:rPr>
          <w:lang w:val="pt-BR"/>
        </w:rPr>
      </w:pPr>
      <w:r>
        <w:t>Ban Kinh tế - Ngân sách nhận thấy việc điều chỉnh tăng chi phí xây dựng do điều chỉnh, bổ sung khối lượng một số hạng mục công trình và bù giá nguyên nhiên vật liệu theo thời điểm thi công đã được cơ quan có thẩm quyền thẩm định, phê duyệt theo đúng quy định; kinh phí giảm trừ lấy theo Thông báo kết quả Kiểm toán Kiểm toán Nhà nước; chi phí bồi thường, GPMB theo giá trị đã thực hiện</w:t>
      </w:r>
      <w:r>
        <w:rPr>
          <w:rStyle w:val="FootnoteReference"/>
        </w:rPr>
        <w:footnoteReference w:id="22"/>
      </w:r>
      <w:r>
        <w:t xml:space="preserve"> là có cơ sở.</w:t>
      </w:r>
    </w:p>
    <w:p>
      <w:pPr>
        <w:spacing w:after="120" w:line="360" w:lineRule="exact"/>
        <w:ind w:firstLine="720"/>
        <w:jc w:val="both"/>
      </w:pPr>
      <w:r>
        <w:rPr>
          <w:i/>
          <w:lang w:val="pt-BR"/>
        </w:rPr>
        <w:t xml:space="preserve">(3) </w:t>
      </w:r>
      <w:r>
        <w:rPr>
          <w:i/>
        </w:rPr>
        <w:t>Xây dựng đường Hàm Nghi kéo dài</w:t>
      </w:r>
    </w:p>
    <w:p>
      <w:pPr>
        <w:spacing w:after="120" w:line="360" w:lineRule="exact"/>
        <w:ind w:firstLine="720"/>
        <w:jc w:val="both"/>
      </w:pPr>
      <w:r>
        <w:t>Dự án Xây dựng đường Hàm Nghi kéo dài được Hội đồng nhân dân tỉnh quyết định chủ trương đầu tư tại Nghị quyết số 254/NQHĐND ngày 08/12/2020, với tổng mức đầu tư 386,0 tỷ đồng</w:t>
      </w:r>
      <w:r>
        <w:rPr>
          <w:rStyle w:val="FootnoteReference"/>
        </w:rPr>
        <w:footnoteReference w:id="23"/>
      </w:r>
      <w:r>
        <w:t>. Trong quá trình triển khai dự án, do phát sinh chi phí bồi thường, GPMB và bổ sung hạng mục tái định cư vào dự án nên tổng mức đầu tư dự kiến tăng từ 386,0 tỷ đồng lên 574,984 tỷ đồng</w:t>
      </w:r>
      <w:r>
        <w:rPr>
          <w:rStyle w:val="FootnoteReference"/>
        </w:rPr>
        <w:footnoteReference w:id="24"/>
      </w:r>
      <w:r>
        <w:t>;</w:t>
      </w:r>
    </w:p>
    <w:p>
      <w:pPr>
        <w:spacing w:after="120" w:line="360" w:lineRule="exact"/>
        <w:ind w:firstLine="720"/>
        <w:jc w:val="both"/>
      </w:pPr>
      <w:r>
        <w:t>Qua khảo sát, Ban nhận thấy tiến độ triển khai dự án đảm bảo theo kế hoạch, tuy vậy còn những khó khăn vướng mắc dẫn đến phát sinh chi phí bồi thường, GPMB và bổ sung hạng mục tái định cư. Đây là tuyến đường có tính chiến lược, trọng điểm của tỉnh; để đảm bảo tiến độ, đẩy nhanh công tác đầu tư thì việc điều chỉnh là cần thiết.</w:t>
      </w:r>
    </w:p>
    <w:p>
      <w:pPr>
        <w:spacing w:after="120" w:line="360" w:lineRule="exact"/>
        <w:ind w:firstLine="720"/>
        <w:jc w:val="both"/>
      </w:pPr>
      <w:r>
        <w:rPr>
          <w:i/>
        </w:rPr>
        <w:t>(4). Nâng cấp, cải tạo Bệnh viện đa khoa huyện Cẩm Xuyên</w:t>
      </w:r>
    </w:p>
    <w:p>
      <w:pPr>
        <w:spacing w:after="120" w:line="360" w:lineRule="exact"/>
        <w:ind w:firstLine="720"/>
        <w:jc w:val="both"/>
      </w:pPr>
      <w:r>
        <w:t xml:space="preserve">Dự án Nâng cấp, cải tạo Bệnh viện đa khoa huyện Cẩm Xuyên được HĐND tỉnh phê duyệt chủ trương đầu tư tại Nghị quyết số 27/NQ-HĐND ngày 06/11/2021, với tổng mức đầu tư: 93,8 tỷ đồng, thực hiện xây mới Khối nhà khám và điều trị, hành chính tổng hợp, mua sắm thiết bị, xây dựng hạ tầng kỹ thuật và một số công trình phụ trợ khác theo Quy hoạch được phê duyệt tại Quyết định số 4320/QĐ-UBND ngày 14/9/2021 của UBND huyện Cẩm Xuyên. Ngày 09/02/2023, UBND tỉnh đã ký chấp thuận điều chỉnh quy hoạch tổng mặt </w:t>
      </w:r>
      <w:r>
        <w:lastRenderedPageBreak/>
        <w:t>bằng sử dụng đất của Bệnh viện; theo đó, diện tích khuôn viên điều chỉnh mở rộng từ 10.035m2 lên 20.060m2; đồng thời bố trí lại công năng và các hạng mục công trình. Để đáp ứng mục tiêu phát triển trước mắt và lâu dài của Bệnh viện, nâng cao hiệu quả công tác khám, chữa bệnh cho Nhân dân; từng bước hoàn thiện Quy hoạch mở rộng đã được UBND tỉnh phê duyệt thì việc điều chỉnh chủ trương đầu tư dự án (điều chỉnh quy mô, tổng mức đầu tư, nguồn vốn) là cần thiết.</w:t>
      </w:r>
    </w:p>
    <w:p>
      <w:pPr>
        <w:spacing w:after="120" w:line="360" w:lineRule="exact"/>
        <w:ind w:firstLine="720"/>
        <w:jc w:val="both"/>
      </w:pPr>
      <w:r>
        <w:t>Với các lý do nêu trên, Ban đề nghị HĐND tỉnh xem xét Nghị quyết lần này xác định là Quyết định chủ trương đầu tư và hủy bỏ Phụ lục dự án tại Nghị quyết số 27/NQ-HĐND ngày 06/11/2021 của Hội đồng nhân dân tỉnh.</w:t>
      </w:r>
    </w:p>
    <w:p>
      <w:pPr>
        <w:spacing w:after="120" w:line="360" w:lineRule="exact"/>
        <w:ind w:firstLine="720"/>
        <w:jc w:val="both"/>
        <w:rPr>
          <w:lang w:val="pt-BR"/>
        </w:rPr>
      </w:pPr>
      <w:r>
        <w:rPr>
          <w:i/>
        </w:rPr>
        <w:t xml:space="preserve">(5). Đầu tư xây dựng Bảo tàng Hà Tĩnh: </w:t>
      </w:r>
      <w:r>
        <w:t xml:space="preserve">Được Hội đồng nhân dân tỉnh quyết đinh chủ trương đầu tư tại Nghị quyết số </w:t>
      </w:r>
      <w:r>
        <w:rPr>
          <w:lang w:val="nl-NL"/>
        </w:rPr>
        <w:t>113/NQ-HĐND ngày 13/12/2018, với tổng mức đầu tư dự kiến 240.862 triệu đồng</w:t>
      </w:r>
      <w:r>
        <w:rPr>
          <w:rStyle w:val="FootnoteReference"/>
          <w:lang w:val="nl-NL"/>
        </w:rPr>
        <w:footnoteReference w:id="25"/>
      </w:r>
      <w:r>
        <w:rPr>
          <w:lang w:val="nl-NL"/>
        </w:rPr>
        <w:t xml:space="preserve">; dự kiến bố trí vốn trong kế hoạch đầu tư công trung hạn giai đoạn 2021-2025 từ nguồn tiền sử dụng đất 105.000 triệu đồng; đến nay mới chỉ bố trí 1.000 triệu đồng. Nay, xác định vị trí đầu tư cụ thể tại Lô đất CC-5, Đồ án Quy hoạch Khu đô thị Bắc, thành phố Hà Tĩnh (góc ngã tư nút giao giữa đường Xô Viết Nghệ Tĩnh và đường Xuân Diệu. Vì vậy, việc điều chỉnh quy mô xây dựng để phù hợp với </w:t>
      </w:r>
      <w:r>
        <w:rPr>
          <w:lang w:val="pt-BR"/>
        </w:rPr>
        <w:t>các chỉ tiêu quy hoạch của vị trí thửa đất trên, cùng với đó bổ sung phương án thi tuyển kiến trúc công trình dẫn đến tổng mức đầu tư tăng lên 343.000 triệu đồng. Ban Kinh tế - Ngân sách thống nhất với phương án điều chỉnh.</w:t>
      </w:r>
    </w:p>
    <w:p>
      <w:pPr>
        <w:spacing w:after="120" w:line="360" w:lineRule="exact"/>
        <w:ind w:firstLine="720"/>
        <w:jc w:val="both"/>
        <w:rPr>
          <w:i/>
        </w:rPr>
      </w:pPr>
      <w:r>
        <w:t xml:space="preserve">Về cơ cấu nguồn vốn, Ban thống nhất </w:t>
      </w:r>
      <w:r>
        <w:rPr>
          <w:lang w:val="pt-BR"/>
        </w:rPr>
        <w:t>ngân sách tỉnh bố trí giai đoạn 2021-2025 là 240.862 triệu đồng</w:t>
      </w:r>
      <w:r>
        <w:rPr>
          <w:rStyle w:val="FootnoteReference"/>
          <w:lang w:val="pt-BR"/>
        </w:rPr>
        <w:footnoteReference w:id="26"/>
      </w:r>
      <w:r>
        <w:rPr>
          <w:lang w:val="pt-BR"/>
        </w:rPr>
        <w:t xml:space="preserve">; Ngân sách tỉnh bố trí sau năm 2025 là 102.138 triệu đồng, </w:t>
      </w:r>
      <w:r>
        <w:t>đề nghị xác định rõ từ các nguồn xây dựng cơ bản tập trung hoặc tiền sử dụng đất thuộc Kế hoạch đầu tư công Trung hạn giai đoạn 2026-2030</w:t>
      </w:r>
      <w:r>
        <w:rPr>
          <w:i/>
        </w:rPr>
        <w:t>.</w:t>
      </w:r>
    </w:p>
    <w:p>
      <w:pPr>
        <w:spacing w:after="120" w:line="360" w:lineRule="exact"/>
        <w:ind w:firstLine="720"/>
        <w:jc w:val="both"/>
        <w:rPr>
          <w:i/>
        </w:rPr>
      </w:pPr>
      <w:r>
        <w:rPr>
          <w:i/>
        </w:rPr>
        <w:t>(6). Hệ thống tiêu úng các xã trọng điểm sản xuất nông nghiệp các huyện Đức Thọ, huyện Can Lộc và thị xã Hồng Lĩnh</w:t>
      </w:r>
    </w:p>
    <w:p>
      <w:pPr>
        <w:spacing w:after="120" w:line="360" w:lineRule="exact"/>
        <w:ind w:firstLine="720"/>
        <w:jc w:val="both"/>
      </w:pPr>
      <w:r>
        <w:t xml:space="preserve">Dự án đã được HĐND tỉnh phê duyệt chủ trương đầu tư tại Nghị quyết số 16/NQ-HĐND ngày 17/7/2021 với </w:t>
      </w:r>
      <w:r>
        <w:rPr>
          <w:color w:val="000000"/>
          <w:lang w:val="nl-NL"/>
        </w:rPr>
        <w:t>tổng mức đầu tư (dự kiến) không quá 250 tỷ đồng</w:t>
      </w:r>
      <w:r>
        <w:rPr>
          <w:rStyle w:val="FootnoteReference"/>
          <w:color w:val="000000"/>
          <w:lang w:val="nl-NL"/>
        </w:rPr>
        <w:footnoteReference w:id="27"/>
      </w:r>
      <w:r>
        <w:t xml:space="preserve">. Theo báo cáo của chủ đầu tư và hồ sơ Báo cáo nghiên cứu khả thi được </w:t>
      </w:r>
      <w:r>
        <w:lastRenderedPageBreak/>
        <w:t xml:space="preserve">chủ đầu tư xây dựng, với quy mô đầu tư như chủ trương đầu tư đã phê duyệt thì kinh phí thực hiện trên 500 tỷ đồng. Do vậy, cần phải rà soát, xác định lại mục tiêu, phạm vi, quy mô dự án và phải thực hiện việc điều chỉnh chủ trương đầu tư theo quy định trước khi quyết định đầu tư. </w:t>
      </w:r>
    </w:p>
    <w:p>
      <w:pPr>
        <w:spacing w:after="120" w:line="360" w:lineRule="exact"/>
        <w:ind w:firstLine="720"/>
        <w:jc w:val="both"/>
        <w:rPr>
          <w:b/>
        </w:rPr>
      </w:pPr>
      <w:r>
        <w:rPr>
          <w:b/>
          <w:lang w:val="pt-BR"/>
        </w:rPr>
        <w:t xml:space="preserve">2.3. Đối với việc cho ý kiến về chủ trương đầu tư </w:t>
      </w:r>
      <w:r>
        <w:rPr>
          <w:b/>
        </w:rPr>
        <w:t>Dự án Hạ tầng ưu tiên và phát triển đô thị thích ứng với biến đổi khí hậu thành phố Hà Tĩnh (vay vốn ABD)</w:t>
      </w:r>
    </w:p>
    <w:p>
      <w:pPr>
        <w:spacing w:after="120" w:line="360" w:lineRule="exact"/>
        <w:ind w:firstLine="720"/>
        <w:jc w:val="both"/>
      </w:pPr>
      <w:r>
        <w:rPr>
          <w:lang w:eastAsia="vi-VN"/>
        </w:rPr>
        <w:t>Đề nghị Ủy ban nhân dân tỉnh giao sở Xây dựng và Ủy ban nhân dân thành phố Hà Tĩnh sớm hoàn thành việc điều chỉnh cục bộ Quy hoạch chung Thành phố Hà Tĩnh và vùng phụ cận đến năm 2030, tầm nhìn đến 2050 (Quyết định 3926/QĐ-UBND ngày 09/10/2015 của UBND tỉnh Hà Tĩnh); để đảm bảo một số hạng mục được đưa vào phù hợp với quy hoạch</w:t>
      </w:r>
      <w:r>
        <w:rPr>
          <w:rStyle w:val="FootnoteReference"/>
          <w:lang w:eastAsia="vi-VN"/>
        </w:rPr>
        <w:footnoteReference w:id="28"/>
      </w:r>
      <w:r>
        <w:rPr>
          <w:lang w:eastAsia="vi-VN"/>
        </w:rPr>
        <w:t xml:space="preserve"> chung thành phố Hà Tĩnh; bổ sung vào Quy hoạch sử dụng đất đối với 01/17 tiểu hợp phần chưa có trong Quy hoạch sử dụng đất thành phố Hà Tĩnh</w:t>
      </w:r>
      <w:r>
        <w:rPr>
          <w:rStyle w:val="FootnoteReference"/>
          <w:lang w:eastAsia="vi-VN"/>
        </w:rPr>
        <w:footnoteReference w:id="29"/>
      </w:r>
      <w:r>
        <w:rPr>
          <w:lang w:eastAsia="vi-VN"/>
        </w:rPr>
        <w:t>; 02 tiểu dự án chưa có trong quy hoạch sử dụng đất huyện Thạch Hà</w:t>
      </w:r>
      <w:r>
        <w:rPr>
          <w:rStyle w:val="FootnoteReference"/>
          <w:lang w:eastAsia="vi-VN"/>
        </w:rPr>
        <w:footnoteReference w:id="30"/>
      </w:r>
      <w:r>
        <w:rPr>
          <w:lang w:eastAsia="vi-VN"/>
        </w:rPr>
        <w:t xml:space="preserve"> và huyện Cẩm Xuyên</w:t>
      </w:r>
      <w:r>
        <w:rPr>
          <w:rStyle w:val="FootnoteReference"/>
          <w:lang w:eastAsia="vi-VN"/>
        </w:rPr>
        <w:footnoteReference w:id="31"/>
      </w:r>
      <w:r>
        <w:rPr>
          <w:lang w:eastAsia="vi-VN"/>
        </w:rPr>
        <w:t>. Một số hạng mục có thay đổi so với đề xuất dự án</w:t>
      </w:r>
      <w:r>
        <w:rPr>
          <w:rStyle w:val="FootnoteReference"/>
          <w:lang w:eastAsia="vi-VN"/>
        </w:rPr>
        <w:footnoteReference w:id="32"/>
      </w:r>
      <w:r>
        <w:rPr>
          <w:lang w:eastAsia="vi-VN"/>
        </w:rPr>
        <w:t xml:space="preserve"> đã được phê duyệt tại Quyết định số 996/QĐ-TTg ngày 18/8/2022 cần có báo cáo với Thủ tướng Chính phủ trong quá trình trình phê duyệt.</w:t>
      </w:r>
    </w:p>
    <w:p>
      <w:pPr>
        <w:spacing w:after="120" w:line="360" w:lineRule="exact"/>
        <w:ind w:firstLine="720"/>
        <w:jc w:val="both"/>
      </w:pPr>
      <w:r>
        <w:rPr>
          <w:lang w:val="fr-FR"/>
        </w:rPr>
        <w:t xml:space="preserve">Đề nghị báo cáo rõ về nguồn vốn vay, trần nợ, dự kiến trần nợ của tỉnh, dự kiến phương án vay, trả nợ của dự án này; Đối với nguồn vốn vay, vốn đối ứng cần có giải pháp, lộ trình và phải đưa vào kế hoạch tài chính ngân sách, kế hoạch đầu tư công trung hạn và hằng năm của các cấp ngân sách </w:t>
      </w:r>
      <w:r>
        <w:rPr>
          <w:iCs/>
          <w:lang w:val="pt-BR"/>
        </w:rPr>
        <w:t>(ngân sách Trung ương, ngân sách tỉnh, ngân sách thành phố Hà Tĩnh);</w:t>
      </w:r>
    </w:p>
    <w:p>
      <w:pPr>
        <w:spacing w:after="120" w:line="360" w:lineRule="exact"/>
        <w:ind w:firstLine="720"/>
        <w:jc w:val="both"/>
        <w:rPr>
          <w:b/>
          <w:lang w:val="nl-NL"/>
        </w:rPr>
      </w:pPr>
      <w:r>
        <w:rPr>
          <w:color w:val="222222"/>
        </w:rPr>
        <w:t>Về hình thức ban hành Nghị quyết,</w:t>
      </w:r>
      <w:bookmarkStart w:id="3" w:name="_GoBack"/>
      <w:bookmarkEnd w:id="3"/>
      <w:r>
        <w:rPr>
          <w:color w:val="222222"/>
        </w:rPr>
        <w:t xml:space="preserve"> đề nghị Hội đồng nhân dân tỉnh thảo luận và quyết định; Ban Kinh tế - Ngân sách cho rằng đây là dự án ODA nhóm A thuộc thẩm quyền quyết định của Thủ tướng Chính phủ, Hội đồng nhân dân </w:t>
      </w:r>
      <w:r>
        <w:rPr>
          <w:color w:val="222222"/>
        </w:rPr>
        <w:lastRenderedPageBreak/>
        <w:t xml:space="preserve">tỉnh chỉ cho ý kiến theo thẩm quyền quy định tại </w:t>
      </w:r>
      <w:r>
        <w:rPr>
          <w:iCs/>
        </w:rPr>
        <w:t>điểm c</w:t>
      </w:r>
      <w:r>
        <w:rPr>
          <w:rStyle w:val="FootnoteReference"/>
          <w:iCs/>
        </w:rPr>
        <w:footnoteReference w:id="33"/>
      </w:r>
      <w:r>
        <w:rPr>
          <w:iCs/>
        </w:rPr>
        <w:t xml:space="preserve">, khoản 1 Điều 23 </w:t>
      </w:r>
      <w:r>
        <w:rPr>
          <w:lang w:val="sq-AL"/>
        </w:rPr>
        <w:t>của</w:t>
      </w:r>
      <w:r>
        <w:rPr>
          <w:lang w:val="vi-VN"/>
        </w:rPr>
        <w:t xml:space="preserve"> Luật Đầu tư công</w:t>
      </w:r>
      <w:r>
        <w:rPr>
          <w:lang w:val="sq-AL"/>
        </w:rPr>
        <w:t xml:space="preserve"> năm 2019. Nghị quyết cần ghi rõ nội dung đồng ý, nội dung cần hoàn thiện trước khi trình Thủ tướng và ban hành 01 nghị quyết riêng.</w:t>
      </w:r>
    </w:p>
    <w:bookmarkEnd w:id="2"/>
    <w:p>
      <w:pPr>
        <w:widowControl w:val="0"/>
        <w:spacing w:after="120" w:line="360" w:lineRule="exact"/>
        <w:ind w:firstLine="720"/>
        <w:jc w:val="both"/>
        <w:rPr>
          <w:lang w:val="sq-AL"/>
        </w:rPr>
      </w:pPr>
      <w:r>
        <w:rPr>
          <w:lang w:val="sq-AL"/>
        </w:rPr>
        <w:t xml:space="preserve">Trên đây là kết quả thẩm tra của Ban Kinh tế - Ngân sách về </w:t>
      </w:r>
      <w:r>
        <w:rPr>
          <w:iCs/>
          <w:lang w:val="vi-VN"/>
        </w:rPr>
        <w:t>Tờ trình và Dự thảo Nghị quyết</w:t>
      </w:r>
      <w:r>
        <w:rPr>
          <w:iCs/>
          <w:lang w:val="pt-BR"/>
        </w:rPr>
        <w:t xml:space="preserve"> </w:t>
      </w:r>
      <w:r>
        <w:rPr>
          <w:bCs/>
          <w:spacing w:val="-4"/>
          <w:lang w:val="pt-BR"/>
        </w:rPr>
        <w:t>quyết định chủ trương đầu tư, điều chỉnh chủ trương đầu tư, bổ sung kế hoạch đầu tư công trung hạn và thông qua nội dung báo cáo nghiên cứu tiền khả thi một số dự án đầu tư công</w:t>
      </w:r>
      <w:r>
        <w:rPr>
          <w:iCs/>
          <w:lang w:val="pt-BR"/>
        </w:rPr>
        <w:t>; kính trình Hội đồng nhân dân tỉnh xem xét, quyết định</w:t>
      </w:r>
      <w:r>
        <w:rPr>
          <w:lang w:val="sq-AL"/>
        </w:rPr>
        <w:t>./.</w:t>
      </w:r>
    </w:p>
    <w:bookmarkEnd w:id="0"/>
    <w:p>
      <w:pPr>
        <w:jc w:val="both"/>
        <w:rPr>
          <w:iCs/>
          <w:lang w:val="vi-VN"/>
        </w:rPr>
      </w:pPr>
    </w:p>
    <w:tbl>
      <w:tblPr>
        <w:tblW w:w="5000" w:type="pct"/>
        <w:tblLook w:val="0000" w:firstRow="0" w:lastRow="0" w:firstColumn="0" w:lastColumn="0" w:noHBand="0" w:noVBand="0"/>
      </w:tblPr>
      <w:tblGrid>
        <w:gridCol w:w="4696"/>
        <w:gridCol w:w="4592"/>
      </w:tblGrid>
      <w:tr>
        <w:trPr>
          <w:trHeight w:val="1169"/>
        </w:trPr>
        <w:tc>
          <w:tcPr>
            <w:tcW w:w="2528" w:type="pct"/>
          </w:tcPr>
          <w:p>
            <w:pPr>
              <w:pStyle w:val="Heading1"/>
              <w:jc w:val="both"/>
              <w:rPr>
                <w:rFonts w:ascii="Times New Roman" w:hAnsi="Times New Roman"/>
                <w:sz w:val="22"/>
                <w:szCs w:val="22"/>
                <w:lang w:val="vi-VN"/>
              </w:rPr>
            </w:pPr>
            <w:r>
              <w:rPr>
                <w:rFonts w:ascii="Times New Roman" w:hAnsi="Times New Roman"/>
                <w:i/>
                <w:iCs/>
                <w:szCs w:val="24"/>
                <w:lang w:val="vi-VN"/>
              </w:rPr>
              <w:t>Nơi nhận</w:t>
            </w:r>
            <w:r>
              <w:rPr>
                <w:rFonts w:ascii="Times New Roman" w:hAnsi="Times New Roman"/>
                <w:i/>
                <w:iCs/>
                <w:sz w:val="22"/>
                <w:szCs w:val="22"/>
                <w:lang w:val="vi-VN"/>
              </w:rPr>
              <w:t>:</w:t>
            </w:r>
          </w:p>
          <w:p>
            <w:pPr>
              <w:pStyle w:val="Heading1"/>
              <w:jc w:val="both"/>
              <w:rPr>
                <w:rFonts w:ascii="Times New Roman" w:hAnsi="Times New Roman"/>
                <w:b w:val="0"/>
                <w:sz w:val="22"/>
                <w:szCs w:val="22"/>
                <w:lang w:val="vi-VN"/>
              </w:rPr>
            </w:pPr>
            <w:r>
              <w:rPr>
                <w:rFonts w:ascii="Times New Roman" w:hAnsi="Times New Roman"/>
                <w:b w:val="0"/>
                <w:sz w:val="22"/>
                <w:szCs w:val="22"/>
                <w:lang w:val="vi-VN"/>
              </w:rPr>
              <w:t>- TT Tỉnh ủy, HĐND tỉnh (</w:t>
            </w:r>
            <w:r>
              <w:rPr>
                <w:rFonts w:ascii="Times New Roman" w:hAnsi="Times New Roman"/>
                <w:b w:val="0"/>
                <w:i/>
                <w:sz w:val="22"/>
                <w:szCs w:val="22"/>
                <w:lang w:val="vi-VN"/>
              </w:rPr>
              <w:t>b/c</w:t>
            </w:r>
            <w:r>
              <w:rPr>
                <w:rFonts w:ascii="Times New Roman" w:hAnsi="Times New Roman"/>
                <w:b w:val="0"/>
                <w:sz w:val="22"/>
                <w:szCs w:val="22"/>
                <w:lang w:val="vi-VN"/>
              </w:rPr>
              <w:t>);</w:t>
            </w:r>
          </w:p>
          <w:p>
            <w:pPr>
              <w:pStyle w:val="Heading1"/>
              <w:jc w:val="both"/>
              <w:rPr>
                <w:rFonts w:ascii="Times New Roman" w:hAnsi="Times New Roman"/>
                <w:b w:val="0"/>
                <w:sz w:val="22"/>
                <w:szCs w:val="22"/>
                <w:lang w:val="vi-VN"/>
              </w:rPr>
            </w:pPr>
            <w:r>
              <w:rPr>
                <w:rFonts w:ascii="Times New Roman" w:hAnsi="Times New Roman"/>
                <w:b w:val="0"/>
                <w:sz w:val="22"/>
                <w:szCs w:val="22"/>
                <w:lang w:val="vi-VN"/>
              </w:rPr>
              <w:t>- UBND tỉnh; UBMTTQVN tỉnh;</w:t>
            </w:r>
          </w:p>
          <w:p>
            <w:pPr>
              <w:pStyle w:val="Heading1"/>
              <w:jc w:val="both"/>
              <w:rPr>
                <w:rFonts w:ascii="Times New Roman" w:hAnsi="Times New Roman"/>
                <w:b w:val="0"/>
                <w:sz w:val="22"/>
                <w:szCs w:val="22"/>
                <w:lang w:val="vi-VN"/>
              </w:rPr>
            </w:pPr>
            <w:r>
              <w:rPr>
                <w:rFonts w:ascii="Times New Roman" w:hAnsi="Times New Roman"/>
                <w:b w:val="0"/>
                <w:sz w:val="22"/>
                <w:szCs w:val="22"/>
                <w:lang w:val="vi-VN"/>
              </w:rPr>
              <w:t>- Các đại biểu HĐND tỉnh khóa XVIII;</w:t>
            </w:r>
          </w:p>
          <w:p>
            <w:pPr>
              <w:pStyle w:val="Heading1"/>
              <w:jc w:val="both"/>
              <w:rPr>
                <w:rFonts w:ascii="Times New Roman" w:hAnsi="Times New Roman"/>
                <w:b w:val="0"/>
                <w:sz w:val="22"/>
                <w:szCs w:val="22"/>
                <w:lang w:val="vi-VN"/>
              </w:rPr>
            </w:pPr>
            <w:r>
              <w:rPr>
                <w:rFonts w:ascii="Times New Roman" w:hAnsi="Times New Roman"/>
                <w:b w:val="0"/>
                <w:sz w:val="22"/>
                <w:szCs w:val="22"/>
                <w:lang w:val="vi-VN"/>
              </w:rPr>
              <w:t>- Các đại biểu tham dự kỳ họp thứ 1</w:t>
            </w:r>
            <w:r>
              <w:rPr>
                <w:rFonts w:ascii="Times New Roman" w:hAnsi="Times New Roman"/>
                <w:b w:val="0"/>
                <w:sz w:val="22"/>
                <w:szCs w:val="22"/>
              </w:rPr>
              <w:t>4</w:t>
            </w:r>
            <w:r>
              <w:rPr>
                <w:rFonts w:ascii="Times New Roman" w:hAnsi="Times New Roman"/>
                <w:b w:val="0"/>
                <w:sz w:val="22"/>
                <w:szCs w:val="22"/>
                <w:lang w:val="vi-VN"/>
              </w:rPr>
              <w:t>;</w:t>
            </w:r>
          </w:p>
          <w:p>
            <w:pPr>
              <w:pStyle w:val="Heading1"/>
              <w:jc w:val="both"/>
              <w:rPr>
                <w:rFonts w:ascii="Times New Roman" w:hAnsi="Times New Roman"/>
                <w:b w:val="0"/>
                <w:sz w:val="22"/>
                <w:szCs w:val="22"/>
                <w:lang w:val="vi-VN"/>
              </w:rPr>
            </w:pPr>
            <w:r>
              <w:rPr>
                <w:rFonts w:ascii="Times New Roman" w:hAnsi="Times New Roman"/>
                <w:b w:val="0"/>
                <w:sz w:val="22"/>
                <w:szCs w:val="22"/>
                <w:lang w:val="vi-VN"/>
              </w:rPr>
              <w:t>- Văn phòng Đoàn ĐBQH và HĐND tỉnh;</w:t>
            </w:r>
          </w:p>
          <w:p>
            <w:pPr>
              <w:pStyle w:val="Heading1"/>
              <w:jc w:val="both"/>
              <w:rPr>
                <w:rFonts w:ascii="Times New Roman" w:hAnsi="Times New Roman"/>
                <w:b w:val="0"/>
                <w:sz w:val="22"/>
                <w:szCs w:val="22"/>
                <w:lang w:val="vi-VN"/>
              </w:rPr>
            </w:pPr>
            <w:r>
              <w:rPr>
                <w:rFonts w:ascii="Times New Roman" w:hAnsi="Times New Roman"/>
                <w:b w:val="0"/>
                <w:sz w:val="22"/>
                <w:szCs w:val="22"/>
                <w:lang w:val="vi-VN"/>
              </w:rPr>
              <w:t>- Văn phòng UBND tỉnh;</w:t>
            </w:r>
          </w:p>
          <w:p>
            <w:pPr>
              <w:pStyle w:val="Heading1"/>
              <w:jc w:val="both"/>
              <w:rPr>
                <w:sz w:val="22"/>
                <w:szCs w:val="22"/>
                <w:lang w:val="vi-VN"/>
              </w:rPr>
            </w:pPr>
            <w:r>
              <w:rPr>
                <w:rFonts w:ascii="Times New Roman" w:hAnsi="Times New Roman"/>
                <w:b w:val="0"/>
                <w:sz w:val="22"/>
                <w:szCs w:val="22"/>
                <w:lang w:val="vi-VN"/>
              </w:rPr>
              <w:t>- Lưu: VT, HĐ</w:t>
            </w:r>
            <w:r>
              <w:rPr>
                <w:rFonts w:ascii="Times New Roman" w:hAnsi="Times New Roman"/>
                <w:b w:val="0"/>
                <w:sz w:val="22"/>
                <w:szCs w:val="22"/>
                <w:vertAlign w:val="subscript"/>
                <w:lang w:val="vi-VN"/>
              </w:rPr>
              <w:t>1</w:t>
            </w:r>
            <w:r>
              <w:rPr>
                <w:rFonts w:ascii="Times New Roman" w:hAnsi="Times New Roman"/>
                <w:b w:val="0"/>
                <w:sz w:val="22"/>
                <w:szCs w:val="22"/>
                <w:lang w:val="vi-VN"/>
              </w:rPr>
              <w:t>.</w:t>
            </w:r>
          </w:p>
        </w:tc>
        <w:tc>
          <w:tcPr>
            <w:tcW w:w="2472" w:type="pct"/>
          </w:tcPr>
          <w:p>
            <w:pPr>
              <w:jc w:val="center"/>
              <w:rPr>
                <w:b/>
                <w:sz w:val="26"/>
                <w:szCs w:val="26"/>
                <w:lang w:val="da-DK"/>
              </w:rPr>
            </w:pPr>
            <w:r>
              <w:rPr>
                <w:b/>
                <w:sz w:val="26"/>
                <w:szCs w:val="26"/>
                <w:lang w:val="da-DK"/>
              </w:rPr>
              <w:t>TM. BAN KINH TẾ - NGÂN SÁCH</w:t>
            </w:r>
          </w:p>
          <w:p>
            <w:pPr>
              <w:jc w:val="center"/>
              <w:rPr>
                <w:b/>
                <w:sz w:val="26"/>
                <w:szCs w:val="26"/>
                <w:lang w:val="da-DK"/>
              </w:rPr>
            </w:pPr>
            <w:r>
              <w:rPr>
                <w:b/>
                <w:sz w:val="26"/>
                <w:szCs w:val="26"/>
                <w:lang w:val="da-DK"/>
              </w:rPr>
              <w:t>TRƯỞNG BAN</w:t>
            </w:r>
          </w:p>
          <w:p>
            <w:pPr>
              <w:jc w:val="center"/>
              <w:rPr>
                <w:sz w:val="26"/>
                <w:szCs w:val="26"/>
                <w:lang w:val="da-DK"/>
              </w:rPr>
            </w:pPr>
          </w:p>
          <w:p>
            <w:pPr>
              <w:jc w:val="center"/>
              <w:rPr>
                <w:b/>
                <w:sz w:val="26"/>
                <w:szCs w:val="26"/>
                <w:lang w:val="vi-VN"/>
              </w:rPr>
            </w:pPr>
          </w:p>
          <w:p>
            <w:pPr>
              <w:jc w:val="center"/>
              <w:rPr>
                <w:i/>
                <w:sz w:val="26"/>
                <w:szCs w:val="26"/>
                <w:lang w:val="sv-SE"/>
              </w:rPr>
            </w:pPr>
          </w:p>
          <w:p>
            <w:pPr>
              <w:jc w:val="center"/>
              <w:rPr>
                <w:i/>
                <w:color w:val="000000"/>
                <w:lang w:val="nb-NO"/>
              </w:rPr>
            </w:pPr>
          </w:p>
          <w:p>
            <w:pPr>
              <w:jc w:val="center"/>
              <w:rPr>
                <w:i/>
                <w:color w:val="000000"/>
                <w:lang w:val="nb-NO"/>
              </w:rPr>
            </w:pPr>
          </w:p>
          <w:p>
            <w:pPr>
              <w:jc w:val="center"/>
              <w:rPr>
                <w:i/>
                <w:sz w:val="26"/>
                <w:szCs w:val="26"/>
                <w:lang w:val="sv-SE"/>
              </w:rPr>
            </w:pPr>
          </w:p>
          <w:p>
            <w:pPr>
              <w:jc w:val="center"/>
              <w:rPr>
                <w:b/>
                <w:sz w:val="26"/>
                <w:szCs w:val="26"/>
                <w:lang w:val="da-DK"/>
              </w:rPr>
            </w:pPr>
          </w:p>
          <w:p>
            <w:pPr>
              <w:jc w:val="center"/>
              <w:rPr>
                <w:lang w:val="es-PR"/>
              </w:rPr>
            </w:pPr>
            <w:r>
              <w:rPr>
                <w:b/>
                <w:szCs w:val="26"/>
                <w:lang w:val="es-PR"/>
              </w:rPr>
              <w:t>Nguyễn Thị Thúy Nga</w:t>
            </w:r>
          </w:p>
        </w:tc>
      </w:tr>
    </w:tbl>
    <w:p>
      <w:pPr>
        <w:rPr>
          <w:sz w:val="2"/>
          <w:szCs w:val="2"/>
          <w:lang w:val="vi-VN"/>
        </w:rPr>
      </w:pPr>
    </w:p>
    <w:p>
      <w:pPr>
        <w:spacing w:after="200" w:line="276" w:lineRule="auto"/>
        <w:rPr>
          <w:sz w:val="2"/>
          <w:szCs w:val="2"/>
          <w:lang w:val="vi-VN"/>
        </w:rPr>
      </w:pPr>
    </w:p>
    <w:sectPr>
      <w:headerReference w:type="default" r:id="rId8"/>
      <w:footerReference w:type="default" r:id="rId9"/>
      <w:pgSz w:w="11907" w:h="16840" w:code="9"/>
      <w:pgMar w:top="1134" w:right="1134" w:bottom="1134" w:left="1701" w:header="709" w:footer="709" w:gutter="0"/>
      <w:cols w:space="708"/>
      <w:titlePg/>
      <w:docGrid w:linePitch="39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C9FC" w16cex:dateUtc="2022-08-24T09:02:00Z"/>
  <w16cex:commentExtensible w16cex:durableId="26B0CCCA" w16cex:dateUtc="2022-08-24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57373D" w16cid:durableId="26B0C9FC"/>
  <w16cid:commentId w16cid:paraId="7374295E" w16cid:durableId="26B0CCC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noteText"/>
        <w:ind w:firstLine="720"/>
        <w:jc w:val="both"/>
      </w:pPr>
      <w:r>
        <w:rPr>
          <w:rStyle w:val="FootnoteReference"/>
        </w:rPr>
        <w:footnoteRef/>
      </w:r>
      <w:r>
        <w:t xml:space="preserve"> Ủy ban nhân dân tỉnh đã giao các cơ quan chuyên môn</w:t>
      </w:r>
      <w:r>
        <w:rPr>
          <w:lang w:val="vi-VN"/>
        </w:rPr>
        <w:t xml:space="preserve"> lập Báo cáo đề xuất chủ trương đầu tư; Sở Kế hoạch và Đầu tư chủ trì, phối hợp với Sở Tài chính và các cơ quan có liên quan thẩm định chủ trương đầu tư, nguồn vốn và khả năng cân đối vốn; U</w:t>
      </w:r>
      <w:r>
        <w:t>ỷ ban nhân dân</w:t>
      </w:r>
      <w:r>
        <w:rPr>
          <w:lang w:val="vi-VN"/>
        </w:rPr>
        <w:t xml:space="preserve"> tỉnh trình </w:t>
      </w:r>
      <w:r>
        <w:t>Hội đồng nhân dân</w:t>
      </w:r>
      <w:r>
        <w:rPr>
          <w:lang w:val="vi-VN"/>
        </w:rPr>
        <w:t xml:space="preserve"> tỉnh </w:t>
      </w:r>
      <w:r>
        <w:t>quyết định</w:t>
      </w:r>
      <w:r>
        <w:rPr>
          <w:lang w:val="vi-VN"/>
        </w:rPr>
        <w:t xml:space="preserve"> chủ trương đầu tư</w:t>
      </w:r>
      <w:r>
        <w:t xml:space="preserve"> và điều chỉnh </w:t>
      </w:r>
      <w:r>
        <w:rPr>
          <w:lang w:val="vi-VN"/>
        </w:rPr>
        <w:t>chủ trương đầu tư một số dự án đầu tư công trên địa bàn tỉnh.</w:t>
      </w:r>
    </w:p>
  </w:footnote>
  <w:footnote w:id="2">
    <w:p>
      <w:pPr>
        <w:pStyle w:val="FootnoteText"/>
        <w:ind w:firstLine="720"/>
        <w:jc w:val="both"/>
      </w:pPr>
      <w:r>
        <w:rPr>
          <w:rStyle w:val="FootnoteReference"/>
        </w:rPr>
        <w:footnoteRef/>
      </w:r>
      <w:r>
        <w:t xml:space="preserve"> </w:t>
      </w:r>
      <w:r>
        <w:rPr>
          <w:shd w:val="clear" w:color="auto" w:fill="FFFFFF"/>
          <w:lang w:val="vi-VN"/>
        </w:rPr>
        <w:t>Cấp quyết định chủ trương đầu tư chương trình, dự án thì có thẩm quyền quyết định điều ch</w:t>
      </w:r>
      <w:r>
        <w:rPr>
          <w:shd w:val="clear" w:color="auto" w:fill="FFFFFF"/>
        </w:rPr>
        <w:t>ỉ</w:t>
      </w:r>
      <w:r>
        <w:rPr>
          <w:shd w:val="clear" w:color="auto" w:fill="FFFFFF"/>
          <w:lang w:val="vi-VN"/>
        </w:rPr>
        <w:t>nh chủ trương đầu tư chương trình, dự án đó và chịu trách nhiệm về quyết định của mình</w:t>
      </w:r>
      <w:r>
        <w:rPr>
          <w:shd w:val="clear" w:color="auto" w:fill="FFFFFF"/>
        </w:rPr>
        <w:t>.</w:t>
      </w:r>
    </w:p>
  </w:footnote>
  <w:footnote w:id="3">
    <w:p>
      <w:pPr>
        <w:pStyle w:val="FootnoteText"/>
        <w:ind w:firstLine="720"/>
        <w:jc w:val="both"/>
      </w:pPr>
      <w:r>
        <w:rPr>
          <w:rStyle w:val="FootnoteReference"/>
        </w:rPr>
        <w:footnoteRef/>
      </w:r>
      <w:r>
        <w:t xml:space="preserve"> </w:t>
      </w:r>
      <w:r>
        <w:rPr>
          <w:iCs/>
        </w:rPr>
        <w:t>Đối với dự án nhóm A sử dụng vốn ODA, vốn vay ưu đãi của các nhà tài trợ nước ngoài và dự án quy định tại khoản 1 Điều 8 của Luật này do Ủy ban nhân dân cấp tỉnh chuẩn bị báo cáo nghiên cứu tiền khả thi, Ủy ban nhân dân cấp tỉnh trình Hội đồng nhân dân cùng cấp cho ý kiến trước khi trình Thủ tướng Chính phủ</w:t>
      </w:r>
    </w:p>
  </w:footnote>
  <w:footnote w:id="4">
    <w:p>
      <w:pPr>
        <w:pStyle w:val="FootnoteText"/>
        <w:ind w:firstLine="720"/>
        <w:jc w:val="both"/>
        <w:rPr>
          <w:lang w:val="pt-BR"/>
        </w:rPr>
      </w:pPr>
      <w:r>
        <w:rPr>
          <w:rStyle w:val="FootnoteReference"/>
        </w:rPr>
        <w:footnoteRef/>
      </w:r>
      <w:r>
        <w:t xml:space="preserve"> </w:t>
      </w:r>
      <w:r>
        <w:rPr>
          <w:lang w:val="pt-BR"/>
        </w:rPr>
        <w:t>(</w:t>
      </w:r>
      <w:r>
        <w:rPr>
          <w:lang w:val="nl-NL"/>
        </w:rPr>
        <w:t xml:space="preserve">1). </w:t>
      </w:r>
      <w:r>
        <w:t>Đường Xô Viết Nghệ Tĩnh kéo dài về phía Đông</w:t>
      </w:r>
      <w:r>
        <w:rPr>
          <w:lang w:val="nl-NL"/>
        </w:rPr>
        <w:t xml:space="preserve">; (2). </w:t>
      </w:r>
      <w:r>
        <w:t>Cầu vượt lũ Phố Giang, huyện Hương Sơn</w:t>
      </w:r>
      <w:r>
        <w:rPr>
          <w:lang w:val="nl-NL"/>
        </w:rPr>
        <w:t xml:space="preserve">; (3). </w:t>
      </w:r>
      <w:r>
        <w:t>Đường giao thông liên xã Khánh Vĩnh Yên, Thanh Lộc đi thị xã Hồng Lĩnh</w:t>
      </w:r>
      <w:r>
        <w:rPr>
          <w:lang w:val="nl-NL"/>
        </w:rPr>
        <w:t xml:space="preserve">; (4) </w:t>
      </w:r>
      <w:r>
        <w:t>Đầu tư xây dựng một số hạng mục Trường THPT Phan Đình Phùng</w:t>
      </w:r>
      <w:r>
        <w:rPr>
          <w:lang w:val="pt-BR"/>
        </w:rPr>
        <w:t xml:space="preserve">; (5). </w:t>
      </w:r>
      <w:r>
        <w:t>Dự án Đẩy mạnh ứng dụng công nghệ thông tin trong hoạt động của các cơ quan Đảng, Mặt trận Tổ quốc, các tổ chức chính trị - xã hội tỉnh Hà Tĩnh giai đoạn 2022 – 2025</w:t>
      </w:r>
      <w:r>
        <w:rPr>
          <w:lang w:val="pt-BR"/>
        </w:rPr>
        <w:t xml:space="preserve">; (6). </w:t>
      </w:r>
      <w:r>
        <w:t>Nhà làm việc 2 tầng và các hạng mục phụ trợ - Trụ sở làm việc Ban Quản lý dự án đầu tư xây dựng khu vực Khu kinh tế tỉnh; (7). Kè biển dọc theo khu tái định cư thôn Minh Huệ, xã Kỳ Nam, thị xã Kỳ Anh; (8). Hệ thống điện chiếu sáng Khu du lịch Thiên Cầm đoạn đoạn Quốc lộ 15B (từ Km44+950 đến Km52+120) và hệ thống đèn trang trí cầu Cửa Nhượng, huyện Cẩm Xuyên; (9). Trụ sở làm việc Sở Y tế</w:t>
      </w:r>
      <w:r>
        <w:rPr>
          <w:lang w:val="pt-BR"/>
        </w:rPr>
        <w:t>.</w:t>
      </w:r>
    </w:p>
  </w:footnote>
  <w:footnote w:id="5">
    <w:p>
      <w:pPr>
        <w:pStyle w:val="FootnoteText"/>
        <w:ind w:firstLine="720"/>
        <w:jc w:val="both"/>
        <w:rPr>
          <w:lang w:val="pt-BR"/>
        </w:rPr>
      </w:pPr>
      <w:r>
        <w:rPr>
          <w:rStyle w:val="FootnoteReference"/>
        </w:rPr>
        <w:footnoteRef/>
      </w:r>
      <w:r>
        <w:rPr>
          <w:lang w:val="pt-BR"/>
        </w:rPr>
        <w:t xml:space="preserve"> </w:t>
      </w:r>
      <w:r>
        <w:rPr>
          <w:lang w:val="nl-NL"/>
        </w:rPr>
        <w:t xml:space="preserve">(1). </w:t>
      </w:r>
      <w:r>
        <w:t>Nâng cấp mở rộng đường từ Thạch Kênh đến Hồng Lộc</w:t>
      </w:r>
      <w:r>
        <w:rPr>
          <w:lang w:val="nl-NL"/>
        </w:rPr>
        <w:t xml:space="preserve">; </w:t>
      </w:r>
      <w:r>
        <w:rPr>
          <w:rStyle w:val="FootnoteReference"/>
          <w:lang w:val="nl-NL"/>
        </w:rPr>
        <w:t xml:space="preserve"> </w:t>
      </w:r>
      <w:r>
        <w:rPr>
          <w:lang w:val="pt-BR"/>
        </w:rPr>
        <w:t xml:space="preserve">(2). </w:t>
      </w:r>
      <w:r>
        <w:t>Dự án đầu tư xây dựng cầu Cửa Rào, huyện Vũ Quang</w:t>
      </w:r>
      <w:r>
        <w:rPr>
          <w:lang w:val="pt-BR"/>
        </w:rPr>
        <w:t xml:space="preserve">; (3) </w:t>
      </w:r>
      <w:r>
        <w:t>Xây dựng đường Hàm Nghi kéo dài; (4). Nâng cấp, cải tạo Bệnh viện đa khoa huyện Cẩm Xuyên; (5). Đầu tư xây dựng Bảo tàng Hà Tĩnh; (6). Hệ thống tiêu úng các xã trọng điểm sản xuất nông nghiệp các huyện Đức Thọ, huyện Can Lộc và thị xã Hồng Lĩnh</w:t>
      </w:r>
      <w:r>
        <w:rPr>
          <w:lang w:val="pt-BR"/>
        </w:rPr>
        <w:t>.</w:t>
      </w:r>
    </w:p>
  </w:footnote>
  <w:footnote w:id="6">
    <w:p>
      <w:pPr>
        <w:pStyle w:val="FootnoteText"/>
        <w:ind w:firstLine="720"/>
      </w:pPr>
      <w:r>
        <w:rPr>
          <w:rStyle w:val="FootnoteReference"/>
        </w:rPr>
        <w:footnoteRef/>
      </w:r>
      <w:r>
        <w:t xml:space="preserve"> Dự án Hạ tầng ưu tiên và phát triển đô thị thích ứng với biến đổi khí hậu thành phố Hà Tĩnh (vay vốn ABD).</w:t>
      </w:r>
    </w:p>
  </w:footnote>
  <w:footnote w:id="7">
    <w:p>
      <w:pPr>
        <w:pStyle w:val="FootnoteText"/>
        <w:ind w:firstLine="720"/>
        <w:jc w:val="both"/>
        <w:rPr>
          <w:lang w:val="pt-BR"/>
        </w:rPr>
      </w:pPr>
      <w:r>
        <w:rPr>
          <w:rStyle w:val="FootnoteReference"/>
        </w:rPr>
        <w:footnoteRef/>
      </w:r>
      <w:r>
        <w:rPr>
          <w:lang w:val="pt-BR"/>
        </w:rPr>
        <w:t xml:space="preserve"> Thông báo Kết luận số 839-TB/TU ngày 07/7/2023 </w:t>
      </w:r>
      <w:r>
        <w:rPr>
          <w:shd w:val="clear" w:color="auto" w:fill="FFFFFF"/>
        </w:rPr>
        <w:t>của BCH Đảng bộ tỉnh về kết luận hội nghị lần thứ 28.</w:t>
      </w:r>
    </w:p>
  </w:footnote>
  <w:footnote w:id="8">
    <w:p>
      <w:pPr>
        <w:pStyle w:val="FootnoteText"/>
        <w:ind w:firstLine="720"/>
        <w:jc w:val="both"/>
        <w:rPr>
          <w:lang w:val="pt-BR"/>
        </w:rPr>
      </w:pPr>
      <w:r>
        <w:rPr>
          <w:rStyle w:val="FootnoteReference"/>
        </w:rPr>
        <w:footnoteRef/>
      </w:r>
      <w:r>
        <w:rPr>
          <w:lang w:val="pt-BR"/>
        </w:rPr>
        <w:t xml:space="preserve"> Thông báo số 834-TB/TU ngày 30/6/2023 Kết luận của BTV Tỉnh ủy tại Hội nghị ngày 27/6/2023.</w:t>
      </w:r>
    </w:p>
  </w:footnote>
  <w:footnote w:id="9">
    <w:p>
      <w:pPr>
        <w:pStyle w:val="FootnoteText"/>
        <w:ind w:firstLine="720"/>
        <w:jc w:val="both"/>
      </w:pPr>
      <w:r>
        <w:rPr>
          <w:rStyle w:val="FootnoteReference"/>
        </w:rPr>
        <w:footnoteRef/>
      </w:r>
      <w:r>
        <w:t xml:space="preserve"> </w:t>
      </w:r>
      <w:r>
        <w:rPr>
          <w:lang w:val="pt-BR"/>
        </w:rPr>
        <w:t xml:space="preserve">Văn bản số 1850-CV/TU ngày 11/7/2022 của Thường trực Tỉnh ủy về chủ trương điều chỉnh </w:t>
      </w:r>
      <w:r>
        <w:t>Dự án Nâng cấp, cải tạo Bệnh viện đa khoa huyện Cẩm Xuyên</w:t>
      </w:r>
      <w:r>
        <w:rPr>
          <w:lang w:val="nl-NL"/>
        </w:rPr>
        <w:t>.</w:t>
      </w:r>
    </w:p>
  </w:footnote>
  <w:footnote w:id="10">
    <w:p>
      <w:pPr>
        <w:pStyle w:val="FootnoteText"/>
        <w:ind w:firstLine="720"/>
        <w:jc w:val="both"/>
      </w:pPr>
      <w:r>
        <w:rPr>
          <w:rStyle w:val="FootnoteReference"/>
        </w:rPr>
        <w:footnoteRef/>
      </w:r>
      <w:r>
        <w:t xml:space="preserve"> Văn bản số 2939/UBND-TH</w:t>
      </w:r>
      <w:r>
        <w:rPr>
          <w:vertAlign w:val="subscript"/>
        </w:rPr>
        <w:t>1</w:t>
      </w:r>
      <w:r>
        <w:t xml:space="preserve"> ngày 09/6/2023</w:t>
      </w:r>
    </w:p>
  </w:footnote>
  <w:footnote w:id="11">
    <w:p>
      <w:pPr>
        <w:pStyle w:val="FootnoteText"/>
        <w:ind w:firstLine="720"/>
        <w:jc w:val="both"/>
      </w:pPr>
      <w:r>
        <w:rPr>
          <w:rStyle w:val="FootnoteReference"/>
        </w:rPr>
        <w:footnoteRef/>
      </w:r>
      <w:r>
        <w:t xml:space="preserve"> Năm 2021 là 2.556.060 triệu đồng, năm 2022 là 2.370.726 triệu đồng</w:t>
      </w:r>
    </w:p>
  </w:footnote>
  <w:footnote w:id="12">
    <w:p>
      <w:pPr>
        <w:pStyle w:val="FootnoteText"/>
        <w:ind w:firstLine="720"/>
        <w:jc w:val="both"/>
      </w:pPr>
      <w:r>
        <w:rPr>
          <w:vertAlign w:val="superscript"/>
        </w:rPr>
        <w:footnoteRef/>
      </w:r>
      <w:r>
        <w:t xml:space="preserve"> Năm 2023 là 1.900.000 triệu đồng; Năm 2024 là 1.900.000 triệu đồng; Năm 2025 là 1.800.000 triệu đồng.</w:t>
      </w:r>
    </w:p>
  </w:footnote>
  <w:footnote w:id="13">
    <w:p>
      <w:pPr>
        <w:pStyle w:val="FootnoteText"/>
        <w:ind w:firstLine="720"/>
        <w:jc w:val="both"/>
      </w:pPr>
      <w:r>
        <w:rPr>
          <w:rStyle w:val="FootnoteReference"/>
        </w:rPr>
        <w:footnoteRef/>
      </w:r>
      <w:r>
        <w:t xml:space="preserve"> Luật Quản lý, sử dụng tài sản công số 15/2017/QH14 ngày 21/6/2017 và các Nghị định, Thông tư hướng dẫn liên quan; Nghị định số 165/2017/NĐ-CP ngày 31/12/2017 của Chính phủ quy định việc quản lý, sử dụng tài sản tại cơ quan Đảng cộng sản Việt Nam; Thông tư số 58/2016/TT-BTC ngày 29/3/2016 của Bộ Tài chính quy định chi tiết việc sử dụng vốn nhà nước để mua sắm nhằm duy trì hoạt động thường xuyên của cơ quan nhà nước, đơn vị thuộc lực lượng vũ trang nhân dân, đơn vị sự nghiệp công lập, tổ chức chính trị, tổ chức chính trị - xã hội, tổ chức chính trị xã hội - nghề nghiệp, tổ chức xã hội, tổ chức xã hội - nghề nghiệp; Thông tư số 68/2022/TT-BTC ngày 11/11/2022 của Bộ Tài chính sửa đổi, bổ sung một số điều của Thông tư 58/2016/TT-BTC ngày 29/3/2016; Quyết định số 50/2017/QĐ-TTg ngày 31/12/2017 của Thủ tướng Chính phủ quy định tiêu chuẩn, định mức sử dụng máy móc, thiết bị</w:t>
      </w:r>
    </w:p>
  </w:footnote>
  <w:footnote w:id="14">
    <w:p>
      <w:pPr>
        <w:pStyle w:val="FootnoteText"/>
        <w:ind w:firstLine="720"/>
        <w:jc w:val="both"/>
      </w:pPr>
      <w:r>
        <w:rPr>
          <w:rStyle w:val="FootnoteReference"/>
        </w:rPr>
        <w:footnoteRef/>
      </w:r>
      <w:r>
        <w:t xml:space="preserve"> Số thứ tự (STT) 28 Phụ lục XVII Quy hoạch tỉnh Hà Tĩnh: “Tên dự án: Xây dựng, nâng cấp kè chống sạt lở bờ sông, bờ biển thích ứng với biến đổi khí hậu; địa điểm xây dựng: các huyện, thị xã, thành phố”.</w:t>
      </w:r>
    </w:p>
  </w:footnote>
  <w:footnote w:id="15">
    <w:p>
      <w:pPr>
        <w:pStyle w:val="FootnoteText"/>
        <w:ind w:firstLine="720"/>
        <w:jc w:val="both"/>
      </w:pPr>
      <w:r>
        <w:rPr>
          <w:rStyle w:val="FootnoteReference"/>
        </w:rPr>
        <w:footnoteRef/>
      </w:r>
      <w:r>
        <w:t xml:space="preserve"> + Tuyến QL.15B được Bộ Giao thông vận tải, Cục Đường bộ Việt Nam uỷ thác Sở GTVT Hà Tĩnh quản lý. Đối với công trình thiết yếu xây dựng trong phạm vi bảo vệ kết cấu hạ tầng giao thông đường bộ tuyến QL.15B phải được Sở GTVT Hà Tĩnh chấp thuận xây dựng và cấp phép thi công (hoặc chấp thuận xây dựng cùng thời điểm với cấp giấy phép thi công) theo quy định tại Khoản 3, Điều 13 Thông tư số 50/2013/TT-BGTVT ngày 23/9/2015 của Bộ GTVT (đã được sửa đổi tại Khoản 2, Điều 1 Thông tư số 39/2021/TT-BGTVT ngày 31/12/2021 của Bộ GTVT). </w:t>
      </w:r>
    </w:p>
    <w:p>
      <w:pPr>
        <w:pStyle w:val="FootnoteText"/>
        <w:ind w:firstLine="720"/>
        <w:jc w:val="both"/>
      </w:pPr>
      <w:r>
        <w:t xml:space="preserve">+ Đối với công trình thiết yếu gắn vào cầu Cửa Nhượng: Theo phân cấp tại Thông tư số 06/2021/TT-BXD ngày 30/6/2021 của Bộ Xây dựng, cầu Cửa Nhượng là công trình cấp II. Theo quy định tại Điểm b, Khoản 2, Điều 13 của Thông tư số 50/2015/TT-BGTVT ngày 23/9/2015 của Bộ GTVT (Điều 13 đã được sửa đổi, bổ sung tại Khoản 2, Điều 1 Thông tư số 39/2021/TT-BGTVT ngày 31/12/2021 của Bộ GTVT) cơ quan có thẩm quyền chấp thuận thiết kế công trình thiết yếu lắp đặt vào cầu là Cục Đường bộ Việt Nam. </w:t>
      </w:r>
    </w:p>
    <w:p>
      <w:pPr>
        <w:pStyle w:val="FootnoteText"/>
        <w:ind w:firstLine="720"/>
        <w:jc w:val="both"/>
      </w:pPr>
      <w:r>
        <w:t>+ Trình tự, thủ tục và điều kiện chấp thuận xây dựng và cấp phép thi công thực hiện theo quy định tại Điều 26, Điều 27 Nghị định số 11/2010/NĐ-CP ngày 24/02/2010 của Chính phủ về quy định về quản lý và bảo vệ kết cấu hạ tầng giao thông đường bộ và các Điều 12, Điều 13, Điều 14, Điều 15 của Thông tư 50/2015/TT-BGTVT ngày của Bộ GTVT về việc hướng dẫn thực hiện một số điều của Nghị định 11/2010/NĐ-CP ngày 24/02/2010 của Chính phủ (đã được sửa đổi, bổ sung bởi các Thông tư số 35/2017/TT-BGTVT ngày 09/10/2017; Thông tư số 13/2020/TT-BGTVT ngày 29/6/2020 và Thông tư số 39/2021/TTBGTVT ngày 31/12/2021 của Bộ GTVT).</w:t>
      </w:r>
    </w:p>
  </w:footnote>
  <w:footnote w:id="16">
    <w:p>
      <w:pPr>
        <w:pStyle w:val="FootnoteText"/>
        <w:ind w:firstLine="720"/>
        <w:jc w:val="both"/>
      </w:pPr>
      <w:r>
        <w:rPr>
          <w:rStyle w:val="FootnoteReference"/>
        </w:rPr>
        <w:footnoteRef/>
      </w:r>
      <w:r>
        <w:t xml:space="preserve"> Nguồn vốn thực hiện từ Ngân sách tỉnh (bao gồm các nguồn tăng thu, tiết kiệm chi, nguồn dự phòng ngân sách xây dựng cơ bản tập trung và các khoản bổ sung khác từ Trung ương) trong Kế hoạch đầu tư công trung hạn vốn ngân sách địa phương giai đoạn 2016 - 2020 và ngân sách tỉnh sau năm 2020</w:t>
      </w:r>
    </w:p>
  </w:footnote>
  <w:footnote w:id="17">
    <w:p>
      <w:pPr>
        <w:pStyle w:val="FootnoteText"/>
        <w:ind w:firstLine="720"/>
        <w:jc w:val="both"/>
      </w:pPr>
      <w:r>
        <w:rPr>
          <w:rStyle w:val="FootnoteReference"/>
        </w:rPr>
        <w:footnoteRef/>
      </w:r>
      <w:r>
        <w:t xml:space="preserve"> Trong đó 12,527 tỷ đồng từ nguồn vốn đầu tư XDCB tập trung ngân sách tỉnh hỗ trợ có mục tiêu cho huyện</w:t>
      </w:r>
    </w:p>
  </w:footnote>
  <w:footnote w:id="18">
    <w:p>
      <w:pPr>
        <w:pStyle w:val="FootnoteText"/>
        <w:ind w:firstLine="720"/>
        <w:jc w:val="both"/>
      </w:pPr>
      <w:r>
        <w:rPr>
          <w:rStyle w:val="FootnoteReference"/>
        </w:rPr>
        <w:footnoteRef/>
      </w:r>
      <w:r>
        <w:t xml:space="preserve"> Ngân sách tỉnh 67 tỷ đồng (đã bố trí 35,187 tỷ đồng, Phần còn lại 31.813 triệu đồng bố trí từ nguồn tăng thu, tiết kiệm chi năm 2022); Ngân sách huyện Lộc Hà 8 tỷ đồng</w:t>
      </w:r>
    </w:p>
  </w:footnote>
  <w:footnote w:id="19">
    <w:p>
      <w:pPr>
        <w:pStyle w:val="FootnoteText"/>
        <w:ind w:firstLine="720"/>
        <w:jc w:val="both"/>
      </w:pPr>
      <w:r>
        <w:rPr>
          <w:rStyle w:val="FootnoteReference"/>
        </w:rPr>
        <w:footnoteRef/>
      </w:r>
      <w:r>
        <w:t xml:space="preserve"> nguồn vốn thực hiện từ Ngân sách tỉnh</w:t>
      </w:r>
    </w:p>
  </w:footnote>
  <w:footnote w:id="20">
    <w:p>
      <w:pPr>
        <w:pStyle w:val="FootnoteText"/>
        <w:ind w:firstLine="720"/>
        <w:jc w:val="both"/>
      </w:pPr>
      <w:r>
        <w:rPr>
          <w:rStyle w:val="FootnoteReference"/>
        </w:rPr>
        <w:footnoteRef/>
      </w:r>
      <w:r>
        <w:t xml:space="preserve"> Bao gồm 18.609,2 triệu đồng trong kế hoạch đầu tư công trung hạn giai đoạn 2016- 2020 và 39.000 triệu đồng trong kế hoạch đầu tư công trung hạn giai đoạn 2021- 2025.</w:t>
      </w:r>
    </w:p>
  </w:footnote>
  <w:footnote w:id="21">
    <w:p>
      <w:pPr>
        <w:pStyle w:val="FootnoteText"/>
        <w:ind w:firstLine="720"/>
        <w:jc w:val="both"/>
      </w:pPr>
      <w:r>
        <w:rPr>
          <w:rStyle w:val="FootnoteReference"/>
        </w:rPr>
        <w:footnoteRef/>
      </w:r>
      <w:r>
        <w:t xml:space="preserve"> Ngân sách tỉnh 68.609,2 triệu đồng (Đã bố trí 57.609,2 triệu đồng, Phần còn lại 11.000 triệu đồng bố trí từ nguồn tăng thu, tiết kiệm chi năm 2021, năm 2022 và giai đoạn 2023-2025); Ngân sách huyện Vũ Quang 440,092 triệu đồng</w:t>
      </w:r>
    </w:p>
  </w:footnote>
  <w:footnote w:id="22">
    <w:p>
      <w:pPr>
        <w:pStyle w:val="FootnoteText"/>
        <w:ind w:firstLine="720"/>
        <w:jc w:val="both"/>
      </w:pPr>
      <w:r>
        <w:rPr>
          <w:rStyle w:val="FootnoteReference"/>
        </w:rPr>
        <w:footnoteRef/>
      </w:r>
      <w:r>
        <w:t xml:space="preserve"> Chủ đầu tư đã phê duyệt quyết toán chi phí này</w:t>
      </w:r>
    </w:p>
  </w:footnote>
  <w:footnote w:id="23">
    <w:p>
      <w:pPr>
        <w:pStyle w:val="FootnoteText"/>
        <w:ind w:firstLine="720"/>
        <w:jc w:val="both"/>
      </w:pPr>
      <w:r>
        <w:rPr>
          <w:rStyle w:val="FootnoteReference"/>
        </w:rPr>
        <w:footnoteRef/>
      </w:r>
      <w:r>
        <w:t xml:space="preserve"> </w:t>
      </w:r>
      <w:r>
        <w:rPr>
          <w:spacing w:val="-2"/>
          <w:lang w:val="nl-NL"/>
        </w:rPr>
        <w:t>Ngân sách tỉnh trong kế hoạch đầu tư công trung hạn giai đoạn 2021 - 2025 và Chủ đầu tư huy động các nguồn vốn hợp pháp khác</w:t>
      </w:r>
    </w:p>
  </w:footnote>
  <w:footnote w:id="24">
    <w:p>
      <w:pPr>
        <w:pStyle w:val="FootnoteText"/>
        <w:ind w:firstLine="720"/>
        <w:jc w:val="both"/>
      </w:pPr>
      <w:r>
        <w:rPr>
          <w:rStyle w:val="FootnoteReference"/>
        </w:rPr>
        <w:footnoteRef/>
      </w:r>
      <w:r>
        <w:t xml:space="preserve"> - Ngân sách tỉnh bố trí 200,0 tỷ đồng trong kế hoạch đầu tư công trung hạn giai đoạn 2021-2025 tại Quyết định số 4256/QDD-UBND ngày 31/12/2021 của UBND tỉnh;</w:t>
      </w:r>
    </w:p>
    <w:p>
      <w:pPr>
        <w:pStyle w:val="FootnoteText"/>
        <w:ind w:firstLine="720"/>
        <w:jc w:val="both"/>
      </w:pPr>
      <w:r>
        <w:t>- Phần còn lại 374,984 tỷ đồng bố trí ngân sách tỉnh từ nguồn tăng thu, tiết kiệm chi năm 2021, năm 2022 và giai đoạn 2023-2025.</w:t>
      </w:r>
    </w:p>
  </w:footnote>
  <w:footnote w:id="25">
    <w:p>
      <w:pPr>
        <w:pStyle w:val="FootnoteText"/>
        <w:ind w:firstLine="720"/>
        <w:jc w:val="both"/>
      </w:pPr>
      <w:r>
        <w:rPr>
          <w:rStyle w:val="FootnoteReference"/>
        </w:rPr>
        <w:footnoteRef/>
      </w:r>
      <w:r>
        <w:t xml:space="preserve"> </w:t>
      </w:r>
      <w:r>
        <w:rPr>
          <w:lang w:val="nl-NL"/>
        </w:rPr>
        <w:t>Ngân sách tỉnh, gồm nguồn tăng thu, tiết kiệm chi; nguồn ngân sách Trung ương trợ cấp cân đối (giai đoạn 2019-2020); dự kiến kế hoạch đầu tư công trung hạn giai đoạn 2021 - 2025 và các nguồn vốn hợp pháp khác</w:t>
      </w:r>
    </w:p>
  </w:footnote>
  <w:footnote w:id="26">
    <w:p>
      <w:pPr>
        <w:pStyle w:val="BodyText"/>
        <w:widowControl w:val="0"/>
        <w:spacing w:after="0"/>
        <w:ind w:firstLine="720"/>
        <w:jc w:val="both"/>
        <w:rPr>
          <w:b/>
          <w:sz w:val="20"/>
          <w:szCs w:val="20"/>
          <w:lang w:val="pt-BR"/>
        </w:rPr>
      </w:pPr>
      <w:r>
        <w:rPr>
          <w:rStyle w:val="FootnoteReference"/>
          <w:sz w:val="20"/>
          <w:szCs w:val="20"/>
        </w:rPr>
        <w:footnoteRef/>
      </w:r>
      <w:r>
        <w:rPr>
          <w:sz w:val="20"/>
          <w:szCs w:val="20"/>
        </w:rPr>
        <w:t xml:space="preserve"> </w:t>
      </w:r>
      <w:r>
        <w:rPr>
          <w:sz w:val="20"/>
          <w:szCs w:val="20"/>
          <w:lang w:val="pt-BR"/>
        </w:rPr>
        <w:t>+ 105,0 tỷ đồng được giao kế hoạch đầu tư công trung hạn vốn cân đối ngân sách địa phương giai đoạn 2021-2025 tại Quyết định số 4256/QĐ-UBND ngày 31/12/2021 của UBND tỉnh.</w:t>
      </w:r>
    </w:p>
    <w:p>
      <w:pPr>
        <w:pStyle w:val="FootnoteText"/>
        <w:ind w:firstLine="720"/>
        <w:jc w:val="both"/>
      </w:pPr>
      <w:r>
        <w:rPr>
          <w:b/>
          <w:lang w:val="pt-BR"/>
        </w:rPr>
        <w:t xml:space="preserve">+ </w:t>
      </w:r>
      <w:r>
        <w:rPr>
          <w:lang w:val="nl-NL"/>
        </w:rPr>
        <w:t xml:space="preserve">135,862 tỷ đồng theo </w:t>
      </w:r>
      <w:r>
        <w:rPr>
          <w:lang w:eastAsia="vi-VN"/>
        </w:rPr>
        <w:t>phương án sử dụng nguồn tăng thu, tiết kiệm chi ngân sách tỉnh năm 2021, năm 2022 và dự kiến giai đoạn 2023-2025</w:t>
      </w:r>
    </w:p>
  </w:footnote>
  <w:footnote w:id="27">
    <w:p>
      <w:pPr>
        <w:widowControl w:val="0"/>
        <w:ind w:firstLine="720"/>
        <w:jc w:val="both"/>
        <w:outlineLvl w:val="4"/>
        <w:rPr>
          <w:spacing w:val="-2"/>
          <w:sz w:val="20"/>
          <w:szCs w:val="20"/>
        </w:rPr>
      </w:pPr>
      <w:r>
        <w:rPr>
          <w:rStyle w:val="FootnoteReference"/>
          <w:sz w:val="20"/>
          <w:szCs w:val="20"/>
        </w:rPr>
        <w:footnoteRef/>
      </w:r>
      <w:r>
        <w:rPr>
          <w:sz w:val="20"/>
          <w:szCs w:val="20"/>
        </w:rPr>
        <w:t xml:space="preserve"> </w:t>
      </w:r>
      <w:r>
        <w:rPr>
          <w:spacing w:val="-2"/>
          <w:sz w:val="20"/>
          <w:szCs w:val="20"/>
        </w:rPr>
        <w:t>a) Ngân sách trung ương trong kế hoạch đầu tư công trung hạn giai đoạn 2021 - 2025: 200 tỷ đồng;</w:t>
      </w:r>
    </w:p>
    <w:p>
      <w:pPr>
        <w:pStyle w:val="FootnoteText"/>
        <w:ind w:firstLine="720"/>
        <w:jc w:val="both"/>
      </w:pPr>
      <w:r>
        <w:rPr>
          <w:spacing w:val="-2"/>
        </w:rPr>
        <w:t xml:space="preserve">b) </w:t>
      </w:r>
      <w:r>
        <w:t xml:space="preserve">Ngân sách tỉnh </w:t>
      </w:r>
      <w:r>
        <w:rPr>
          <w:lang w:val="nl-NL"/>
        </w:rPr>
        <w:t xml:space="preserve">theo quy định của Luật Đầu tư công, Luật Ngân sách nhà nước, </w:t>
      </w:r>
      <w:r>
        <w:rPr>
          <w:lang w:val="pt-BR"/>
        </w:rPr>
        <w:t>Nghị quyết số 245/2020/NQ-HĐND ngày 08/12/2020 của Hội đồng nhân dân tỉnh và chủ đầu tư huy động các nguồn vốn hợp pháp khác</w:t>
      </w:r>
      <w:r>
        <w:rPr>
          <w:spacing w:val="-2"/>
        </w:rPr>
        <w:t>: 50 tỷ đồng.</w:t>
      </w:r>
    </w:p>
  </w:footnote>
  <w:footnote w:id="28">
    <w:p>
      <w:pPr>
        <w:pStyle w:val="FootnoteText"/>
        <w:ind w:firstLine="720"/>
        <w:jc w:val="both"/>
      </w:pPr>
      <w:r>
        <w:rPr>
          <w:rStyle w:val="FootnoteReference"/>
        </w:rPr>
        <w:footnoteRef/>
      </w:r>
      <w:r>
        <w:t xml:space="preserve"> (1). </w:t>
      </w:r>
      <w:r>
        <w:rPr>
          <w:lang w:eastAsia="vi-VN"/>
        </w:rPr>
        <w:t>Xây mới tuyến Xây mới tuyến kênh dẫn nước từ hồ Bồng Sơn đến đường Phan Chánh; (2). Xây mới hồ điều hòa Đập Hầu; (3). Xây mới tuyến đường Nguyễn Trung Thiên (đường Phan Bội Châu) kéo dài từ Văn Yên đến Cẩm Bình kết nối đến Đường tỉnh ĐT.553; Xây mới tuyến đường Xuân Diệu kéo dài; (4). Xây mới tuyến đường Nguyễn Trung Thiên kéo dài (Đoạn từ Đường Ngô Quyền đến đường Vành đai phía Đông thành phố Hà Tĩnh)</w:t>
      </w:r>
    </w:p>
  </w:footnote>
  <w:footnote w:id="29">
    <w:p>
      <w:pPr>
        <w:pStyle w:val="FootnoteText"/>
        <w:ind w:firstLine="720"/>
        <w:jc w:val="both"/>
      </w:pPr>
      <w:r>
        <w:rPr>
          <w:rStyle w:val="FootnoteReference"/>
        </w:rPr>
        <w:footnoteRef/>
      </w:r>
      <w:r>
        <w:t xml:space="preserve"> Xây mới tuyến kênh nối lưu vực Cầu Nủi đến hồ điều hòa Hà Huy Tập.</w:t>
      </w:r>
    </w:p>
  </w:footnote>
  <w:footnote w:id="30">
    <w:p>
      <w:pPr>
        <w:pStyle w:val="FootnoteText"/>
        <w:ind w:firstLine="720"/>
        <w:jc w:val="both"/>
      </w:pPr>
      <w:r>
        <w:rPr>
          <w:rStyle w:val="FootnoteReference"/>
        </w:rPr>
        <w:footnoteRef/>
      </w:r>
      <w:r>
        <w:t xml:space="preserve"> </w:t>
      </w:r>
      <w:r>
        <w:rPr>
          <w:lang w:eastAsia="vi-VN"/>
        </w:rPr>
        <w:t>Xây mới kênh dẫn nước từ hồ Thạch Tân đến hồ Nhật Tân (Thạch Linh), đoạn thuộc địa bàn huyện Thạch Hà</w:t>
      </w:r>
    </w:p>
  </w:footnote>
  <w:footnote w:id="31">
    <w:p>
      <w:pPr>
        <w:pStyle w:val="FootnoteText"/>
        <w:ind w:firstLine="720"/>
        <w:jc w:val="both"/>
      </w:pPr>
      <w:r>
        <w:rPr>
          <w:rStyle w:val="FootnoteReference"/>
        </w:rPr>
        <w:footnoteRef/>
      </w:r>
      <w:r>
        <w:t xml:space="preserve"> </w:t>
      </w:r>
      <w:r>
        <w:rPr>
          <w:lang w:eastAsia="vi-VN"/>
        </w:rPr>
        <w:t>Xây mới tuyến đường Nguyễn Trung Thiên (đường Phan Bội Châu) kéo dài từ Văn Yên đến Cẩm Bình kết nối đến Đường tỉnh ĐT.553, đoạn thuộc địa bàn huyện Cẩm Xuyên</w:t>
      </w:r>
    </w:p>
  </w:footnote>
  <w:footnote w:id="32">
    <w:p>
      <w:pPr>
        <w:widowControl w:val="0"/>
        <w:tabs>
          <w:tab w:val="left" w:pos="0"/>
        </w:tabs>
        <w:ind w:firstLine="720"/>
        <w:jc w:val="both"/>
        <w:outlineLvl w:val="4"/>
        <w:rPr>
          <w:sz w:val="20"/>
          <w:szCs w:val="20"/>
          <w:lang w:eastAsia="vi-VN"/>
        </w:rPr>
      </w:pPr>
      <w:r>
        <w:rPr>
          <w:rStyle w:val="FootnoteReference"/>
          <w:sz w:val="20"/>
          <w:szCs w:val="20"/>
        </w:rPr>
        <w:footnoteRef/>
      </w:r>
      <w:r>
        <w:rPr>
          <w:sz w:val="20"/>
          <w:szCs w:val="20"/>
        </w:rPr>
        <w:t xml:space="preserve"> </w:t>
      </w:r>
      <w:r>
        <w:rPr>
          <w:sz w:val="20"/>
          <w:szCs w:val="20"/>
          <w:lang w:eastAsia="vi-VN"/>
        </w:rPr>
        <w:t xml:space="preserve">(1). Cắt giảm các hạng mục: Xây dựng mới kênh dẫn nước từ kênh T3 đến hồ Linh Tiến phường Thạch Linh; Xây dựng mới hệ thống cống kết nối giữa hồ Nhật Tân và hồ Linh Tiến; Xây mới Trạm bơm Linh Tiến; </w:t>
      </w:r>
    </w:p>
    <w:p>
      <w:pPr>
        <w:widowControl w:val="0"/>
        <w:tabs>
          <w:tab w:val="left" w:pos="0"/>
        </w:tabs>
        <w:ind w:firstLine="720"/>
        <w:jc w:val="both"/>
        <w:outlineLvl w:val="4"/>
        <w:rPr>
          <w:sz w:val="20"/>
          <w:szCs w:val="20"/>
        </w:rPr>
      </w:pPr>
      <w:r>
        <w:rPr>
          <w:sz w:val="20"/>
          <w:szCs w:val="20"/>
          <w:lang w:eastAsia="vi-VN"/>
        </w:rPr>
        <w:t>(2). Bổ sung hạng mục Xây mới hồ điều hoà và trạm bơm Nhật Tân.</w:t>
      </w:r>
    </w:p>
  </w:footnote>
  <w:footnote w:id="33">
    <w:p>
      <w:pPr>
        <w:pStyle w:val="FootnoteText"/>
        <w:ind w:firstLine="720"/>
        <w:jc w:val="both"/>
      </w:pPr>
      <w:r>
        <w:rPr>
          <w:rStyle w:val="FootnoteReference"/>
        </w:rPr>
        <w:footnoteRef/>
      </w:r>
      <w:r>
        <w:t xml:space="preserve"> </w:t>
      </w:r>
      <w:r>
        <w:rPr>
          <w:iCs/>
        </w:rPr>
        <w:t>Đối với dự án nhóm A sử dụng vốn ODA, vốn vay ưu đãi của các nhà tài trợ nước ngoài và dự án quy định tại khoản 1 Điều 8 của Luật này do Ủy ban nhân dân cấp tỉnh chuẩn bị báo cáo nghiên cứu tiền khả thi, Ủy ban nhân dân cấp tỉnh trình Hội đồng nhân dân cùng cấp cho ý kiến trước khi trình Thủ tướng Chính phủ</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977028"/>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3F8F"/>
    <w:multiLevelType w:val="hybridMultilevel"/>
    <w:tmpl w:val="C20AA47A"/>
    <w:lvl w:ilvl="0" w:tplc="808621D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DE6963"/>
    <w:multiLevelType w:val="multilevel"/>
    <w:tmpl w:val="AAE21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revisionView w:inkAnnotations="0"/>
  <w:defaultTabStop w:val="720"/>
  <w:drawingGridHorizontalSpacing w:val="140"/>
  <w:drawingGridVerticalSpacing w:val="1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D336F-C21D-47B5-81FB-05B1D464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qFormat/>
    <w:pPr>
      <w:keepNext/>
      <w:jc w:val="center"/>
      <w:outlineLvl w:val="0"/>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Pr>
      <w:vertAlign w:val="superscript"/>
    </w:rPr>
  </w:style>
  <w:style w:type="character" w:customStyle="1" w:styleId="Heading1Char">
    <w:name w:val="Heading 1 Char"/>
    <w:basedOn w:val="DefaultParagraphFont"/>
    <w:link w:val="Heading1"/>
    <w:rPr>
      <w:rFonts w:ascii=".VnTimeH" w:eastAsia="Times New Roman" w:hAnsi=".VnTimeH" w:cs="Times New Roman"/>
      <w:b/>
      <w:sz w:val="24"/>
      <w:szCs w:val="28"/>
    </w:rPr>
  </w:style>
  <w:style w:type="paragraph" w:styleId="ListParagraph">
    <w:name w:val="List Paragraph"/>
    <w:basedOn w:val="Normal"/>
    <w:uiPriority w:val="34"/>
    <w:qFormat/>
    <w:pPr>
      <w:ind w:left="720"/>
      <w:contextualSpacing/>
    </w:pPr>
  </w:style>
  <w:style w:type="character" w:customStyle="1" w:styleId="Vnbnnidung">
    <w:name w:val="Văn bản nội dung_"/>
    <w:basedOn w:val="DefaultParagraphFont"/>
    <w:link w:val="Vnbnnidung0"/>
    <w:rPr>
      <w:rFonts w:ascii="Times New Roman" w:eastAsia="Times New Roman" w:hAnsi="Times New Roman" w:cs="Times New Roman"/>
      <w:spacing w:val="10"/>
      <w:sz w:val="25"/>
      <w:szCs w:val="25"/>
      <w:shd w:val="clear" w:color="auto" w:fill="FFFFFF"/>
    </w:rPr>
  </w:style>
  <w:style w:type="paragraph" w:customStyle="1" w:styleId="Vnbnnidung0">
    <w:name w:val="Văn bản nội dung"/>
    <w:basedOn w:val="Normal"/>
    <w:link w:val="Vnbnnidung"/>
    <w:pPr>
      <w:widowControl w:val="0"/>
      <w:shd w:val="clear" w:color="auto" w:fill="FFFFFF"/>
      <w:spacing w:before="720" w:after="540" w:line="0" w:lineRule="atLeast"/>
      <w:jc w:val="center"/>
    </w:pPr>
    <w:rPr>
      <w:spacing w:val="10"/>
      <w:sz w:val="25"/>
      <w:szCs w:val="25"/>
    </w:rPr>
  </w:style>
  <w:style w:type="character" w:customStyle="1" w:styleId="Ghichcuitrang">
    <w:name w:val="Ghi chú cuối trang_"/>
    <w:basedOn w:val="DefaultParagraphFont"/>
    <w:link w:val="Ghichcuitrang0"/>
    <w:rPr>
      <w:rFonts w:ascii="Times New Roman" w:eastAsia="Times New Roman" w:hAnsi="Times New Roman" w:cs="Times New Roman"/>
      <w:spacing w:val="10"/>
      <w:sz w:val="17"/>
      <w:szCs w:val="17"/>
      <w:shd w:val="clear" w:color="auto" w:fill="FFFFFF"/>
    </w:rPr>
  </w:style>
  <w:style w:type="character" w:customStyle="1" w:styleId="GhichcuitrangInnghing">
    <w:name w:val="Ghi chú cuối trang + In nghiêng"/>
    <w:aliases w:val="Giãn cách 0 pt,Văn bản nội dung + 12 pt"/>
    <w:basedOn w:val="Ghichcuitrang"/>
    <w:rPr>
      <w:rFonts w:ascii="Times New Roman" w:eastAsia="Times New Roman" w:hAnsi="Times New Roman" w:cs="Times New Roman"/>
      <w:i/>
      <w:iCs/>
      <w:color w:val="000000"/>
      <w:spacing w:val="0"/>
      <w:w w:val="100"/>
      <w:position w:val="0"/>
      <w:sz w:val="17"/>
      <w:szCs w:val="17"/>
      <w:shd w:val="clear" w:color="auto" w:fill="FFFFFF"/>
    </w:rPr>
  </w:style>
  <w:style w:type="paragraph" w:customStyle="1" w:styleId="Ghichcuitrang0">
    <w:name w:val="Ghi chú cuối trang"/>
    <w:basedOn w:val="Normal"/>
    <w:link w:val="Ghichcuitrang"/>
    <w:pPr>
      <w:widowControl w:val="0"/>
      <w:shd w:val="clear" w:color="auto" w:fill="FFFFFF"/>
      <w:spacing w:line="241" w:lineRule="exact"/>
      <w:jc w:val="both"/>
    </w:pPr>
    <w:rPr>
      <w:spacing w:val="10"/>
      <w:sz w:val="17"/>
      <w:szCs w:val="17"/>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character" w:customStyle="1" w:styleId="VnbnnidungInnghing">
    <w:name w:val="Văn bản nội dung + In nghiêng"/>
    <w:basedOn w:val="Vnbnnidung"/>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VnTime" w:eastAsia="Times New Roman" w:hAnsi=".VnTime" w:cs="Times New Roman"/>
      <w:sz w:val="29"/>
      <w:szCs w:val="29"/>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VnTime" w:eastAsia="Times New Roman" w:hAnsi=".VnTime" w:cs="Times New Roman"/>
      <w:sz w:val="29"/>
      <w:szCs w:val="29"/>
    </w:rPr>
  </w:style>
  <w:style w:type="paragraph" w:customStyle="1" w:styleId="BodyText1">
    <w:name w:val="Body Text1"/>
    <w:basedOn w:val="Normal"/>
    <w:pPr>
      <w:widowControl w:val="0"/>
      <w:shd w:val="clear" w:color="auto" w:fill="FFFFFF"/>
      <w:spacing w:before="540" w:after="60" w:line="346" w:lineRule="exact"/>
      <w:jc w:val="both"/>
    </w:pPr>
    <w:rPr>
      <w:color w:val="000000"/>
      <w:sz w:val="26"/>
      <w:szCs w:val="26"/>
      <w:lang w:val="vi-VN"/>
    </w:rPr>
  </w:style>
  <w:style w:type="paragraph" w:customStyle="1" w:styleId="Bnhthng">
    <w:name w:val="Bình thường"/>
    <w:basedOn w:val="Normal"/>
    <w:autoRedefine/>
    <w:pPr>
      <w:widowControl w:val="0"/>
      <w:tabs>
        <w:tab w:val="left" w:pos="4974"/>
      </w:tabs>
      <w:spacing w:before="60" w:after="60"/>
      <w:ind w:firstLine="720"/>
      <w:jc w:val="both"/>
    </w:pPr>
    <w:rPr>
      <w:rFonts w:eastAsia="Times New Roman"/>
    </w:rPr>
  </w:style>
  <w:style w:type="paragraph" w:styleId="BodyText">
    <w:name w:val="Body Text"/>
    <w:basedOn w:val="Normal"/>
    <w:link w:val="BodyTextChar"/>
    <w:pPr>
      <w:spacing w:after="120"/>
    </w:pPr>
    <w:rPr>
      <w:rFonts w:eastAsia="Times New Roman"/>
      <w:sz w:val="24"/>
      <w:szCs w:val="24"/>
    </w:rPr>
  </w:style>
  <w:style w:type="character" w:customStyle="1" w:styleId="BodyTextChar">
    <w:name w:val="Body Text Char"/>
    <w:basedOn w:val="DefaultParagraphFont"/>
    <w:link w:val="BodyText"/>
    <w:rPr>
      <w:rFonts w:eastAsia="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customStyle="1" w:styleId="CharCharCharChar">
    <w:name w:val="Char Char Char Char"/>
    <w:basedOn w:val="Normal"/>
    <w:pPr>
      <w:pageBreakBefore/>
      <w:spacing w:before="100" w:beforeAutospacing="1" w:after="100" w:afterAutospacing="1"/>
      <w:jc w:val="both"/>
    </w:pPr>
    <w:rPr>
      <w:rFonts w:ascii="Tahoma" w:eastAsia="Times New Roman" w:hAnsi="Tahoma"/>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
    <w:name w:val="Body Text Indent"/>
    <w:basedOn w:val="Normal"/>
    <w:link w:val="BodyTextIndentChar"/>
    <w:uiPriority w:val="99"/>
    <w:unhideWhenUsed/>
    <w:pPr>
      <w:spacing w:after="120"/>
      <w:ind w:left="283"/>
    </w:pPr>
  </w:style>
  <w:style w:type="character" w:customStyle="1" w:styleId="BodyTextIndentChar">
    <w:name w:val="Body Text Indent Char"/>
    <w:basedOn w:val="DefaultParagraphFont"/>
    <w:link w:val="BodyTextIndent"/>
    <w:uiPriority w:val="99"/>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paragraph" w:styleId="BodyText3">
    <w:name w:val="Body Text 3"/>
    <w:basedOn w:val="Normal"/>
    <w:link w:val="BodyText3Char"/>
    <w:pPr>
      <w:spacing w:after="120"/>
    </w:pPr>
    <w:rPr>
      <w:rFonts w:ascii=".VnTime" w:eastAsia="Times New Roman" w:hAnsi=".VnTime"/>
      <w:sz w:val="16"/>
      <w:szCs w:val="16"/>
    </w:rPr>
  </w:style>
  <w:style w:type="character" w:customStyle="1" w:styleId="BodyText3Char">
    <w:name w:val="Body Text 3 Char"/>
    <w:basedOn w:val="DefaultParagraphFont"/>
    <w:link w:val="BodyText3"/>
    <w:rPr>
      <w:rFonts w:ascii=".VnTime" w:eastAsia="Times New Roman" w:hAnsi=".VnTime"/>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Revision">
    <w:name w:val="Revision"/>
    <w:hidden/>
    <w:uiPriority w:val="99"/>
    <w:semiHidden/>
    <w:pPr>
      <w:spacing w:after="0" w:line="240" w:lineRule="auto"/>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7969">
      <w:bodyDiv w:val="1"/>
      <w:marLeft w:val="0"/>
      <w:marRight w:val="0"/>
      <w:marTop w:val="0"/>
      <w:marBottom w:val="0"/>
      <w:divBdr>
        <w:top w:val="none" w:sz="0" w:space="0" w:color="auto"/>
        <w:left w:val="none" w:sz="0" w:space="0" w:color="auto"/>
        <w:bottom w:val="none" w:sz="0" w:space="0" w:color="auto"/>
        <w:right w:val="none" w:sz="0" w:space="0" w:color="auto"/>
      </w:divBdr>
    </w:div>
    <w:div w:id="88697643">
      <w:bodyDiv w:val="1"/>
      <w:marLeft w:val="0"/>
      <w:marRight w:val="0"/>
      <w:marTop w:val="0"/>
      <w:marBottom w:val="0"/>
      <w:divBdr>
        <w:top w:val="none" w:sz="0" w:space="0" w:color="auto"/>
        <w:left w:val="none" w:sz="0" w:space="0" w:color="auto"/>
        <w:bottom w:val="none" w:sz="0" w:space="0" w:color="auto"/>
        <w:right w:val="none" w:sz="0" w:space="0" w:color="auto"/>
      </w:divBdr>
    </w:div>
    <w:div w:id="128985723">
      <w:bodyDiv w:val="1"/>
      <w:marLeft w:val="0"/>
      <w:marRight w:val="0"/>
      <w:marTop w:val="0"/>
      <w:marBottom w:val="0"/>
      <w:divBdr>
        <w:top w:val="none" w:sz="0" w:space="0" w:color="auto"/>
        <w:left w:val="none" w:sz="0" w:space="0" w:color="auto"/>
        <w:bottom w:val="none" w:sz="0" w:space="0" w:color="auto"/>
        <w:right w:val="none" w:sz="0" w:space="0" w:color="auto"/>
      </w:divBdr>
    </w:div>
    <w:div w:id="141511923">
      <w:bodyDiv w:val="1"/>
      <w:marLeft w:val="0"/>
      <w:marRight w:val="0"/>
      <w:marTop w:val="0"/>
      <w:marBottom w:val="0"/>
      <w:divBdr>
        <w:top w:val="none" w:sz="0" w:space="0" w:color="auto"/>
        <w:left w:val="none" w:sz="0" w:space="0" w:color="auto"/>
        <w:bottom w:val="none" w:sz="0" w:space="0" w:color="auto"/>
        <w:right w:val="none" w:sz="0" w:space="0" w:color="auto"/>
      </w:divBdr>
    </w:div>
    <w:div w:id="142047352">
      <w:bodyDiv w:val="1"/>
      <w:marLeft w:val="0"/>
      <w:marRight w:val="0"/>
      <w:marTop w:val="0"/>
      <w:marBottom w:val="0"/>
      <w:divBdr>
        <w:top w:val="none" w:sz="0" w:space="0" w:color="auto"/>
        <w:left w:val="none" w:sz="0" w:space="0" w:color="auto"/>
        <w:bottom w:val="none" w:sz="0" w:space="0" w:color="auto"/>
        <w:right w:val="none" w:sz="0" w:space="0" w:color="auto"/>
      </w:divBdr>
      <w:divsChild>
        <w:div w:id="1310592802">
          <w:marLeft w:val="0"/>
          <w:marRight w:val="0"/>
          <w:marTop w:val="0"/>
          <w:marBottom w:val="0"/>
          <w:divBdr>
            <w:top w:val="none" w:sz="0" w:space="0" w:color="auto"/>
            <w:left w:val="none" w:sz="0" w:space="0" w:color="auto"/>
            <w:bottom w:val="none" w:sz="0" w:space="0" w:color="auto"/>
            <w:right w:val="none" w:sz="0" w:space="0" w:color="auto"/>
          </w:divBdr>
        </w:div>
      </w:divsChild>
    </w:div>
    <w:div w:id="158810329">
      <w:bodyDiv w:val="1"/>
      <w:marLeft w:val="0"/>
      <w:marRight w:val="0"/>
      <w:marTop w:val="0"/>
      <w:marBottom w:val="0"/>
      <w:divBdr>
        <w:top w:val="none" w:sz="0" w:space="0" w:color="auto"/>
        <w:left w:val="none" w:sz="0" w:space="0" w:color="auto"/>
        <w:bottom w:val="none" w:sz="0" w:space="0" w:color="auto"/>
        <w:right w:val="none" w:sz="0" w:space="0" w:color="auto"/>
      </w:divBdr>
    </w:div>
    <w:div w:id="179468951">
      <w:bodyDiv w:val="1"/>
      <w:marLeft w:val="0"/>
      <w:marRight w:val="0"/>
      <w:marTop w:val="0"/>
      <w:marBottom w:val="0"/>
      <w:divBdr>
        <w:top w:val="none" w:sz="0" w:space="0" w:color="auto"/>
        <w:left w:val="none" w:sz="0" w:space="0" w:color="auto"/>
        <w:bottom w:val="none" w:sz="0" w:space="0" w:color="auto"/>
        <w:right w:val="none" w:sz="0" w:space="0" w:color="auto"/>
      </w:divBdr>
    </w:div>
    <w:div w:id="187372257">
      <w:bodyDiv w:val="1"/>
      <w:marLeft w:val="0"/>
      <w:marRight w:val="0"/>
      <w:marTop w:val="0"/>
      <w:marBottom w:val="0"/>
      <w:divBdr>
        <w:top w:val="none" w:sz="0" w:space="0" w:color="auto"/>
        <w:left w:val="none" w:sz="0" w:space="0" w:color="auto"/>
        <w:bottom w:val="none" w:sz="0" w:space="0" w:color="auto"/>
        <w:right w:val="none" w:sz="0" w:space="0" w:color="auto"/>
      </w:divBdr>
      <w:divsChild>
        <w:div w:id="24335793">
          <w:marLeft w:val="0"/>
          <w:marRight w:val="0"/>
          <w:marTop w:val="0"/>
          <w:marBottom w:val="0"/>
          <w:divBdr>
            <w:top w:val="single" w:sz="6" w:space="0" w:color="FFB780"/>
            <w:left w:val="single" w:sz="6" w:space="0" w:color="FFB780"/>
            <w:bottom w:val="none" w:sz="0" w:space="0" w:color="auto"/>
            <w:right w:val="single" w:sz="6" w:space="0" w:color="FFB780"/>
          </w:divBdr>
        </w:div>
      </w:divsChild>
    </w:div>
    <w:div w:id="329405260">
      <w:bodyDiv w:val="1"/>
      <w:marLeft w:val="0"/>
      <w:marRight w:val="0"/>
      <w:marTop w:val="0"/>
      <w:marBottom w:val="0"/>
      <w:divBdr>
        <w:top w:val="none" w:sz="0" w:space="0" w:color="auto"/>
        <w:left w:val="none" w:sz="0" w:space="0" w:color="auto"/>
        <w:bottom w:val="none" w:sz="0" w:space="0" w:color="auto"/>
        <w:right w:val="none" w:sz="0" w:space="0" w:color="auto"/>
      </w:divBdr>
    </w:div>
    <w:div w:id="339352511">
      <w:bodyDiv w:val="1"/>
      <w:marLeft w:val="0"/>
      <w:marRight w:val="0"/>
      <w:marTop w:val="0"/>
      <w:marBottom w:val="0"/>
      <w:divBdr>
        <w:top w:val="none" w:sz="0" w:space="0" w:color="auto"/>
        <w:left w:val="none" w:sz="0" w:space="0" w:color="auto"/>
        <w:bottom w:val="none" w:sz="0" w:space="0" w:color="auto"/>
        <w:right w:val="none" w:sz="0" w:space="0" w:color="auto"/>
      </w:divBdr>
    </w:div>
    <w:div w:id="363791832">
      <w:bodyDiv w:val="1"/>
      <w:marLeft w:val="0"/>
      <w:marRight w:val="0"/>
      <w:marTop w:val="0"/>
      <w:marBottom w:val="0"/>
      <w:divBdr>
        <w:top w:val="none" w:sz="0" w:space="0" w:color="auto"/>
        <w:left w:val="none" w:sz="0" w:space="0" w:color="auto"/>
        <w:bottom w:val="none" w:sz="0" w:space="0" w:color="auto"/>
        <w:right w:val="none" w:sz="0" w:space="0" w:color="auto"/>
      </w:divBdr>
    </w:div>
    <w:div w:id="387147460">
      <w:bodyDiv w:val="1"/>
      <w:marLeft w:val="0"/>
      <w:marRight w:val="0"/>
      <w:marTop w:val="0"/>
      <w:marBottom w:val="0"/>
      <w:divBdr>
        <w:top w:val="none" w:sz="0" w:space="0" w:color="auto"/>
        <w:left w:val="none" w:sz="0" w:space="0" w:color="auto"/>
        <w:bottom w:val="none" w:sz="0" w:space="0" w:color="auto"/>
        <w:right w:val="none" w:sz="0" w:space="0" w:color="auto"/>
      </w:divBdr>
    </w:div>
    <w:div w:id="519202912">
      <w:bodyDiv w:val="1"/>
      <w:marLeft w:val="0"/>
      <w:marRight w:val="0"/>
      <w:marTop w:val="0"/>
      <w:marBottom w:val="0"/>
      <w:divBdr>
        <w:top w:val="none" w:sz="0" w:space="0" w:color="auto"/>
        <w:left w:val="none" w:sz="0" w:space="0" w:color="auto"/>
        <w:bottom w:val="none" w:sz="0" w:space="0" w:color="auto"/>
        <w:right w:val="none" w:sz="0" w:space="0" w:color="auto"/>
      </w:divBdr>
    </w:div>
    <w:div w:id="535119626">
      <w:bodyDiv w:val="1"/>
      <w:marLeft w:val="0"/>
      <w:marRight w:val="0"/>
      <w:marTop w:val="0"/>
      <w:marBottom w:val="0"/>
      <w:divBdr>
        <w:top w:val="none" w:sz="0" w:space="0" w:color="auto"/>
        <w:left w:val="none" w:sz="0" w:space="0" w:color="auto"/>
        <w:bottom w:val="none" w:sz="0" w:space="0" w:color="auto"/>
        <w:right w:val="none" w:sz="0" w:space="0" w:color="auto"/>
      </w:divBdr>
      <w:divsChild>
        <w:div w:id="1803616604">
          <w:marLeft w:val="0"/>
          <w:marRight w:val="0"/>
          <w:marTop w:val="0"/>
          <w:marBottom w:val="0"/>
          <w:divBdr>
            <w:top w:val="single" w:sz="6" w:space="0" w:color="FFB780"/>
            <w:left w:val="single" w:sz="6" w:space="0" w:color="FFB780"/>
            <w:bottom w:val="none" w:sz="0" w:space="0" w:color="auto"/>
            <w:right w:val="single" w:sz="6" w:space="0" w:color="FFB780"/>
          </w:divBdr>
        </w:div>
      </w:divsChild>
    </w:div>
    <w:div w:id="563444255">
      <w:bodyDiv w:val="1"/>
      <w:marLeft w:val="0"/>
      <w:marRight w:val="0"/>
      <w:marTop w:val="0"/>
      <w:marBottom w:val="0"/>
      <w:divBdr>
        <w:top w:val="none" w:sz="0" w:space="0" w:color="auto"/>
        <w:left w:val="none" w:sz="0" w:space="0" w:color="auto"/>
        <w:bottom w:val="none" w:sz="0" w:space="0" w:color="auto"/>
        <w:right w:val="none" w:sz="0" w:space="0" w:color="auto"/>
      </w:divBdr>
    </w:div>
    <w:div w:id="611281763">
      <w:bodyDiv w:val="1"/>
      <w:marLeft w:val="0"/>
      <w:marRight w:val="0"/>
      <w:marTop w:val="0"/>
      <w:marBottom w:val="0"/>
      <w:divBdr>
        <w:top w:val="none" w:sz="0" w:space="0" w:color="auto"/>
        <w:left w:val="none" w:sz="0" w:space="0" w:color="auto"/>
        <w:bottom w:val="none" w:sz="0" w:space="0" w:color="auto"/>
        <w:right w:val="none" w:sz="0" w:space="0" w:color="auto"/>
      </w:divBdr>
    </w:div>
    <w:div w:id="612830075">
      <w:bodyDiv w:val="1"/>
      <w:marLeft w:val="0"/>
      <w:marRight w:val="0"/>
      <w:marTop w:val="0"/>
      <w:marBottom w:val="0"/>
      <w:divBdr>
        <w:top w:val="none" w:sz="0" w:space="0" w:color="auto"/>
        <w:left w:val="none" w:sz="0" w:space="0" w:color="auto"/>
        <w:bottom w:val="none" w:sz="0" w:space="0" w:color="auto"/>
        <w:right w:val="none" w:sz="0" w:space="0" w:color="auto"/>
      </w:divBdr>
    </w:div>
    <w:div w:id="613951373">
      <w:bodyDiv w:val="1"/>
      <w:marLeft w:val="0"/>
      <w:marRight w:val="0"/>
      <w:marTop w:val="0"/>
      <w:marBottom w:val="0"/>
      <w:divBdr>
        <w:top w:val="none" w:sz="0" w:space="0" w:color="auto"/>
        <w:left w:val="none" w:sz="0" w:space="0" w:color="auto"/>
        <w:bottom w:val="none" w:sz="0" w:space="0" w:color="auto"/>
        <w:right w:val="none" w:sz="0" w:space="0" w:color="auto"/>
      </w:divBdr>
    </w:div>
    <w:div w:id="619193512">
      <w:bodyDiv w:val="1"/>
      <w:marLeft w:val="0"/>
      <w:marRight w:val="0"/>
      <w:marTop w:val="0"/>
      <w:marBottom w:val="0"/>
      <w:divBdr>
        <w:top w:val="none" w:sz="0" w:space="0" w:color="auto"/>
        <w:left w:val="none" w:sz="0" w:space="0" w:color="auto"/>
        <w:bottom w:val="none" w:sz="0" w:space="0" w:color="auto"/>
        <w:right w:val="none" w:sz="0" w:space="0" w:color="auto"/>
      </w:divBdr>
    </w:div>
    <w:div w:id="631790488">
      <w:bodyDiv w:val="1"/>
      <w:marLeft w:val="0"/>
      <w:marRight w:val="0"/>
      <w:marTop w:val="0"/>
      <w:marBottom w:val="0"/>
      <w:divBdr>
        <w:top w:val="none" w:sz="0" w:space="0" w:color="auto"/>
        <w:left w:val="none" w:sz="0" w:space="0" w:color="auto"/>
        <w:bottom w:val="none" w:sz="0" w:space="0" w:color="auto"/>
        <w:right w:val="none" w:sz="0" w:space="0" w:color="auto"/>
      </w:divBdr>
    </w:div>
    <w:div w:id="729111438">
      <w:bodyDiv w:val="1"/>
      <w:marLeft w:val="0"/>
      <w:marRight w:val="0"/>
      <w:marTop w:val="0"/>
      <w:marBottom w:val="0"/>
      <w:divBdr>
        <w:top w:val="none" w:sz="0" w:space="0" w:color="auto"/>
        <w:left w:val="none" w:sz="0" w:space="0" w:color="auto"/>
        <w:bottom w:val="none" w:sz="0" w:space="0" w:color="auto"/>
        <w:right w:val="none" w:sz="0" w:space="0" w:color="auto"/>
      </w:divBdr>
    </w:div>
    <w:div w:id="862018938">
      <w:bodyDiv w:val="1"/>
      <w:marLeft w:val="0"/>
      <w:marRight w:val="0"/>
      <w:marTop w:val="0"/>
      <w:marBottom w:val="0"/>
      <w:divBdr>
        <w:top w:val="none" w:sz="0" w:space="0" w:color="auto"/>
        <w:left w:val="none" w:sz="0" w:space="0" w:color="auto"/>
        <w:bottom w:val="none" w:sz="0" w:space="0" w:color="auto"/>
        <w:right w:val="none" w:sz="0" w:space="0" w:color="auto"/>
      </w:divBdr>
    </w:div>
    <w:div w:id="988821302">
      <w:bodyDiv w:val="1"/>
      <w:marLeft w:val="0"/>
      <w:marRight w:val="0"/>
      <w:marTop w:val="0"/>
      <w:marBottom w:val="0"/>
      <w:divBdr>
        <w:top w:val="none" w:sz="0" w:space="0" w:color="auto"/>
        <w:left w:val="none" w:sz="0" w:space="0" w:color="auto"/>
        <w:bottom w:val="none" w:sz="0" w:space="0" w:color="auto"/>
        <w:right w:val="none" w:sz="0" w:space="0" w:color="auto"/>
      </w:divBdr>
    </w:div>
    <w:div w:id="1011614208">
      <w:bodyDiv w:val="1"/>
      <w:marLeft w:val="0"/>
      <w:marRight w:val="0"/>
      <w:marTop w:val="0"/>
      <w:marBottom w:val="0"/>
      <w:divBdr>
        <w:top w:val="none" w:sz="0" w:space="0" w:color="auto"/>
        <w:left w:val="none" w:sz="0" w:space="0" w:color="auto"/>
        <w:bottom w:val="none" w:sz="0" w:space="0" w:color="auto"/>
        <w:right w:val="none" w:sz="0" w:space="0" w:color="auto"/>
      </w:divBdr>
    </w:div>
    <w:div w:id="1160731627">
      <w:bodyDiv w:val="1"/>
      <w:marLeft w:val="0"/>
      <w:marRight w:val="0"/>
      <w:marTop w:val="0"/>
      <w:marBottom w:val="0"/>
      <w:divBdr>
        <w:top w:val="none" w:sz="0" w:space="0" w:color="auto"/>
        <w:left w:val="none" w:sz="0" w:space="0" w:color="auto"/>
        <w:bottom w:val="none" w:sz="0" w:space="0" w:color="auto"/>
        <w:right w:val="none" w:sz="0" w:space="0" w:color="auto"/>
      </w:divBdr>
    </w:div>
    <w:div w:id="1197739533">
      <w:bodyDiv w:val="1"/>
      <w:marLeft w:val="0"/>
      <w:marRight w:val="0"/>
      <w:marTop w:val="0"/>
      <w:marBottom w:val="0"/>
      <w:divBdr>
        <w:top w:val="none" w:sz="0" w:space="0" w:color="auto"/>
        <w:left w:val="none" w:sz="0" w:space="0" w:color="auto"/>
        <w:bottom w:val="none" w:sz="0" w:space="0" w:color="auto"/>
        <w:right w:val="none" w:sz="0" w:space="0" w:color="auto"/>
      </w:divBdr>
    </w:div>
    <w:div w:id="1251550239">
      <w:bodyDiv w:val="1"/>
      <w:marLeft w:val="0"/>
      <w:marRight w:val="0"/>
      <w:marTop w:val="0"/>
      <w:marBottom w:val="0"/>
      <w:divBdr>
        <w:top w:val="none" w:sz="0" w:space="0" w:color="auto"/>
        <w:left w:val="none" w:sz="0" w:space="0" w:color="auto"/>
        <w:bottom w:val="none" w:sz="0" w:space="0" w:color="auto"/>
        <w:right w:val="none" w:sz="0" w:space="0" w:color="auto"/>
      </w:divBdr>
      <w:divsChild>
        <w:div w:id="616061433">
          <w:marLeft w:val="0"/>
          <w:marRight w:val="0"/>
          <w:marTop w:val="0"/>
          <w:marBottom w:val="0"/>
          <w:divBdr>
            <w:top w:val="single" w:sz="6" w:space="0" w:color="FFB780"/>
            <w:left w:val="single" w:sz="6" w:space="0" w:color="FFB780"/>
            <w:bottom w:val="none" w:sz="0" w:space="0" w:color="auto"/>
            <w:right w:val="single" w:sz="6" w:space="0" w:color="FFB780"/>
          </w:divBdr>
        </w:div>
      </w:divsChild>
    </w:div>
    <w:div w:id="1256983586">
      <w:bodyDiv w:val="1"/>
      <w:marLeft w:val="0"/>
      <w:marRight w:val="0"/>
      <w:marTop w:val="0"/>
      <w:marBottom w:val="0"/>
      <w:divBdr>
        <w:top w:val="none" w:sz="0" w:space="0" w:color="auto"/>
        <w:left w:val="none" w:sz="0" w:space="0" w:color="auto"/>
        <w:bottom w:val="none" w:sz="0" w:space="0" w:color="auto"/>
        <w:right w:val="none" w:sz="0" w:space="0" w:color="auto"/>
      </w:divBdr>
    </w:div>
    <w:div w:id="1307315037">
      <w:bodyDiv w:val="1"/>
      <w:marLeft w:val="0"/>
      <w:marRight w:val="0"/>
      <w:marTop w:val="0"/>
      <w:marBottom w:val="0"/>
      <w:divBdr>
        <w:top w:val="none" w:sz="0" w:space="0" w:color="auto"/>
        <w:left w:val="none" w:sz="0" w:space="0" w:color="auto"/>
        <w:bottom w:val="none" w:sz="0" w:space="0" w:color="auto"/>
        <w:right w:val="none" w:sz="0" w:space="0" w:color="auto"/>
      </w:divBdr>
    </w:div>
    <w:div w:id="1323655863">
      <w:bodyDiv w:val="1"/>
      <w:marLeft w:val="0"/>
      <w:marRight w:val="0"/>
      <w:marTop w:val="0"/>
      <w:marBottom w:val="0"/>
      <w:divBdr>
        <w:top w:val="none" w:sz="0" w:space="0" w:color="auto"/>
        <w:left w:val="none" w:sz="0" w:space="0" w:color="auto"/>
        <w:bottom w:val="none" w:sz="0" w:space="0" w:color="auto"/>
        <w:right w:val="none" w:sz="0" w:space="0" w:color="auto"/>
      </w:divBdr>
    </w:div>
    <w:div w:id="1325426520">
      <w:bodyDiv w:val="1"/>
      <w:marLeft w:val="0"/>
      <w:marRight w:val="0"/>
      <w:marTop w:val="0"/>
      <w:marBottom w:val="0"/>
      <w:divBdr>
        <w:top w:val="none" w:sz="0" w:space="0" w:color="auto"/>
        <w:left w:val="none" w:sz="0" w:space="0" w:color="auto"/>
        <w:bottom w:val="none" w:sz="0" w:space="0" w:color="auto"/>
        <w:right w:val="none" w:sz="0" w:space="0" w:color="auto"/>
      </w:divBdr>
    </w:div>
    <w:div w:id="1368022709">
      <w:bodyDiv w:val="1"/>
      <w:marLeft w:val="0"/>
      <w:marRight w:val="0"/>
      <w:marTop w:val="0"/>
      <w:marBottom w:val="0"/>
      <w:divBdr>
        <w:top w:val="none" w:sz="0" w:space="0" w:color="auto"/>
        <w:left w:val="none" w:sz="0" w:space="0" w:color="auto"/>
        <w:bottom w:val="none" w:sz="0" w:space="0" w:color="auto"/>
        <w:right w:val="none" w:sz="0" w:space="0" w:color="auto"/>
      </w:divBdr>
    </w:div>
    <w:div w:id="1397626747">
      <w:bodyDiv w:val="1"/>
      <w:marLeft w:val="0"/>
      <w:marRight w:val="0"/>
      <w:marTop w:val="0"/>
      <w:marBottom w:val="0"/>
      <w:divBdr>
        <w:top w:val="none" w:sz="0" w:space="0" w:color="auto"/>
        <w:left w:val="none" w:sz="0" w:space="0" w:color="auto"/>
        <w:bottom w:val="none" w:sz="0" w:space="0" w:color="auto"/>
        <w:right w:val="none" w:sz="0" w:space="0" w:color="auto"/>
      </w:divBdr>
    </w:div>
    <w:div w:id="1452944045">
      <w:bodyDiv w:val="1"/>
      <w:marLeft w:val="0"/>
      <w:marRight w:val="0"/>
      <w:marTop w:val="0"/>
      <w:marBottom w:val="0"/>
      <w:divBdr>
        <w:top w:val="none" w:sz="0" w:space="0" w:color="auto"/>
        <w:left w:val="none" w:sz="0" w:space="0" w:color="auto"/>
        <w:bottom w:val="none" w:sz="0" w:space="0" w:color="auto"/>
        <w:right w:val="none" w:sz="0" w:space="0" w:color="auto"/>
      </w:divBdr>
    </w:div>
    <w:div w:id="1470317134">
      <w:bodyDiv w:val="1"/>
      <w:marLeft w:val="0"/>
      <w:marRight w:val="0"/>
      <w:marTop w:val="0"/>
      <w:marBottom w:val="0"/>
      <w:divBdr>
        <w:top w:val="none" w:sz="0" w:space="0" w:color="auto"/>
        <w:left w:val="none" w:sz="0" w:space="0" w:color="auto"/>
        <w:bottom w:val="none" w:sz="0" w:space="0" w:color="auto"/>
        <w:right w:val="none" w:sz="0" w:space="0" w:color="auto"/>
      </w:divBdr>
    </w:div>
    <w:div w:id="1523669355">
      <w:bodyDiv w:val="1"/>
      <w:marLeft w:val="0"/>
      <w:marRight w:val="0"/>
      <w:marTop w:val="0"/>
      <w:marBottom w:val="0"/>
      <w:divBdr>
        <w:top w:val="none" w:sz="0" w:space="0" w:color="auto"/>
        <w:left w:val="none" w:sz="0" w:space="0" w:color="auto"/>
        <w:bottom w:val="none" w:sz="0" w:space="0" w:color="auto"/>
        <w:right w:val="none" w:sz="0" w:space="0" w:color="auto"/>
      </w:divBdr>
    </w:div>
    <w:div w:id="1556161486">
      <w:bodyDiv w:val="1"/>
      <w:marLeft w:val="0"/>
      <w:marRight w:val="0"/>
      <w:marTop w:val="0"/>
      <w:marBottom w:val="0"/>
      <w:divBdr>
        <w:top w:val="none" w:sz="0" w:space="0" w:color="auto"/>
        <w:left w:val="none" w:sz="0" w:space="0" w:color="auto"/>
        <w:bottom w:val="none" w:sz="0" w:space="0" w:color="auto"/>
        <w:right w:val="none" w:sz="0" w:space="0" w:color="auto"/>
      </w:divBdr>
    </w:div>
    <w:div w:id="1620837547">
      <w:bodyDiv w:val="1"/>
      <w:marLeft w:val="0"/>
      <w:marRight w:val="0"/>
      <w:marTop w:val="0"/>
      <w:marBottom w:val="0"/>
      <w:divBdr>
        <w:top w:val="none" w:sz="0" w:space="0" w:color="auto"/>
        <w:left w:val="none" w:sz="0" w:space="0" w:color="auto"/>
        <w:bottom w:val="none" w:sz="0" w:space="0" w:color="auto"/>
        <w:right w:val="none" w:sz="0" w:space="0" w:color="auto"/>
      </w:divBdr>
    </w:div>
    <w:div w:id="1814830424">
      <w:bodyDiv w:val="1"/>
      <w:marLeft w:val="0"/>
      <w:marRight w:val="0"/>
      <w:marTop w:val="0"/>
      <w:marBottom w:val="0"/>
      <w:divBdr>
        <w:top w:val="none" w:sz="0" w:space="0" w:color="auto"/>
        <w:left w:val="none" w:sz="0" w:space="0" w:color="auto"/>
        <w:bottom w:val="none" w:sz="0" w:space="0" w:color="auto"/>
        <w:right w:val="none" w:sz="0" w:space="0" w:color="auto"/>
      </w:divBdr>
    </w:div>
    <w:div w:id="1844666010">
      <w:bodyDiv w:val="1"/>
      <w:marLeft w:val="0"/>
      <w:marRight w:val="0"/>
      <w:marTop w:val="0"/>
      <w:marBottom w:val="0"/>
      <w:divBdr>
        <w:top w:val="none" w:sz="0" w:space="0" w:color="auto"/>
        <w:left w:val="none" w:sz="0" w:space="0" w:color="auto"/>
        <w:bottom w:val="none" w:sz="0" w:space="0" w:color="auto"/>
        <w:right w:val="none" w:sz="0" w:space="0" w:color="auto"/>
      </w:divBdr>
    </w:div>
    <w:div w:id="1848783181">
      <w:bodyDiv w:val="1"/>
      <w:marLeft w:val="0"/>
      <w:marRight w:val="0"/>
      <w:marTop w:val="0"/>
      <w:marBottom w:val="0"/>
      <w:divBdr>
        <w:top w:val="none" w:sz="0" w:space="0" w:color="auto"/>
        <w:left w:val="none" w:sz="0" w:space="0" w:color="auto"/>
        <w:bottom w:val="none" w:sz="0" w:space="0" w:color="auto"/>
        <w:right w:val="none" w:sz="0" w:space="0" w:color="auto"/>
      </w:divBdr>
    </w:div>
    <w:div w:id="1856724767">
      <w:bodyDiv w:val="1"/>
      <w:marLeft w:val="0"/>
      <w:marRight w:val="0"/>
      <w:marTop w:val="0"/>
      <w:marBottom w:val="0"/>
      <w:divBdr>
        <w:top w:val="none" w:sz="0" w:space="0" w:color="auto"/>
        <w:left w:val="none" w:sz="0" w:space="0" w:color="auto"/>
        <w:bottom w:val="none" w:sz="0" w:space="0" w:color="auto"/>
        <w:right w:val="none" w:sz="0" w:space="0" w:color="auto"/>
      </w:divBdr>
    </w:div>
    <w:div w:id="1894854833">
      <w:bodyDiv w:val="1"/>
      <w:marLeft w:val="0"/>
      <w:marRight w:val="0"/>
      <w:marTop w:val="0"/>
      <w:marBottom w:val="0"/>
      <w:divBdr>
        <w:top w:val="none" w:sz="0" w:space="0" w:color="auto"/>
        <w:left w:val="none" w:sz="0" w:space="0" w:color="auto"/>
        <w:bottom w:val="none" w:sz="0" w:space="0" w:color="auto"/>
        <w:right w:val="none" w:sz="0" w:space="0" w:color="auto"/>
      </w:divBdr>
    </w:div>
    <w:div w:id="1914003346">
      <w:bodyDiv w:val="1"/>
      <w:marLeft w:val="0"/>
      <w:marRight w:val="0"/>
      <w:marTop w:val="0"/>
      <w:marBottom w:val="0"/>
      <w:divBdr>
        <w:top w:val="none" w:sz="0" w:space="0" w:color="auto"/>
        <w:left w:val="none" w:sz="0" w:space="0" w:color="auto"/>
        <w:bottom w:val="none" w:sz="0" w:space="0" w:color="auto"/>
        <w:right w:val="none" w:sz="0" w:space="0" w:color="auto"/>
      </w:divBdr>
    </w:div>
    <w:div w:id="1918660824">
      <w:bodyDiv w:val="1"/>
      <w:marLeft w:val="0"/>
      <w:marRight w:val="0"/>
      <w:marTop w:val="0"/>
      <w:marBottom w:val="0"/>
      <w:divBdr>
        <w:top w:val="none" w:sz="0" w:space="0" w:color="auto"/>
        <w:left w:val="none" w:sz="0" w:space="0" w:color="auto"/>
        <w:bottom w:val="none" w:sz="0" w:space="0" w:color="auto"/>
        <w:right w:val="none" w:sz="0" w:space="0" w:color="auto"/>
      </w:divBdr>
    </w:div>
    <w:div w:id="1944340210">
      <w:bodyDiv w:val="1"/>
      <w:marLeft w:val="0"/>
      <w:marRight w:val="0"/>
      <w:marTop w:val="0"/>
      <w:marBottom w:val="0"/>
      <w:divBdr>
        <w:top w:val="none" w:sz="0" w:space="0" w:color="auto"/>
        <w:left w:val="none" w:sz="0" w:space="0" w:color="auto"/>
        <w:bottom w:val="none" w:sz="0" w:space="0" w:color="auto"/>
        <w:right w:val="none" w:sz="0" w:space="0" w:color="auto"/>
      </w:divBdr>
    </w:div>
    <w:div w:id="1995597482">
      <w:bodyDiv w:val="1"/>
      <w:marLeft w:val="0"/>
      <w:marRight w:val="0"/>
      <w:marTop w:val="0"/>
      <w:marBottom w:val="0"/>
      <w:divBdr>
        <w:top w:val="none" w:sz="0" w:space="0" w:color="auto"/>
        <w:left w:val="none" w:sz="0" w:space="0" w:color="auto"/>
        <w:bottom w:val="none" w:sz="0" w:space="0" w:color="auto"/>
        <w:right w:val="none" w:sz="0" w:space="0" w:color="auto"/>
      </w:divBdr>
    </w:div>
    <w:div w:id="2024284490">
      <w:bodyDiv w:val="1"/>
      <w:marLeft w:val="0"/>
      <w:marRight w:val="0"/>
      <w:marTop w:val="0"/>
      <w:marBottom w:val="0"/>
      <w:divBdr>
        <w:top w:val="none" w:sz="0" w:space="0" w:color="auto"/>
        <w:left w:val="none" w:sz="0" w:space="0" w:color="auto"/>
        <w:bottom w:val="none" w:sz="0" w:space="0" w:color="auto"/>
        <w:right w:val="none" w:sz="0" w:space="0" w:color="auto"/>
      </w:divBdr>
    </w:div>
    <w:div w:id="2025279054">
      <w:bodyDiv w:val="1"/>
      <w:marLeft w:val="0"/>
      <w:marRight w:val="0"/>
      <w:marTop w:val="0"/>
      <w:marBottom w:val="0"/>
      <w:divBdr>
        <w:top w:val="none" w:sz="0" w:space="0" w:color="auto"/>
        <w:left w:val="none" w:sz="0" w:space="0" w:color="auto"/>
        <w:bottom w:val="none" w:sz="0" w:space="0" w:color="auto"/>
        <w:right w:val="none" w:sz="0" w:space="0" w:color="auto"/>
      </w:divBdr>
    </w:div>
    <w:div w:id="2049647705">
      <w:bodyDiv w:val="1"/>
      <w:marLeft w:val="0"/>
      <w:marRight w:val="0"/>
      <w:marTop w:val="0"/>
      <w:marBottom w:val="0"/>
      <w:divBdr>
        <w:top w:val="none" w:sz="0" w:space="0" w:color="auto"/>
        <w:left w:val="none" w:sz="0" w:space="0" w:color="auto"/>
        <w:bottom w:val="none" w:sz="0" w:space="0" w:color="auto"/>
        <w:right w:val="none" w:sz="0" w:space="0" w:color="auto"/>
      </w:divBdr>
    </w:div>
    <w:div w:id="2050371940">
      <w:bodyDiv w:val="1"/>
      <w:marLeft w:val="0"/>
      <w:marRight w:val="0"/>
      <w:marTop w:val="0"/>
      <w:marBottom w:val="0"/>
      <w:divBdr>
        <w:top w:val="none" w:sz="0" w:space="0" w:color="auto"/>
        <w:left w:val="none" w:sz="0" w:space="0" w:color="auto"/>
        <w:bottom w:val="none" w:sz="0" w:space="0" w:color="auto"/>
        <w:right w:val="none" w:sz="0" w:space="0" w:color="auto"/>
      </w:divBdr>
    </w:div>
    <w:div w:id="2085448794">
      <w:bodyDiv w:val="1"/>
      <w:marLeft w:val="0"/>
      <w:marRight w:val="0"/>
      <w:marTop w:val="0"/>
      <w:marBottom w:val="0"/>
      <w:divBdr>
        <w:top w:val="none" w:sz="0" w:space="0" w:color="auto"/>
        <w:left w:val="none" w:sz="0" w:space="0" w:color="auto"/>
        <w:bottom w:val="none" w:sz="0" w:space="0" w:color="auto"/>
        <w:right w:val="none" w:sz="0" w:space="0" w:color="auto"/>
      </w:divBdr>
    </w:div>
    <w:div w:id="2095930890">
      <w:bodyDiv w:val="1"/>
      <w:marLeft w:val="0"/>
      <w:marRight w:val="0"/>
      <w:marTop w:val="0"/>
      <w:marBottom w:val="0"/>
      <w:divBdr>
        <w:top w:val="none" w:sz="0" w:space="0" w:color="auto"/>
        <w:left w:val="none" w:sz="0" w:space="0" w:color="auto"/>
        <w:bottom w:val="none" w:sz="0" w:space="0" w:color="auto"/>
        <w:right w:val="none" w:sz="0" w:space="0" w:color="auto"/>
      </w:divBdr>
    </w:div>
    <w:div w:id="2098398409">
      <w:bodyDiv w:val="1"/>
      <w:marLeft w:val="0"/>
      <w:marRight w:val="0"/>
      <w:marTop w:val="0"/>
      <w:marBottom w:val="0"/>
      <w:divBdr>
        <w:top w:val="none" w:sz="0" w:space="0" w:color="auto"/>
        <w:left w:val="none" w:sz="0" w:space="0" w:color="auto"/>
        <w:bottom w:val="none" w:sz="0" w:space="0" w:color="auto"/>
        <w:right w:val="none" w:sz="0" w:space="0" w:color="auto"/>
      </w:divBdr>
    </w:div>
    <w:div w:id="2123375866">
      <w:bodyDiv w:val="1"/>
      <w:marLeft w:val="0"/>
      <w:marRight w:val="0"/>
      <w:marTop w:val="0"/>
      <w:marBottom w:val="0"/>
      <w:divBdr>
        <w:top w:val="none" w:sz="0" w:space="0" w:color="auto"/>
        <w:left w:val="none" w:sz="0" w:space="0" w:color="auto"/>
        <w:bottom w:val="none" w:sz="0" w:space="0" w:color="auto"/>
        <w:right w:val="none" w:sz="0" w:space="0" w:color="auto"/>
      </w:divBdr>
      <w:divsChild>
        <w:div w:id="1433234916">
          <w:marLeft w:val="0"/>
          <w:marRight w:val="0"/>
          <w:marTop w:val="0"/>
          <w:marBottom w:val="0"/>
          <w:divBdr>
            <w:top w:val="single" w:sz="6" w:space="0" w:color="FFB780"/>
            <w:left w:val="single" w:sz="6" w:space="0" w:color="FFB780"/>
            <w:bottom w:val="none" w:sz="0" w:space="0" w:color="auto"/>
            <w:right w:val="single" w:sz="6" w:space="0" w:color="FFB780"/>
          </w:divBdr>
        </w:div>
      </w:divsChild>
    </w:div>
    <w:div w:id="212469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4DCC-ECED-4F8C-AE75-D0116AD0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TQD</dc:creator>
  <cp:lastModifiedBy>Nguyen Thi Thuy Nga</cp:lastModifiedBy>
  <cp:revision>21</cp:revision>
  <cp:lastPrinted>2022-08-24T13:25:00Z</cp:lastPrinted>
  <dcterms:created xsi:type="dcterms:W3CDTF">2023-07-10T01:05:00Z</dcterms:created>
  <dcterms:modified xsi:type="dcterms:W3CDTF">2023-07-11T14:51:00Z</dcterms:modified>
</cp:coreProperties>
</file>