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1" w:type="dxa"/>
        <w:jc w:val="center"/>
        <w:tblLook w:val="01E0" w:firstRow="1" w:lastRow="1" w:firstColumn="1" w:lastColumn="1" w:noHBand="0" w:noVBand="0"/>
      </w:tblPr>
      <w:tblGrid>
        <w:gridCol w:w="3004"/>
        <w:gridCol w:w="6267"/>
      </w:tblGrid>
      <w:tr w:rsidR="00DF367D" w:rsidRPr="00DF367D" w:rsidTr="005A7C41">
        <w:trPr>
          <w:trHeight w:val="1134"/>
          <w:jc w:val="center"/>
        </w:trPr>
        <w:tc>
          <w:tcPr>
            <w:tcW w:w="3004" w:type="dxa"/>
          </w:tcPr>
          <w:p w:rsidR="00C15886" w:rsidRPr="00DF367D" w:rsidRDefault="00EC3A78" w:rsidP="005A7C41">
            <w:pPr>
              <w:jc w:val="center"/>
              <w:rPr>
                <w:b/>
                <w:sz w:val="26"/>
              </w:rPr>
            </w:pPr>
            <w:bookmarkStart w:id="0" w:name="_GoBack"/>
            <w:bookmarkEnd w:id="0"/>
            <w:r w:rsidRPr="00DF367D">
              <w:rPr>
                <w:b/>
                <w:sz w:val="26"/>
              </w:rPr>
              <w:t>ỦY BAN NHÂN DÂN</w:t>
            </w:r>
          </w:p>
          <w:p w:rsidR="00C15886" w:rsidRPr="00DF367D" w:rsidRDefault="00B3789D" w:rsidP="005A7C41">
            <w:pPr>
              <w:jc w:val="center"/>
              <w:rPr>
                <w:b/>
                <w:sz w:val="26"/>
              </w:rPr>
            </w:pPr>
            <w:r>
              <w:rPr>
                <w:b/>
                <w:noProof/>
                <w:sz w:val="24"/>
              </w:rPr>
              <mc:AlternateContent>
                <mc:Choice Requires="wps">
                  <w:drawing>
                    <wp:anchor distT="4294967294" distB="4294967294" distL="114300" distR="114300" simplePos="0" relativeHeight="251658240" behindDoc="0" locked="0" layoutInCell="1" allowOverlap="1">
                      <wp:simplePos x="0" y="0"/>
                      <wp:positionH relativeFrom="column">
                        <wp:posOffset>514985</wp:posOffset>
                      </wp:positionH>
                      <wp:positionV relativeFrom="paragraph">
                        <wp:posOffset>234314</wp:posOffset>
                      </wp:positionV>
                      <wp:extent cx="7239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5pt,18.45pt" to="97.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j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4fJw+LFDSjgyshxZBnrPOfue5QMEosgXLEJcdn5wMPUgwh4RqlN0LK&#10;qLVUqC/xYjqZxgSnpWDBGcKc3e8qadGRhGmJXywKPPdhVh8Ui2AtJ2x9tT0R8mLD5VIFPKgE6Fyt&#10;yzj8WKSL9Xw9z0f5ZLYe5Wldjz5tqnw022SP0/qhrqo6+xmoZXnRCsa4CuyG0czyv5P++kguQ3Ub&#10;zlsbkvfosV9AdvhH0lHKoN5lDnaanbd2kBimMQZfX04Y9/s92Pfve/ULAAD//wMAUEsDBBQABgAI&#10;AAAAIQBrrKdb3AAAAAgBAAAPAAAAZHJzL2Rvd25yZXYueG1sTI/BTsMwEETvSPyDtUhcKuqkFVUb&#10;sqkQkBsXCojrNl6SiHidxm4b+Hpc9QDHnRnNvsnXo+3UgQffOkFIpwkolsqZVmqEt9fyZgnKBxJD&#10;nRNG+GYP6+LyIqfMuKO88GETahVLxGeE0ITQZ1r7qmFLfup6luh9usFSiOdQazPQMZbbTs+SZKEt&#10;tRI/NNTzQ8PV12ZvEXz5zrvyZ1JNko957Xi2e3x+IsTrq/H+DlTgMfyF4YQf0aGITFu3F+NVh7BM&#10;05hEmC9WoE7+6jYK27Ogi1z/H1D8AgAA//8DAFBLAQItABQABgAIAAAAIQC2gziS/gAAAOEBAAAT&#10;AAAAAAAAAAAAAAAAAAAAAABbQ29udGVudF9UeXBlc10ueG1sUEsBAi0AFAAGAAgAAAAhADj9If/W&#10;AAAAlAEAAAsAAAAAAAAAAAAAAAAALwEAAF9yZWxzLy5yZWxzUEsBAi0AFAAGAAgAAAAhAA/6NCMR&#10;AgAAJwQAAA4AAAAAAAAAAAAAAAAALgIAAGRycy9lMm9Eb2MueG1sUEsBAi0AFAAGAAgAAAAhAGus&#10;p1vcAAAACAEAAA8AAAAAAAAAAAAAAAAAawQAAGRycy9kb3ducmV2LnhtbFBLBQYAAAAABAAEAPMA&#10;AAB0BQAAAAA=&#10;"/>
                  </w:pict>
                </mc:Fallback>
              </mc:AlternateContent>
            </w:r>
            <w:r w:rsidR="00EC3A78" w:rsidRPr="00DF367D">
              <w:rPr>
                <w:b/>
                <w:sz w:val="26"/>
              </w:rPr>
              <w:t>TỈNH HÀ TĨNH</w:t>
            </w:r>
          </w:p>
          <w:p w:rsidR="007C3DB9" w:rsidRPr="00DF367D" w:rsidRDefault="00EC3A78" w:rsidP="00BB1C94">
            <w:pPr>
              <w:spacing w:before="240"/>
              <w:jc w:val="center"/>
              <w:rPr>
                <w:b/>
                <w:sz w:val="26"/>
                <w:lang w:val="vi-VN"/>
              </w:rPr>
            </w:pPr>
            <w:r w:rsidRPr="00DF367D">
              <w:t>Số</w:t>
            </w:r>
            <w:r w:rsidR="003C35EE" w:rsidRPr="00DF367D">
              <w:t xml:space="preserve">: </w:t>
            </w:r>
            <w:r w:rsidR="00BB1C94">
              <w:t xml:space="preserve">236 </w:t>
            </w:r>
            <w:r w:rsidR="00C15886" w:rsidRPr="00DF367D">
              <w:t>/</w:t>
            </w:r>
            <w:r w:rsidR="00E62DC2" w:rsidRPr="00DF367D">
              <w:rPr>
                <w:lang w:val="vi-VN"/>
              </w:rPr>
              <w:t>TTr</w:t>
            </w:r>
            <w:r w:rsidR="00C15886" w:rsidRPr="00DF367D">
              <w:t>-UBND</w:t>
            </w:r>
          </w:p>
        </w:tc>
        <w:tc>
          <w:tcPr>
            <w:tcW w:w="6267" w:type="dxa"/>
          </w:tcPr>
          <w:p w:rsidR="00C15886" w:rsidRPr="00DF367D" w:rsidRDefault="00EC3A78" w:rsidP="005A7C41">
            <w:pPr>
              <w:jc w:val="center"/>
              <w:rPr>
                <w:b/>
                <w:sz w:val="26"/>
                <w:lang w:val="vi-VN"/>
              </w:rPr>
            </w:pPr>
            <w:r w:rsidRPr="00DF367D">
              <w:rPr>
                <w:b/>
                <w:sz w:val="26"/>
                <w:lang w:val="vi-VN"/>
              </w:rPr>
              <w:t>CỘNG HÒA XÃ HỘI CHỦ NGHĨA VIỆT NAM</w:t>
            </w:r>
          </w:p>
          <w:p w:rsidR="00C15886" w:rsidRPr="00DF367D" w:rsidRDefault="00B3789D" w:rsidP="005A7C41">
            <w:pPr>
              <w:jc w:val="center"/>
              <w:rPr>
                <w:b/>
              </w:rPr>
            </w:pPr>
            <w:r>
              <w:rPr>
                <w:b/>
                <w:noProof/>
                <w:sz w:val="26"/>
              </w:rPr>
              <mc:AlternateContent>
                <mc:Choice Requires="wps">
                  <w:drawing>
                    <wp:anchor distT="4294967294" distB="4294967294" distL="114300" distR="114300" simplePos="0" relativeHeight="251656192" behindDoc="0" locked="0" layoutInCell="1" allowOverlap="1">
                      <wp:simplePos x="0" y="0"/>
                      <wp:positionH relativeFrom="column">
                        <wp:posOffset>904875</wp:posOffset>
                      </wp:positionH>
                      <wp:positionV relativeFrom="paragraph">
                        <wp:posOffset>229234</wp:posOffset>
                      </wp:positionV>
                      <wp:extent cx="2019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25pt,18.05pt" to="230.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rGA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8dGYwroSAWm1sqI0e1bN50vSbQ0rXHVE7Hhm+nAykZSEjeZUSNs4A/nb4qBnEkL3XsU3H&#10;1vaolcJ8DYkBHFqBjnEup9tc+NEjCofQmvlDCuOjV19CygAREo11/gPXPQpGhSWwj4Dk8OR8oPQr&#10;JIQrvRZSxrFLhYYKzyf5JCY4LQULzhDm7G5bS4sOJAgnfrE+8NyHWb1XLIJ1nLDVxfZEyLMNl0sV&#10;8KAUoHOxzsr4Pk/nq9lqVoyKfLoaFWnTjN6v62I0XWfvJs1DU9dN9iNQy4qyE4xxFdhdVZoVf6eC&#10;y3s56+um01sbktfosV9A9vqPpONUwyDPkthqdtrY67RBmDH48oiC8u/3YN8/9eVPAAAA//8DAFBL&#10;AwQUAAYACAAAACEAUngWhtwAAAAJAQAADwAAAGRycy9kb3ducmV2LnhtbEyPwU7DMBBE70j8g7VI&#10;3KjdtEQ0xKkqBFyQkFpCz068JBHxOordNPw9izjAcWafZmfy7ex6MeEYOk8algsFAqn2tqNGQ/n2&#10;dHMHIkRD1vSeUMMXBtgWlxe5yaw/0x6nQ2wEh1DIjIY2xiGTMtQtOhMWfkDi24cfnYksx0ba0Zw5&#10;3PUyUSqVznTEH1oz4EOL9efh5DTsji+Pq9epcr63m6Z8t65Uz4nW11fz7h5ExDn+wfBTn6tDwZ0q&#10;fyIbRM96ndwyqmGVLkEwsE4VG9WvIYtc/l9QfAMAAP//AwBQSwECLQAUAAYACAAAACEAtoM4kv4A&#10;AADhAQAAEwAAAAAAAAAAAAAAAAAAAAAAW0NvbnRlbnRfVHlwZXNdLnhtbFBLAQItABQABgAIAAAA&#10;IQA4/SH/1gAAAJQBAAALAAAAAAAAAAAAAAAAAC8BAABfcmVscy8ucmVsc1BLAQItABQABgAIAAAA&#10;IQBqr/MrGAIAADIEAAAOAAAAAAAAAAAAAAAAAC4CAABkcnMvZTJvRG9jLnhtbFBLAQItABQABgAI&#10;AAAAIQBSeBaG3AAAAAkBAAAPAAAAAAAAAAAAAAAAAHIEAABkcnMvZG93bnJldi54bWxQSwUGAAAA&#10;AAQABADzAAAAewUAAAAA&#10;"/>
                  </w:pict>
                </mc:Fallback>
              </mc:AlternateContent>
            </w:r>
            <w:r w:rsidR="00EC3A78" w:rsidRPr="00DF367D">
              <w:rPr>
                <w:b/>
              </w:rPr>
              <w:t xml:space="preserve">Độc lập </w:t>
            </w:r>
            <w:r w:rsidR="00C15886" w:rsidRPr="00DF367D">
              <w:rPr>
                <w:b/>
              </w:rPr>
              <w:t>-</w:t>
            </w:r>
            <w:r w:rsidR="00EC3A78" w:rsidRPr="00DF367D">
              <w:rPr>
                <w:b/>
              </w:rPr>
              <w:t xml:space="preserve"> Tự do </w:t>
            </w:r>
            <w:r w:rsidR="00C15886" w:rsidRPr="00DF367D">
              <w:rPr>
                <w:b/>
              </w:rPr>
              <w:t>-</w:t>
            </w:r>
            <w:r w:rsidR="00EC3A78" w:rsidRPr="00DF367D">
              <w:rPr>
                <w:b/>
              </w:rPr>
              <w:t xml:space="preserve"> Hạnh phúc</w:t>
            </w:r>
          </w:p>
          <w:p w:rsidR="00C15886" w:rsidRPr="00DF367D" w:rsidRDefault="00EC3A78" w:rsidP="00BB1C94">
            <w:pPr>
              <w:spacing w:before="240"/>
              <w:jc w:val="center"/>
              <w:rPr>
                <w:i/>
                <w:lang w:val="vi-VN"/>
              </w:rPr>
            </w:pPr>
            <w:r w:rsidRPr="00DF367D">
              <w:rPr>
                <w:i/>
              </w:rPr>
              <w:t>Hà Tĩnh</w:t>
            </w:r>
            <w:r w:rsidR="00C15886" w:rsidRPr="00DF367D">
              <w:rPr>
                <w:i/>
              </w:rPr>
              <w:t>,</w:t>
            </w:r>
            <w:r w:rsidRPr="00DF367D">
              <w:rPr>
                <w:i/>
              </w:rPr>
              <w:t xml:space="preserve"> ngày</w:t>
            </w:r>
            <w:r w:rsidR="00BB1C94">
              <w:rPr>
                <w:i/>
              </w:rPr>
              <w:t xml:space="preserve"> 09</w:t>
            </w:r>
            <w:r w:rsidR="00C66D3B" w:rsidRPr="00DF367D">
              <w:rPr>
                <w:i/>
              </w:rPr>
              <w:t xml:space="preserve"> </w:t>
            </w:r>
            <w:r w:rsidRPr="00DF367D">
              <w:rPr>
                <w:i/>
              </w:rPr>
              <w:t>tháng</w:t>
            </w:r>
            <w:r w:rsidR="001677FC" w:rsidRPr="00DF367D">
              <w:rPr>
                <w:i/>
                <w:lang w:val="vi-VN"/>
              </w:rPr>
              <w:t xml:space="preserve"> </w:t>
            </w:r>
            <w:r w:rsidR="00AB209B" w:rsidRPr="00DF367D">
              <w:rPr>
                <w:i/>
              </w:rPr>
              <w:t>7</w:t>
            </w:r>
            <w:r w:rsidR="001677FC" w:rsidRPr="00DF367D">
              <w:rPr>
                <w:i/>
                <w:lang w:val="vi-VN"/>
              </w:rPr>
              <w:t xml:space="preserve"> </w:t>
            </w:r>
            <w:r w:rsidRPr="00DF367D">
              <w:rPr>
                <w:i/>
              </w:rPr>
              <w:t>năm 20</w:t>
            </w:r>
            <w:r w:rsidR="007D5D44" w:rsidRPr="00DF367D">
              <w:rPr>
                <w:i/>
              </w:rPr>
              <w:t>1</w:t>
            </w:r>
            <w:r w:rsidR="000B6A33" w:rsidRPr="00DF367D">
              <w:rPr>
                <w:i/>
              </w:rPr>
              <w:t>8</w:t>
            </w:r>
          </w:p>
        </w:tc>
      </w:tr>
    </w:tbl>
    <w:p w:rsidR="00C15886" w:rsidRPr="00DF367D" w:rsidRDefault="00E62DC2" w:rsidP="005A7C41">
      <w:pPr>
        <w:spacing w:before="240"/>
        <w:jc w:val="center"/>
        <w:rPr>
          <w:b/>
          <w:lang w:val="vi-VN"/>
        </w:rPr>
      </w:pPr>
      <w:r w:rsidRPr="00DF367D">
        <w:rPr>
          <w:b/>
          <w:lang w:val="vi-VN"/>
        </w:rPr>
        <w:t>TỜ TRÌNH</w:t>
      </w:r>
    </w:p>
    <w:p w:rsidR="00E30452" w:rsidRPr="00DF367D" w:rsidRDefault="00EC3A78" w:rsidP="000B6A33">
      <w:pPr>
        <w:jc w:val="center"/>
        <w:rPr>
          <w:b/>
          <w:bCs/>
        </w:rPr>
      </w:pPr>
      <w:r w:rsidRPr="00DF367D">
        <w:rPr>
          <w:b/>
        </w:rPr>
        <w:t xml:space="preserve">Về việc </w:t>
      </w:r>
      <w:r w:rsidR="000B6A33" w:rsidRPr="00DF367D">
        <w:rPr>
          <w:b/>
        </w:rPr>
        <w:t xml:space="preserve">ban hành </w:t>
      </w:r>
      <w:r w:rsidR="005B4C8A" w:rsidRPr="00DF367D">
        <w:rPr>
          <w:b/>
        </w:rPr>
        <w:t xml:space="preserve">Quy định </w:t>
      </w:r>
      <w:r w:rsidR="000B6A33" w:rsidRPr="00DF367D">
        <w:rPr>
          <w:b/>
        </w:rPr>
        <w:t>một số chính sách</w:t>
      </w:r>
      <w:r w:rsidR="009A1215" w:rsidRPr="00DF367D">
        <w:rPr>
          <w:b/>
        </w:rPr>
        <w:t xml:space="preserve"> </w:t>
      </w:r>
      <w:r w:rsidR="009A1215" w:rsidRPr="00DF367D">
        <w:rPr>
          <w:b/>
          <w:spacing w:val="-4"/>
          <w:lang w:eastAsia="vi-VN" w:bidi="vi-VN"/>
        </w:rPr>
        <w:t>p</w:t>
      </w:r>
      <w:r w:rsidR="009A1215" w:rsidRPr="00DF367D">
        <w:rPr>
          <w:b/>
          <w:bCs/>
        </w:rPr>
        <w:t xml:space="preserve">hát triển công nghiệp, </w:t>
      </w:r>
    </w:p>
    <w:p w:rsidR="00C15886" w:rsidRPr="00DF367D" w:rsidRDefault="009A1215" w:rsidP="000B6A33">
      <w:pPr>
        <w:jc w:val="center"/>
        <w:rPr>
          <w:b/>
        </w:rPr>
      </w:pPr>
      <w:r w:rsidRPr="00DF367D">
        <w:rPr>
          <w:b/>
          <w:bCs/>
        </w:rPr>
        <w:t>tiểu thủ công nghiệp tỉnh Hà Tĩnh đến năm 2025 và những năm tiếp theo</w:t>
      </w:r>
    </w:p>
    <w:p w:rsidR="00AE4640" w:rsidRPr="00DF367D" w:rsidRDefault="00B3789D" w:rsidP="005A7C41">
      <w:pPr>
        <w:spacing w:before="360" w:after="480"/>
        <w:jc w:val="center"/>
      </w:pPr>
      <w:r>
        <w:rPr>
          <w:b/>
          <w:noProof/>
        </w:rPr>
        <mc:AlternateContent>
          <mc:Choice Requires="wps">
            <w:drawing>
              <wp:anchor distT="4294967294" distB="4294967294" distL="114300" distR="114300" simplePos="0" relativeHeight="251657216" behindDoc="0" locked="0" layoutInCell="1" allowOverlap="1">
                <wp:simplePos x="0" y="0"/>
                <wp:positionH relativeFrom="column">
                  <wp:posOffset>2177415</wp:posOffset>
                </wp:positionH>
                <wp:positionV relativeFrom="paragraph">
                  <wp:posOffset>33019</wp:posOffset>
                </wp:positionV>
                <wp:extent cx="1400175" cy="0"/>
                <wp:effectExtent l="0" t="0" r="95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45pt,2.6pt" to="281.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QFw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cPoTO9cQUEVGpjQ230qJ7MWtPvDildtUTteGT4fDKQloWM5FVK2DgD+Nv+s2YQQ/ZexzYd&#10;G9uhRgrzEhIDOLQCHeNcTre58KNHFA6zPE2zD2OM6NWXkCJAhERjnf/EdYeCUWIJ7CMgOaydD5R+&#10;h4RwpVdCyjh2qVBf4tl4NI4JTkvBgjOEObvbVtKiAwnCiV+sDzz3YVbvFYtgLSdsebE9EfJsw+VS&#10;BTwoBehcrLMyfszS2XK6nOaDfDRZDvK0rgcfV1U+mKyg2Pqhrqo6+xmoZXnRCsa4CuyuKs3yt6ng&#10;8l7O+rrp9NaG5DV67BeQvf4j6TjVMMizJLaanTb2Om0QZgy+PKKg/Ps92PdPffELAAD//wMAUEsD&#10;BBQABgAIAAAAIQAGjxAC2wAAAAcBAAAPAAAAZHJzL2Rvd25yZXYueG1sTI7BTsMwEETvSPyDtUjc&#10;qEPSVjRkU1UIuCAhUdKenXhJIux1FLtp+HsMFziOZvTmFdvZGjHR6HvHCLeLBARx43TPLUL1/nRz&#10;B8IHxVoZx4TwRR625eVFoXLtzvxG0z60IkLY5wqhC2HIpfRNR1b5hRuIY/fhRqtCjGMr9ajOEW6N&#10;TJNkLa3qOT50aqCHjprP/cki7I4vj9nrVFtn9KatDtpWyXOKeH017+5BBJrD3xh+9KM6lNGpdifW&#10;XhiEbJlu4hRhlYKI/WqdLUHUv1mWhfzvX34DAAD//wMAUEsBAi0AFAAGAAgAAAAhALaDOJL+AAAA&#10;4QEAABMAAAAAAAAAAAAAAAAAAAAAAFtDb250ZW50X1R5cGVzXS54bWxQSwECLQAUAAYACAAAACEA&#10;OP0h/9YAAACUAQAACwAAAAAAAAAAAAAAAAAvAQAAX3JlbHMvLnJlbHNQSwECLQAUAAYACAAAACEA&#10;T7/20BcCAAAyBAAADgAAAAAAAAAAAAAAAAAuAgAAZHJzL2Uyb0RvYy54bWxQSwECLQAUAAYACAAA&#10;ACEABo8QAtsAAAAHAQAADwAAAAAAAAAAAAAAAABxBAAAZHJzL2Rvd25yZXYueG1sUEsFBgAAAAAE&#10;AAQA8wAAAHkFAAAAAA==&#10;"/>
            </w:pict>
          </mc:Fallback>
        </mc:AlternateContent>
      </w:r>
      <w:r w:rsidR="00AE4640" w:rsidRPr="00DF367D">
        <w:t>Kính gửi: Hội đồng nhân dân tỉnh khóa XVII, kỳ họp thứ 7</w:t>
      </w:r>
    </w:p>
    <w:p w:rsidR="00AE4640" w:rsidRPr="00DF367D" w:rsidRDefault="00AE4640" w:rsidP="005A7C41">
      <w:pPr>
        <w:spacing w:after="120"/>
        <w:ind w:firstLine="624"/>
        <w:jc w:val="both"/>
      </w:pPr>
      <w:r w:rsidRPr="00DF367D">
        <w:t>Thực hiện Nghị quyết số 08-NQ/TU ngày 18/5/2018 của B</w:t>
      </w:r>
      <w:r w:rsidR="00916094" w:rsidRPr="00DF367D">
        <w:t>an Chấp hành</w:t>
      </w:r>
      <w:r w:rsidRPr="00DF367D">
        <w:t xml:space="preserve"> </w:t>
      </w:r>
      <w:r w:rsidR="005423F5" w:rsidRPr="00DF367D">
        <w:t>Đảng bộ tỉnh</w:t>
      </w:r>
      <w:r w:rsidRPr="00DF367D">
        <w:t xml:space="preserve"> Hà Tĩnh về đẩy mạnh phát triển công nghiệp, tiểu thủ công nghiệp đến năm 2025 và những năm tiếp theo;</w:t>
      </w:r>
    </w:p>
    <w:p w:rsidR="00AE4640" w:rsidRPr="00DF367D" w:rsidRDefault="00AE4640" w:rsidP="005A7C41">
      <w:pPr>
        <w:spacing w:after="120"/>
        <w:ind w:firstLine="624"/>
        <w:jc w:val="both"/>
      </w:pPr>
      <w:r w:rsidRPr="00DF367D">
        <w:t xml:space="preserve">Thực hiện Nghị quyết số 69/NQ-HĐND ngày 13/12/2017 về kế hoạch tổ chức các kỳ họp thường lệ năm 2018 của </w:t>
      </w:r>
      <w:r w:rsidR="00CB7CA0" w:rsidRPr="00DF367D">
        <w:t>HĐND</w:t>
      </w:r>
      <w:r w:rsidRPr="00DF367D">
        <w:t xml:space="preserve"> tỉnh;</w:t>
      </w:r>
    </w:p>
    <w:p w:rsidR="00CE309C" w:rsidRPr="00DF367D" w:rsidRDefault="005A7C41" w:rsidP="005A7C41">
      <w:pPr>
        <w:autoSpaceDE w:val="0"/>
        <w:autoSpaceDN w:val="0"/>
        <w:adjustRightInd w:val="0"/>
        <w:spacing w:after="120"/>
        <w:ind w:firstLine="624"/>
        <w:jc w:val="both"/>
        <w:rPr>
          <w:lang w:val="vi-VN"/>
        </w:rPr>
      </w:pPr>
      <w:r w:rsidRPr="00DF367D">
        <w:t>Ủy</w:t>
      </w:r>
      <w:r w:rsidR="00BC4446" w:rsidRPr="00DF367D">
        <w:t xml:space="preserve"> ban nhân dân tỉnh</w:t>
      </w:r>
      <w:r w:rsidR="00C47BC0" w:rsidRPr="00DF367D">
        <w:rPr>
          <w:lang w:val="vi-VN"/>
        </w:rPr>
        <w:t xml:space="preserve"> trình H</w:t>
      </w:r>
      <w:r w:rsidR="00BC4446" w:rsidRPr="00DF367D">
        <w:t>ội đồng nhân dân</w:t>
      </w:r>
      <w:r w:rsidR="00C47BC0" w:rsidRPr="00DF367D">
        <w:rPr>
          <w:lang w:val="vi-VN"/>
        </w:rPr>
        <w:t xml:space="preserve"> tỉnh </w:t>
      </w:r>
      <w:r w:rsidR="00BC4446" w:rsidRPr="00DF367D">
        <w:t xml:space="preserve">khóa XVII, kỳ họp thứ 7 </w:t>
      </w:r>
      <w:r w:rsidRPr="00DF367D">
        <w:t>D</w:t>
      </w:r>
      <w:r w:rsidR="00BC4446" w:rsidRPr="00DF367D">
        <w:t xml:space="preserve">ự thảo Nghị quyết </w:t>
      </w:r>
      <w:r w:rsidR="009A1215" w:rsidRPr="00DF367D">
        <w:t xml:space="preserve">ban hành </w:t>
      </w:r>
      <w:r w:rsidR="005B4C8A" w:rsidRPr="00DF367D">
        <w:t>quy định m</w:t>
      </w:r>
      <w:r w:rsidR="009A1215" w:rsidRPr="00DF367D">
        <w:rPr>
          <w:lang w:val="es-ES_tradnl"/>
        </w:rPr>
        <w:t>ột số chính sách phát triển công nghiệp, tiểu thủ công nghiệp tỉnh Hà Tĩnh đến năm 2025 và những năm tiếp theo”</w:t>
      </w:r>
      <w:r w:rsidR="00C47BC0" w:rsidRPr="00DF367D">
        <w:rPr>
          <w:lang w:val="vi-VN"/>
        </w:rPr>
        <w:t xml:space="preserve"> </w:t>
      </w:r>
      <w:r w:rsidR="00BC4446" w:rsidRPr="00DF367D">
        <w:t xml:space="preserve">với các nội dung </w:t>
      </w:r>
      <w:r w:rsidRPr="00DF367D">
        <w:t xml:space="preserve">chính </w:t>
      </w:r>
      <w:r w:rsidR="00C47BC0" w:rsidRPr="00DF367D">
        <w:rPr>
          <w:lang w:val="vi-VN"/>
        </w:rPr>
        <w:t>như sau:</w:t>
      </w:r>
    </w:p>
    <w:p w:rsidR="00E62DC2" w:rsidRPr="00DF367D" w:rsidRDefault="00E62DC2" w:rsidP="005A7C41">
      <w:pPr>
        <w:spacing w:after="120"/>
        <w:ind w:firstLine="624"/>
        <w:jc w:val="both"/>
        <w:rPr>
          <w:b/>
          <w:sz w:val="26"/>
          <w:szCs w:val="26"/>
        </w:rPr>
      </w:pPr>
      <w:r w:rsidRPr="00DF367D">
        <w:rPr>
          <w:b/>
          <w:sz w:val="26"/>
          <w:szCs w:val="26"/>
          <w:lang w:val="vi-VN"/>
        </w:rPr>
        <w:t xml:space="preserve">I. </w:t>
      </w:r>
      <w:r w:rsidR="004F7513" w:rsidRPr="00DF367D">
        <w:rPr>
          <w:b/>
          <w:sz w:val="26"/>
          <w:szCs w:val="26"/>
        </w:rPr>
        <w:t>SỰ CẦN THIẾT</w:t>
      </w:r>
      <w:r w:rsidR="009A1215" w:rsidRPr="00DF367D">
        <w:rPr>
          <w:b/>
          <w:sz w:val="26"/>
          <w:szCs w:val="26"/>
        </w:rPr>
        <w:t xml:space="preserve"> BAN HÀNH CHÍNH SÁCH</w:t>
      </w:r>
    </w:p>
    <w:p w:rsidR="006B2835" w:rsidRPr="00DF367D" w:rsidRDefault="006B2835" w:rsidP="005A7C41">
      <w:pPr>
        <w:spacing w:after="120"/>
        <w:ind w:firstLine="624"/>
        <w:jc w:val="both"/>
      </w:pPr>
      <w:r w:rsidRPr="00DF367D">
        <w:rPr>
          <w:shd w:val="clear" w:color="auto" w:fill="FFFFFF"/>
          <w:lang w:val="nl-NL"/>
        </w:rPr>
        <w:t xml:space="preserve">Trong những năm qua, công nghiệp của tỉnh Hà Tĩnh có bước phát triển khá nhanh, </w:t>
      </w:r>
      <w:r w:rsidRPr="00DF367D">
        <w:rPr>
          <w:lang w:val="cs-CZ"/>
        </w:rPr>
        <w:t>giá trị sản xuất công nghiệp tăng bình quân giai đoạn 2010 - 2017 đạt 27,81%/năm. Tỷ trọng giá trị tăng thêm ngành công nghiệp trong GRDP của tỉnh tăng</w:t>
      </w:r>
      <w:r w:rsidRPr="00DF367D">
        <w:rPr>
          <w:lang w:val="sv-SE"/>
        </w:rPr>
        <w:t xml:space="preserve"> từ 5,65% năm 2010 lên 23,61% vào năm 2017. K</w:t>
      </w:r>
      <w:r w:rsidRPr="00DF367D">
        <w:rPr>
          <w:lang w:val="cs-CZ"/>
        </w:rPr>
        <w:t xml:space="preserve">im ngạch xuất khẩu tăng cao, tổng kim ngạch giai đoạn 2010 - 2017 đạt 1,04 tỷ USD, </w:t>
      </w:r>
      <w:r w:rsidRPr="00DF367D">
        <w:rPr>
          <w:lang w:val="vi-VN"/>
        </w:rPr>
        <w:t xml:space="preserve">tốc độ tăng trưởng bình quân </w:t>
      </w:r>
      <w:r w:rsidRPr="00DF367D">
        <w:rPr>
          <w:lang w:val="cs-CZ"/>
        </w:rPr>
        <w:t>21,95</w:t>
      </w:r>
      <w:r w:rsidRPr="00DF367D">
        <w:rPr>
          <w:lang w:val="vi-VN"/>
        </w:rPr>
        <w:t>%/năm</w:t>
      </w:r>
      <w:r w:rsidRPr="00DF367D">
        <w:t>.</w:t>
      </w:r>
      <w:r w:rsidRPr="00DF367D">
        <w:rPr>
          <w:shd w:val="clear" w:color="auto" w:fill="FFFFFF"/>
          <w:lang w:val="nl-NL"/>
        </w:rPr>
        <w:t xml:space="preserve"> </w:t>
      </w:r>
      <w:r w:rsidRPr="00DF367D">
        <w:t xml:space="preserve">Các khu, cụm công nghiệp được thành lập và </w:t>
      </w:r>
      <w:r w:rsidR="005A7C41" w:rsidRPr="00DF367D">
        <w:t xml:space="preserve">một số trong đó đã </w:t>
      </w:r>
      <w:r w:rsidRPr="00DF367D">
        <w:t>phát huy hiệu quả nhất định.</w:t>
      </w:r>
    </w:p>
    <w:p w:rsidR="00770678" w:rsidRPr="00DF367D" w:rsidRDefault="006B2835" w:rsidP="005A7C41">
      <w:pPr>
        <w:spacing w:after="120"/>
        <w:ind w:firstLine="624"/>
        <w:jc w:val="both"/>
        <w:rPr>
          <w:shd w:val="clear" w:color="auto" w:fill="FFFFFF"/>
          <w:lang w:val="nl-NL"/>
        </w:rPr>
      </w:pPr>
      <w:r w:rsidRPr="00DF367D">
        <w:t>Hà Tĩnh đã ban hành nhiều chính sách hỗ trợ phát triển CN - TTCN của tỉnh như: Nghị quyết số 73/2013/HĐND của HĐND tỉnh, Quyết định số 16/2014/QĐ-UBND của UBND tỉnh về chính sách phát triển cụm công nghiệp; Quyết định số 16/2007/QĐ-UBND ngày 27/4/2007 của UBND tỉnh về việc quy định một số chính sách ưu đãi, hỗ trợ đầu tư vào Khu kinh tế Vũng Áng và các khu công nghiệp của tỉnh Hà Tĩnh; Quyết định số 63/2015/QĐ-UBND của UBND tỉnh về khuyến công…</w:t>
      </w:r>
      <w:r w:rsidR="00D6053A" w:rsidRPr="00DF367D">
        <w:t>Thông qua các chính sách, tỉnh đã hỗ trợ, đầu tư hạ tầng</w:t>
      </w:r>
      <w:r w:rsidRPr="00DF367D">
        <w:t xml:space="preserve"> </w:t>
      </w:r>
      <w:r w:rsidR="00D6053A" w:rsidRPr="00DF367D">
        <w:rPr>
          <w:shd w:val="clear" w:color="auto" w:fill="FFFFFF"/>
          <w:lang w:val="nl-NL"/>
        </w:rPr>
        <w:t xml:space="preserve">thiết yếu trong CCN như hệ thống giao thông, cấp thoát nước, hệ thống xử lý môi trường… cho 10 CCN với tổng kinh phí là 35,4 tỷ đồng; </w:t>
      </w:r>
      <w:r w:rsidR="00D6053A" w:rsidRPr="00DF367D">
        <w:t>n</w:t>
      </w:r>
      <w:r w:rsidRPr="00DF367D">
        <w:t xml:space="preserve">hững chính sách </w:t>
      </w:r>
      <w:r w:rsidR="00D6053A" w:rsidRPr="00DF367D">
        <w:t>nêu</w:t>
      </w:r>
      <w:r w:rsidRPr="00DF367D">
        <w:t xml:space="preserve"> trên đã góp phần quan trọng trong thúc đẩy phát triển công nghiệp, phát t</w:t>
      </w:r>
      <w:r w:rsidR="00770678" w:rsidRPr="00DF367D">
        <w:t>riển kinh tế - xã hội của tỉnh</w:t>
      </w:r>
      <w:r w:rsidR="00770678" w:rsidRPr="00DF367D">
        <w:rPr>
          <w:shd w:val="clear" w:color="auto" w:fill="FFFFFF"/>
          <w:lang w:val="nl-NL"/>
        </w:rPr>
        <w:t xml:space="preserve"> </w:t>
      </w:r>
      <w:r w:rsidR="00770678" w:rsidRPr="00DF367D">
        <w:rPr>
          <w:i/>
          <w:shd w:val="clear" w:color="auto" w:fill="FFFFFF"/>
          <w:lang w:val="nl-NL"/>
        </w:rPr>
        <w:t>(chi tiết nội dung chính sách, tên cụm và số kinh phí hỗ trợ xem phụ lục 1 kèm theo).</w:t>
      </w:r>
    </w:p>
    <w:p w:rsidR="00770678" w:rsidRPr="00DF367D" w:rsidRDefault="00770678" w:rsidP="005A7C41">
      <w:pPr>
        <w:spacing w:after="120"/>
        <w:ind w:firstLine="624"/>
        <w:jc w:val="both"/>
        <w:rPr>
          <w:shd w:val="clear" w:color="auto" w:fill="FFFFFF"/>
          <w:lang w:val="nl-NL"/>
        </w:rPr>
      </w:pPr>
      <w:r w:rsidRPr="00DF367D">
        <w:rPr>
          <w:shd w:val="clear" w:color="auto" w:fill="FFFFFF"/>
          <w:lang w:val="nl-NL"/>
        </w:rPr>
        <w:t xml:space="preserve">Công tác xã hội hóa đầu tư </w:t>
      </w:r>
      <w:r w:rsidR="00D6053A" w:rsidRPr="00DF367D">
        <w:rPr>
          <w:shd w:val="clear" w:color="auto" w:fill="FFFFFF"/>
          <w:lang w:val="nl-NL"/>
        </w:rPr>
        <w:t xml:space="preserve">hạ tầng CCN </w:t>
      </w:r>
      <w:r w:rsidRPr="00DF367D">
        <w:rPr>
          <w:shd w:val="clear" w:color="auto" w:fill="FFFFFF"/>
          <w:lang w:val="nl-NL"/>
        </w:rPr>
        <w:t>cũng đã được quan tâm: Hiện nay đã thu hút được 0</w:t>
      </w:r>
      <w:r w:rsidR="00D6053A" w:rsidRPr="00DF367D">
        <w:rPr>
          <w:shd w:val="clear" w:color="auto" w:fill="FFFFFF"/>
          <w:lang w:val="nl-NL"/>
        </w:rPr>
        <w:t>4</w:t>
      </w:r>
      <w:r w:rsidRPr="00DF367D">
        <w:rPr>
          <w:shd w:val="clear" w:color="auto" w:fill="FFFFFF"/>
          <w:lang w:val="nl-NL"/>
        </w:rPr>
        <w:t xml:space="preserve"> đơn vị thực hiện đầu tư kinh doanh CC</w:t>
      </w:r>
      <w:r w:rsidR="00D6053A" w:rsidRPr="00DF367D">
        <w:rPr>
          <w:shd w:val="clear" w:color="auto" w:fill="FFFFFF"/>
          <w:lang w:val="nl-NL"/>
        </w:rPr>
        <w:t xml:space="preserve">N theo hình thức xã hội hóa; gồm: </w:t>
      </w:r>
      <w:r w:rsidRPr="00DF367D">
        <w:rPr>
          <w:shd w:val="clear" w:color="auto" w:fill="FFFFFF"/>
          <w:lang w:val="nl-NL"/>
        </w:rPr>
        <w:t xml:space="preserve">Công ty CP </w:t>
      </w:r>
      <w:r w:rsidR="00D6053A" w:rsidRPr="00DF367D">
        <w:rPr>
          <w:shd w:val="clear" w:color="auto" w:fill="FFFFFF"/>
          <w:lang w:val="nl-NL"/>
        </w:rPr>
        <w:t>Đ</w:t>
      </w:r>
      <w:r w:rsidRPr="00DF367D">
        <w:rPr>
          <w:shd w:val="clear" w:color="auto" w:fill="FFFFFF"/>
          <w:lang w:val="nl-NL"/>
        </w:rPr>
        <w:t xml:space="preserve">ầu tư và TM Lợi Châu (CCN Kỳ Hưng), Công ty </w:t>
      </w:r>
      <w:r w:rsidRPr="00DF367D">
        <w:rPr>
          <w:shd w:val="clear" w:color="auto" w:fill="FFFFFF"/>
          <w:lang w:val="nl-NL"/>
        </w:rPr>
        <w:lastRenderedPageBreak/>
        <w:t xml:space="preserve">CP </w:t>
      </w:r>
      <w:r w:rsidR="00D6053A" w:rsidRPr="00DF367D">
        <w:rPr>
          <w:shd w:val="clear" w:color="auto" w:fill="FFFFFF"/>
          <w:lang w:val="nl-NL"/>
        </w:rPr>
        <w:t>Đ</w:t>
      </w:r>
      <w:r w:rsidRPr="00DF367D">
        <w:rPr>
          <w:shd w:val="clear" w:color="auto" w:fill="FFFFFF"/>
          <w:lang w:val="nl-NL"/>
        </w:rPr>
        <w:t>ầu tư IDI (CCN Thái Yên), Công ty TNHH Yên Huy (CCN Yên Huy) và Công ty TNHH Thanh Thành Đạt (CCN Xuân Lĩnh).</w:t>
      </w:r>
    </w:p>
    <w:p w:rsidR="00770678" w:rsidRPr="00DF367D" w:rsidRDefault="00770678" w:rsidP="005A7C41">
      <w:pPr>
        <w:spacing w:after="120"/>
        <w:ind w:firstLine="624"/>
        <w:jc w:val="both"/>
        <w:rPr>
          <w:shd w:val="clear" w:color="auto" w:fill="FFFFFF"/>
          <w:lang w:val="nl-NL"/>
        </w:rPr>
      </w:pPr>
      <w:r w:rsidRPr="00DF367D">
        <w:rPr>
          <w:shd w:val="clear" w:color="auto" w:fill="FFFFFF"/>
          <w:lang w:val="nl-NL"/>
        </w:rPr>
        <w:t>Chính sách hỗ trợ phát triển cụm công nghiệp đã góp phần thu hút đầu tư vào cụm công nghiệp, góp phần tăng giá trị sản xuất công nghiệp của tỉnh, giải quyết việc làm cho lao động ở địa phương. Qua 4 năm thực hiện chính sách, các cụm công nghiệp đã thu hút được trên 100 dự án đầu tư sản xuất kinh doanh, tạo ra giá trị sản xuất trên 800 tỷ đồng và giải quyết việc làm cho hơn 700 lao động, ngoài ra còn hàng trăm dự án đã đăng ký đầu tư. Hầu hết các cụm công nghiệp có dự án đăng ký và đầu tư sản xuất tăng nhanh so với thời điểm trước khi chính sách ban hành</w:t>
      </w:r>
      <w:r w:rsidR="00D6053A" w:rsidRPr="00DF367D">
        <w:rPr>
          <w:shd w:val="clear" w:color="auto" w:fill="FFFFFF"/>
          <w:lang w:val="nl-NL"/>
        </w:rPr>
        <w:t xml:space="preserve"> như:</w:t>
      </w:r>
      <w:r w:rsidRPr="00DF367D">
        <w:rPr>
          <w:shd w:val="clear" w:color="auto" w:fill="FFFFFF"/>
          <w:lang w:val="nl-NL"/>
        </w:rPr>
        <w:t xml:space="preserve"> CCN Nam Hồng, C</w:t>
      </w:r>
      <w:r w:rsidR="00D6053A" w:rsidRPr="00DF367D">
        <w:rPr>
          <w:shd w:val="clear" w:color="auto" w:fill="FFFFFF"/>
          <w:lang w:val="nl-NL"/>
        </w:rPr>
        <w:t>CN Thái Yên, CCN Bắc Cẩm Xuyên..</w:t>
      </w:r>
      <w:r w:rsidRPr="00DF367D">
        <w:rPr>
          <w:shd w:val="clear" w:color="auto" w:fill="FFFFFF"/>
          <w:lang w:val="nl-NL"/>
        </w:rPr>
        <w:t>. Công tác di dời các cơ sở sản xuất trong khu dân cư hoặc làng nghề vào cụm công nghiệp đã được quan tâm như CCN Thái Yên, CCN Thạch Kim. Điều này cho thấy việc hình thành các cụm công nghiệp, đặc biệt các cụm công nghiệp tại các làng nghề phù hợp với nhu cầu phát triển. Diện tích đất công nghiệp trong các cụm công nghiệp đã cho thuê tăng gấp 2 lần, góp phần nâng cao tỷ lệ lấp đầy từ 32,58% (trước khi ban hành Nghị quyết) lên 59,01% vào cuối năm 2017.</w:t>
      </w:r>
    </w:p>
    <w:p w:rsidR="00770678" w:rsidRPr="00DF367D" w:rsidRDefault="00770678" w:rsidP="005A7C41">
      <w:pPr>
        <w:spacing w:after="120"/>
        <w:ind w:firstLine="624"/>
        <w:jc w:val="both"/>
        <w:rPr>
          <w:bCs/>
          <w:lang w:val="pt-BR"/>
        </w:rPr>
      </w:pPr>
      <w:r w:rsidRPr="00DF367D">
        <w:rPr>
          <w:bCs/>
          <w:lang w:val="pt-BR"/>
        </w:rPr>
        <w:t xml:space="preserve">Qua 3 năm (2015-2017) thực hiện chính sách khuyến công, </w:t>
      </w:r>
      <w:r w:rsidR="00D6053A" w:rsidRPr="00DF367D">
        <w:rPr>
          <w:bCs/>
          <w:lang w:val="pt-BR"/>
        </w:rPr>
        <w:t>t</w:t>
      </w:r>
      <w:r w:rsidRPr="00DF367D">
        <w:rPr>
          <w:bCs/>
          <w:lang w:val="pt-BR"/>
        </w:rPr>
        <w:t>ổng kinh phí khuyến công địa phương đã bố trí là: 6.472 triệu đồng</w:t>
      </w:r>
      <w:r w:rsidR="00D6053A" w:rsidRPr="00DF367D">
        <w:rPr>
          <w:bCs/>
          <w:lang w:val="pt-BR"/>
        </w:rPr>
        <w:t xml:space="preserve">, đã thực hiện giải ngân là </w:t>
      </w:r>
      <w:r w:rsidRPr="00DF367D">
        <w:rPr>
          <w:bCs/>
          <w:lang w:val="pt-BR"/>
        </w:rPr>
        <w:t xml:space="preserve">5.705 triệu đồng, </w:t>
      </w:r>
      <w:r w:rsidR="00D6053A" w:rsidRPr="00DF367D">
        <w:rPr>
          <w:bCs/>
          <w:lang w:val="pt-BR"/>
        </w:rPr>
        <w:t xml:space="preserve">chủ yếu </w:t>
      </w:r>
      <w:r w:rsidRPr="00DF367D">
        <w:rPr>
          <w:bCs/>
          <w:lang w:val="pt-BR"/>
        </w:rPr>
        <w:t xml:space="preserve">hỗ trợ cho các nội dung </w:t>
      </w:r>
      <w:r w:rsidR="00D6053A" w:rsidRPr="00DF367D">
        <w:rPr>
          <w:bCs/>
          <w:lang w:val="pt-BR"/>
        </w:rPr>
        <w:t xml:space="preserve">như: </w:t>
      </w:r>
      <w:r w:rsidRPr="00DF367D">
        <w:rPr>
          <w:bCs/>
          <w:lang w:val="pt-BR"/>
        </w:rPr>
        <w:t>Tập huấn, học tập kinh nghiệm</w:t>
      </w:r>
      <w:r w:rsidR="00D6053A" w:rsidRPr="00DF367D">
        <w:rPr>
          <w:bCs/>
          <w:lang w:val="pt-BR"/>
        </w:rPr>
        <w:t xml:space="preserve">, </w:t>
      </w:r>
      <w:r w:rsidRPr="00DF367D">
        <w:rPr>
          <w:bCs/>
          <w:lang w:val="pt-BR"/>
        </w:rPr>
        <w:t xml:space="preserve">tổ chức bình chọn sản phẩm </w:t>
      </w:r>
      <w:r w:rsidR="002718B2">
        <w:rPr>
          <w:bCs/>
          <w:lang w:val="pt-BR"/>
        </w:rPr>
        <w:t>công nghiệp nông thôn tiêu biểu</w:t>
      </w:r>
      <w:r w:rsidR="00D6053A" w:rsidRPr="00DF367D">
        <w:rPr>
          <w:bCs/>
          <w:lang w:val="pt-BR"/>
        </w:rPr>
        <w:t xml:space="preserve">, </w:t>
      </w:r>
      <w:r w:rsidRPr="00DF367D">
        <w:rPr>
          <w:bCs/>
          <w:lang w:val="pt-BR"/>
        </w:rPr>
        <w:t>ứng dụng máy móc thiết bị tiên tiến cho 29 cơ sở SXCN</w:t>
      </w:r>
      <w:r w:rsidR="00D6053A" w:rsidRPr="00DF367D">
        <w:rPr>
          <w:bCs/>
          <w:lang w:val="pt-BR"/>
        </w:rPr>
        <w:t xml:space="preserve">; </w:t>
      </w:r>
      <w:r w:rsidRPr="00DF367D">
        <w:rPr>
          <w:bCs/>
          <w:lang w:val="pt-BR"/>
        </w:rPr>
        <w:t>xây dựng nhãn hiệu sản phẩm công nghiệp</w:t>
      </w:r>
      <w:r w:rsidR="00D6053A" w:rsidRPr="00DF367D">
        <w:rPr>
          <w:bCs/>
          <w:lang w:val="pt-BR"/>
        </w:rPr>
        <w:t>;</w:t>
      </w:r>
      <w:r w:rsidRPr="00DF367D">
        <w:rPr>
          <w:bCs/>
          <w:lang w:val="pt-BR"/>
        </w:rPr>
        <w:t xml:space="preserve"> </w:t>
      </w:r>
      <w:r w:rsidR="00D6053A" w:rsidRPr="00DF367D">
        <w:rPr>
          <w:bCs/>
          <w:lang w:val="pt-BR"/>
        </w:rPr>
        <w:t xml:space="preserve">lập quy hoạch chi tiết </w:t>
      </w:r>
      <w:r w:rsidRPr="00DF367D">
        <w:rPr>
          <w:bCs/>
          <w:lang w:val="pt-BR"/>
        </w:rPr>
        <w:t>cụm công nghiệp</w:t>
      </w:r>
      <w:r w:rsidR="00D6053A" w:rsidRPr="00DF367D">
        <w:rPr>
          <w:bCs/>
          <w:lang w:val="pt-BR"/>
        </w:rPr>
        <w:t xml:space="preserve">. </w:t>
      </w:r>
      <w:r w:rsidRPr="00DF367D">
        <w:rPr>
          <w:lang w:val="pt-BR"/>
        </w:rPr>
        <w:t xml:space="preserve">Thông qua việc hỗ trợ kinh phí khuyến công đã tạo điều kiện để cán bộ </w:t>
      </w:r>
      <w:r w:rsidR="00D6053A" w:rsidRPr="00DF367D">
        <w:rPr>
          <w:lang w:val="pt-BR"/>
        </w:rPr>
        <w:t>quản lý nhà nước</w:t>
      </w:r>
      <w:r w:rsidRPr="00DF367D">
        <w:rPr>
          <w:lang w:val="pt-BR"/>
        </w:rPr>
        <w:t xml:space="preserve"> các cấp nâng cao trình độ, các cơ sở xây dựng nhãn hiệu, ứng dụng đổi mới công nghệ, nâng cao năng lực sản xuất, giải quyết công ăn việc làm cho lao động nông thôn, tiêu thụ nguồn nguyên vật liệu sẵn có tại địa phương nhằm thúc đẩy phát triển </w:t>
      </w:r>
      <w:r w:rsidR="0038642A" w:rsidRPr="00DF367D">
        <w:rPr>
          <w:lang w:val="pt-BR"/>
        </w:rPr>
        <w:t xml:space="preserve">công nghiệp </w:t>
      </w:r>
      <w:r w:rsidR="00C85344" w:rsidRPr="00DF367D">
        <w:rPr>
          <w:lang w:val="pt-BR"/>
        </w:rPr>
        <w:t>nông thôn</w:t>
      </w:r>
      <w:r w:rsidR="0038642A" w:rsidRPr="00DF367D">
        <w:rPr>
          <w:lang w:val="pt-BR"/>
        </w:rPr>
        <w:t xml:space="preserve"> phát triển</w:t>
      </w:r>
      <w:r w:rsidRPr="00DF367D">
        <w:rPr>
          <w:lang w:val="pt-BR"/>
        </w:rPr>
        <w:t>.</w:t>
      </w:r>
    </w:p>
    <w:p w:rsidR="006B2835" w:rsidRPr="00DF367D" w:rsidRDefault="006B2835" w:rsidP="005A7C41">
      <w:pPr>
        <w:spacing w:after="120"/>
        <w:ind w:firstLine="624"/>
        <w:jc w:val="both"/>
      </w:pPr>
      <w:r w:rsidRPr="00DF367D">
        <w:t>Mặc dù vậy</w:t>
      </w:r>
      <w:r w:rsidR="00D6053A" w:rsidRPr="00DF367D">
        <w:t>,</w:t>
      </w:r>
      <w:r w:rsidRPr="00DF367D">
        <w:t xml:space="preserve"> so với yêu cầu của sự phát triển trong giai đoạn hiện nay và những năm tiếp theo, các quy định về chính sách nói trên còn có một số hạn chế nhất định</w:t>
      </w:r>
      <w:r w:rsidR="00D6053A" w:rsidRPr="00DF367D">
        <w:t>.</w:t>
      </w:r>
      <w:r w:rsidRPr="00DF367D">
        <w:t xml:space="preserve"> Một số chính sách, do nguồn lực hạn chế nên chưa được triển khai hoặc triển khai nhưng chưa đáp ứng nhu cầu; một số tiềm năng, lợi thế thúc đẩy sự tăng trưởng của ngành công nghiệp tỉnh nhà chưa có chính sách để khuyến khích phát triển, đặc biệt trong lĩnh vực công nghiệp hỗ trợ, công nghiệp chế biến, chế tạo sau thép, công nghiệp dệt may, da </w:t>
      </w:r>
      <w:r w:rsidR="00D6053A" w:rsidRPr="00DF367D">
        <w:t>gi</w:t>
      </w:r>
      <w:r w:rsidRPr="00DF367D">
        <w:t xml:space="preserve">ày... Việc đầu tư kết cấu hạ tầng trong và ngoài khu, cụm công nghiệp, kết nối với các trục giao thông chính, đầu tư khu xử lý chất thải tập trung chưa đồng bộ, dẫn đến việc thu hút đầu tư vào các khu, cụm công nghiệp đạt kết quả thấp. Các khu công nghiệp nằm ngoài khu kinh tế như KCN Hạ Vàng, KCN Gia Lách số lượng doanh nghiệp đầu tư </w:t>
      </w:r>
      <w:r w:rsidR="00D6053A" w:rsidRPr="00DF367D">
        <w:t>còn ít</w:t>
      </w:r>
      <w:r w:rsidRPr="00DF367D">
        <w:t>. Đối với cụm công nghiệp, vẫn chủ yếu tập trung đầu tư tại các cụm công nghiệp làng nghề hoặc các cụm công nghiệp có vị trí địa lý thuận lợi về giao thông và đã được Nhà nước đầu tư một phần hạ tầng thiết yếu. Các cụm công nghiệp vùng sâu, vùng xa mức độ thu hút đầu tư rất khó khăn.</w:t>
      </w:r>
    </w:p>
    <w:p w:rsidR="006B2835" w:rsidRPr="00DF367D" w:rsidRDefault="00D6053A" w:rsidP="005A7C41">
      <w:pPr>
        <w:spacing w:after="120"/>
        <w:ind w:firstLine="624"/>
        <w:jc w:val="both"/>
      </w:pPr>
      <w:r w:rsidRPr="00DF367D">
        <w:t>Bên cạnh đó,</w:t>
      </w:r>
      <w:r w:rsidR="006B2835" w:rsidRPr="00DF367D">
        <w:t xml:space="preserve"> các chính sách đẩy mạnh phát triển CN - TTCN của tỉnh đã ban hành không còn phù hợp với các văn bản mới ban hành của Chính phủ và các bộ ngành Trung ương như: Nghị định số 82/2018/NĐ-CP ngày 22/5/2018 về </w:t>
      </w:r>
      <w:r w:rsidR="006B2835" w:rsidRPr="00DF367D">
        <w:lastRenderedPageBreak/>
        <w:t>quản lý khu công nghiệp và khu kinh tế thay thế Nghị định số </w:t>
      </w:r>
      <w:hyperlink r:id="rId8" w:tgtFrame="_blank" w:tooltip="Nghị định 29/2008/NĐ-CP" w:history="1">
        <w:r w:rsidR="006B2835" w:rsidRPr="00DF367D">
          <w:t>29/2008/NĐ-CP</w:t>
        </w:r>
      </w:hyperlink>
      <w:r w:rsidR="006B2835" w:rsidRPr="00DF367D">
        <w:t> ngày 14/3/2008 của Chính phủ quy định về khu công nghiệp, khu chế xuất và khu kinh tế</w:t>
      </w:r>
      <w:r w:rsidR="002718B2">
        <w:t>;</w:t>
      </w:r>
      <w:r w:rsidR="006B2835" w:rsidRPr="00DF367D">
        <w:t xml:space="preserve"> Nghị định số 68/2017/NĐ-CP ngày 25/5/2017 của Chính phủ thay thế Quyết định số 105/2009/QĐ-TTg của Thủ tướng Chính phủ về quản lý và phát triển cụm công nghiệp; Nghị định số 111/2015/NĐ-CP ngày 03/11/2015 của Chính phủ về phát triển công nghiệp hỗ trợ; Thông tư số 28/2018/TT-BTC ngày 28/3/2018 </w:t>
      </w:r>
      <w:r w:rsidRPr="00DF367D">
        <w:t xml:space="preserve">của Bộ Tài chính </w:t>
      </w:r>
      <w:r w:rsidR="006B2835" w:rsidRPr="00DF367D">
        <w:t>về</w:t>
      </w:r>
      <w:r w:rsidR="006B2835" w:rsidRPr="00DF367D" w:rsidDel="00271431">
        <w:t xml:space="preserve"> </w:t>
      </w:r>
      <w:r w:rsidR="006B2835" w:rsidRPr="00DF367D">
        <w:t>hướng dẫn lập, quản lý, sử dụng kinh phí khuyến công, Thông tư số 29/2018/TT-BTC ngày 28/3/2018 về hướng dẫn lập, quản lý và sử dụng kinh phí Chương trình phát triển công nghiệp hỗ trợ…</w:t>
      </w:r>
    </w:p>
    <w:p w:rsidR="006B2835" w:rsidRPr="00DF367D" w:rsidRDefault="009D455D" w:rsidP="005A7C41">
      <w:pPr>
        <w:spacing w:after="120"/>
        <w:ind w:firstLine="624"/>
        <w:jc w:val="both"/>
      </w:pPr>
      <w:r w:rsidRPr="00DF367D">
        <w:t xml:space="preserve">Vì vậy, việc ban hành một số chính sách phát triển công nghiệp - tiểu thủ công nghiệp trên địa bàn tỉnh là hết sức cần thiết, nhằm tạo đòn bẩy thúc </w:t>
      </w:r>
      <w:r w:rsidR="006B2835" w:rsidRPr="00DF367D">
        <w:t xml:space="preserve">đẩy </w:t>
      </w:r>
      <w:r w:rsidRPr="00DF367D">
        <w:t>sự</w:t>
      </w:r>
      <w:r w:rsidR="006B2835" w:rsidRPr="00DF367D">
        <w:t xml:space="preserve"> phát triển công nghiệp, tiểu thủ công nghiệp của tỉnh</w:t>
      </w:r>
      <w:r w:rsidRPr="00DF367D">
        <w:t>,</w:t>
      </w:r>
      <w:r w:rsidR="006B2835" w:rsidRPr="00DF367D">
        <w:t xml:space="preserve"> </w:t>
      </w:r>
      <w:r w:rsidRPr="00DF367D">
        <w:t>đảm bảo phù hợp với thực tiễn, phù hợp với</w:t>
      </w:r>
      <w:r w:rsidR="006B2835" w:rsidRPr="00DF367D">
        <w:t xml:space="preserve"> chính sách của Trung ương, Nghị quyết số 23-NQ/TW ngày 22/3/2018 của Bộ Chính trị về định hướng xây dựng chính sách phát triển công nghiệp quốc gia đến năm 2030, tầm nhìn đến năm 2045 và Nghị quyết số 08-NQ/TU ngày 18/5/2018 của Ban Chấp hành Đảng bộ tỉnh về đẩy mạnh phát triển công nghiệp, tiểu thủ công nghiệp đến năm 2025 và những năm tiếp theo.</w:t>
      </w:r>
    </w:p>
    <w:p w:rsidR="006E3788" w:rsidRPr="00DF367D" w:rsidRDefault="00941D36" w:rsidP="005A7C41">
      <w:pPr>
        <w:spacing w:after="120"/>
        <w:ind w:firstLine="624"/>
        <w:jc w:val="both"/>
        <w:rPr>
          <w:b/>
        </w:rPr>
      </w:pPr>
      <w:r w:rsidRPr="00DF367D">
        <w:rPr>
          <w:b/>
          <w:lang w:val="vi-VN"/>
        </w:rPr>
        <w:t xml:space="preserve">II. </w:t>
      </w:r>
      <w:r w:rsidR="005B4C8A" w:rsidRPr="00DF367D">
        <w:rPr>
          <w:b/>
        </w:rPr>
        <w:t>NỘI DUNG</w:t>
      </w:r>
    </w:p>
    <w:p w:rsidR="00F06174" w:rsidRPr="00DF367D" w:rsidRDefault="00F06174" w:rsidP="005A7C41">
      <w:pPr>
        <w:spacing w:after="120"/>
        <w:ind w:firstLine="624"/>
        <w:jc w:val="both"/>
      </w:pPr>
      <w:r w:rsidRPr="00DF367D">
        <w:t>Chính sách gồm 04 chương: Chương I: Những quy định chung; Chương II: Các chính sách hỗ trợ phát triển khu công nghiệp, cụm công nghiệp; Chương III: Chính sách ưu đãi đối với công nghiệp hỗ trợ; Chương IV</w:t>
      </w:r>
      <w:r w:rsidR="002718B2">
        <w:t>: Chính sách hỗ trợ khuyến công;</w:t>
      </w:r>
      <w:r w:rsidRPr="00DF367D">
        <w:t xml:space="preserve"> </w:t>
      </w:r>
      <w:r w:rsidR="002718B2">
        <w:t>với các</w:t>
      </w:r>
      <w:r w:rsidRPr="00DF367D">
        <w:t xml:space="preserve"> nội dung chính như sau:</w:t>
      </w:r>
    </w:p>
    <w:p w:rsidR="006E3788" w:rsidRPr="00DF367D" w:rsidRDefault="00F06174" w:rsidP="005A7C41">
      <w:pPr>
        <w:spacing w:after="120"/>
        <w:ind w:firstLine="624"/>
        <w:jc w:val="both"/>
        <w:rPr>
          <w:b/>
          <w:bCs/>
        </w:rPr>
      </w:pPr>
      <w:r w:rsidRPr="00DF367D">
        <w:rPr>
          <w:b/>
        </w:rPr>
        <w:t xml:space="preserve">1. </w:t>
      </w:r>
      <w:r w:rsidR="005B4C8A" w:rsidRPr="00DF367D">
        <w:rPr>
          <w:b/>
        </w:rPr>
        <w:t>Chương</w:t>
      </w:r>
      <w:r w:rsidR="006E3788" w:rsidRPr="00DF367D">
        <w:rPr>
          <w:b/>
        </w:rPr>
        <w:t xml:space="preserve"> I: Những quy định chung</w:t>
      </w:r>
    </w:p>
    <w:p w:rsidR="005B4C8A" w:rsidRPr="00DF367D" w:rsidRDefault="00F06174" w:rsidP="005A7C41">
      <w:pPr>
        <w:shd w:val="clear" w:color="auto" w:fill="FFFFFF"/>
        <w:spacing w:after="120"/>
        <w:ind w:firstLine="624"/>
        <w:jc w:val="both"/>
      </w:pPr>
      <w:r w:rsidRPr="00DF367D">
        <w:rPr>
          <w:bCs/>
        </w:rPr>
        <w:t>Quy định về phạm v</w:t>
      </w:r>
      <w:r w:rsidR="002575BE">
        <w:rPr>
          <w:bCs/>
        </w:rPr>
        <w:t>i</w:t>
      </w:r>
      <w:r w:rsidRPr="00DF367D">
        <w:rPr>
          <w:bCs/>
        </w:rPr>
        <w:t xml:space="preserve"> điều chỉnh, đối tượng áp dụng; nguyên tắc sử dụng kinh phí hỗ trợ và nguồn kinh phí đảm bảo hoạt động</w:t>
      </w:r>
      <w:r w:rsidRPr="00DF367D">
        <w:t>. Trong đó, nguồn kinh phí được sử dụng từ 03 nguồn chính như sau:</w:t>
      </w:r>
    </w:p>
    <w:p w:rsidR="005B4C8A" w:rsidRPr="00DF367D" w:rsidRDefault="00F06174" w:rsidP="005A7C41">
      <w:pPr>
        <w:shd w:val="clear" w:color="auto" w:fill="FFFFFF"/>
        <w:spacing w:after="120"/>
        <w:ind w:firstLine="624"/>
        <w:jc w:val="both"/>
        <w:rPr>
          <w:lang w:val="nl-NL"/>
        </w:rPr>
      </w:pPr>
      <w:r w:rsidRPr="00DF367D">
        <w:rPr>
          <w:lang w:val="nl-NL"/>
        </w:rPr>
        <w:t>-</w:t>
      </w:r>
      <w:r w:rsidR="005B4C8A" w:rsidRPr="00DF367D">
        <w:rPr>
          <w:lang w:val="nl-NL"/>
        </w:rPr>
        <w:t xml:space="preserve"> Ngân sách trung ương: Lồng ghép từ nguồn hỗ trợ có mục tiêu, các chương trình, dự án phát triển của Chính phủ và các bộ, ngành.</w:t>
      </w:r>
    </w:p>
    <w:p w:rsidR="005B4C8A" w:rsidRPr="00DF367D" w:rsidRDefault="00F06174" w:rsidP="005A7C41">
      <w:pPr>
        <w:shd w:val="clear" w:color="auto" w:fill="FFFFFF"/>
        <w:spacing w:after="120"/>
        <w:ind w:firstLine="624"/>
        <w:jc w:val="both"/>
        <w:rPr>
          <w:lang w:val="nl-NL"/>
        </w:rPr>
      </w:pPr>
      <w:r w:rsidRPr="00DF367D">
        <w:rPr>
          <w:lang w:val="nl-NL"/>
        </w:rPr>
        <w:t>-</w:t>
      </w:r>
      <w:r w:rsidR="005B4C8A" w:rsidRPr="00DF367D">
        <w:rPr>
          <w:lang w:val="nl-NL"/>
        </w:rPr>
        <w:t xml:space="preserve"> </w:t>
      </w:r>
      <w:r w:rsidR="005C1974" w:rsidRPr="00DF367D">
        <w:rPr>
          <w:lang w:val="nl-NL"/>
        </w:rPr>
        <w:t>Giai đoạn 2018-2020, ngân sách tỉnh ưu tiên bố trí không dưới 1% tổng nguồn thu ngân sách để đảm bảo thực hiện chính sách. Giai đoạn sau năm 2020, tập trung ưu tiên bố trí đủ nguồn lực để thực hiện chính sách về phát triển công nghiệp, tiểu thủ công nghiệp</w:t>
      </w:r>
      <w:r w:rsidR="005B4C8A" w:rsidRPr="00DF367D">
        <w:rPr>
          <w:lang w:val="nl-NL"/>
        </w:rPr>
        <w:t>.</w:t>
      </w:r>
    </w:p>
    <w:p w:rsidR="005B4C8A" w:rsidRPr="00DF367D" w:rsidRDefault="00F06174" w:rsidP="005A7C41">
      <w:pPr>
        <w:spacing w:after="120"/>
        <w:ind w:firstLine="624"/>
        <w:jc w:val="both"/>
        <w:rPr>
          <w:b/>
          <w:bCs/>
        </w:rPr>
      </w:pPr>
      <w:r w:rsidRPr="00DF367D">
        <w:rPr>
          <w:lang w:val="nl-NL"/>
        </w:rPr>
        <w:t>-</w:t>
      </w:r>
      <w:r w:rsidR="005B4C8A" w:rsidRPr="00DF367D">
        <w:rPr>
          <w:lang w:val="nl-NL"/>
        </w:rPr>
        <w:t xml:space="preserve"> Nguồn tài trợ, đóng góp của các tổ chức, cá nhân trong nước, ngoài nước và các nguồn vốn hợp pháp khác theo quy định của pháp luật.</w:t>
      </w:r>
    </w:p>
    <w:p w:rsidR="006E3788" w:rsidRPr="00DF367D" w:rsidRDefault="00F06174" w:rsidP="005A7C41">
      <w:pPr>
        <w:shd w:val="clear" w:color="auto" w:fill="FFFFFF"/>
        <w:spacing w:after="120"/>
        <w:ind w:firstLine="624"/>
        <w:jc w:val="both"/>
        <w:rPr>
          <w:b/>
        </w:rPr>
      </w:pPr>
      <w:r w:rsidRPr="00DF367D">
        <w:rPr>
          <w:b/>
        </w:rPr>
        <w:t xml:space="preserve">2. Về </w:t>
      </w:r>
      <w:r w:rsidR="005B4C8A" w:rsidRPr="00DF367D">
        <w:rPr>
          <w:b/>
        </w:rPr>
        <w:t>Chương</w:t>
      </w:r>
      <w:r w:rsidR="006E3788" w:rsidRPr="00DF367D">
        <w:rPr>
          <w:b/>
        </w:rPr>
        <w:t xml:space="preserve"> II: </w:t>
      </w:r>
      <w:r w:rsidR="0006101F" w:rsidRPr="00DF367D">
        <w:rPr>
          <w:b/>
        </w:rPr>
        <w:t>Các c</w:t>
      </w:r>
      <w:r w:rsidR="006E3788" w:rsidRPr="00DF367D">
        <w:rPr>
          <w:b/>
        </w:rPr>
        <w:t xml:space="preserve">hính sách </w:t>
      </w:r>
      <w:r w:rsidR="0006101F" w:rsidRPr="00DF367D">
        <w:rPr>
          <w:b/>
        </w:rPr>
        <w:t xml:space="preserve">hỗ trợ phát triển </w:t>
      </w:r>
      <w:r w:rsidR="006E3788" w:rsidRPr="00DF367D">
        <w:rPr>
          <w:b/>
        </w:rPr>
        <w:t>khu công nghiệp, cụm công nghiệp</w:t>
      </w:r>
    </w:p>
    <w:p w:rsidR="00F06174" w:rsidRPr="00DF367D" w:rsidRDefault="00F06174" w:rsidP="005A7C41">
      <w:pPr>
        <w:spacing w:after="120"/>
        <w:ind w:firstLine="624"/>
        <w:jc w:val="both"/>
        <w:rPr>
          <w:lang w:val="nl-NL"/>
        </w:rPr>
      </w:pPr>
      <w:r w:rsidRPr="00DF367D">
        <w:rPr>
          <w:bCs/>
        </w:rPr>
        <w:t xml:space="preserve">Chương II quy định về điều kiện được hưởng chính sách phát triển khu, cụm công nghiệp và một số chính sách cụ thể về: (1) Ưu đãi tiền thuê đất, thuê mặt nước; (2) hỗ trợ công tác bồi thường, giải phóng mặt bằng; (3) hỗ trợ xây dựng hạ tầng kỹ thuật </w:t>
      </w:r>
      <w:r w:rsidR="008342FB" w:rsidRPr="00DF367D">
        <w:rPr>
          <w:bCs/>
        </w:rPr>
        <w:t>ngoài khu, cụm công nghiệp và hạ tầng kỹ thuật kết</w:t>
      </w:r>
      <w:r w:rsidRPr="00DF367D">
        <w:rPr>
          <w:bCs/>
        </w:rPr>
        <w:t xml:space="preserve"> nối trong và ngoài hàng rào khu, cụm công nghiệp; (4) </w:t>
      </w:r>
      <w:r w:rsidRPr="00DF367D">
        <w:rPr>
          <w:lang w:val="nl-NL"/>
        </w:rPr>
        <w:t>Hỗ trợ xây dựng hạ tầng kỹ thuật trong khu, cụm công nghiệp; (5) Hỗ trợ dự án đầu tư sản xuất kinh doanh trong khu, cụm công nghiệp; các chính sách cụ thể như sau:</w:t>
      </w:r>
    </w:p>
    <w:p w:rsidR="005B4C8A" w:rsidRPr="00DF367D" w:rsidRDefault="00F06174" w:rsidP="005A7C41">
      <w:pPr>
        <w:shd w:val="clear" w:color="auto" w:fill="FFFFFF"/>
        <w:spacing w:after="120"/>
        <w:ind w:firstLine="624"/>
        <w:jc w:val="both"/>
        <w:rPr>
          <w:bCs/>
        </w:rPr>
      </w:pPr>
      <w:r w:rsidRPr="00DF367D">
        <w:rPr>
          <w:bCs/>
        </w:rPr>
        <w:lastRenderedPageBreak/>
        <w:t>a)</w:t>
      </w:r>
      <w:r w:rsidR="005B4C8A" w:rsidRPr="00DF367D">
        <w:rPr>
          <w:bCs/>
        </w:rPr>
        <w:t xml:space="preserve"> Ưu đãi về tiền thuê đất, thuê mặt nước</w:t>
      </w:r>
    </w:p>
    <w:p w:rsidR="005B4C8A" w:rsidRPr="00DF367D" w:rsidRDefault="005B4C8A" w:rsidP="005A7C41">
      <w:pPr>
        <w:pStyle w:val="BodyText"/>
        <w:spacing w:line="240" w:lineRule="auto"/>
        <w:ind w:firstLine="624"/>
        <w:jc w:val="both"/>
        <w:rPr>
          <w:sz w:val="28"/>
        </w:rPr>
      </w:pPr>
      <w:r w:rsidRPr="00DF367D">
        <w:rPr>
          <w:rFonts w:ascii="Times New Roman" w:hAnsi="Times New Roman"/>
          <w:sz w:val="28"/>
          <w:szCs w:val="28"/>
        </w:rPr>
        <w:t xml:space="preserve">- </w:t>
      </w:r>
      <w:r w:rsidRPr="00DF367D">
        <w:rPr>
          <w:rFonts w:ascii="Times New Roman" w:eastAsia="Times New Roman" w:hAnsi="Times New Roman"/>
          <w:sz w:val="28"/>
        </w:rPr>
        <w:t xml:space="preserve">Chủ đầu tư xây dựng hạ tầng kỹ thuật khu, cụm công nghiệp, các cơ sở sản xuất kinh doanh trong khu, cụm công nghiệp được miễn, giảm tiền thuê đất, thuê mặt nước, tiền sử dụng đất theo quy định tại Luật Đầu tư, Luật Đất đai và các </w:t>
      </w:r>
      <w:r w:rsidR="00F06174" w:rsidRPr="00DF367D">
        <w:rPr>
          <w:rFonts w:ascii="Times New Roman" w:eastAsia="Times New Roman" w:hAnsi="Times New Roman"/>
          <w:sz w:val="28"/>
        </w:rPr>
        <w:t xml:space="preserve">Nghị định, Thông tư, </w:t>
      </w:r>
      <w:r w:rsidRPr="00DF367D">
        <w:rPr>
          <w:rFonts w:ascii="Times New Roman" w:eastAsia="Times New Roman" w:hAnsi="Times New Roman"/>
          <w:sz w:val="28"/>
        </w:rPr>
        <w:t xml:space="preserve">văn bản </w:t>
      </w:r>
      <w:r w:rsidR="00F06174" w:rsidRPr="00DF367D">
        <w:rPr>
          <w:rFonts w:ascii="Times New Roman" w:eastAsia="Times New Roman" w:hAnsi="Times New Roman"/>
          <w:sz w:val="28"/>
        </w:rPr>
        <w:t>pháp luật có liên quan</w:t>
      </w:r>
      <w:r w:rsidRPr="00DF367D">
        <w:rPr>
          <w:rFonts w:ascii="Times New Roman" w:eastAsia="Times New Roman" w:hAnsi="Times New Roman"/>
          <w:sz w:val="28"/>
        </w:rPr>
        <w:t>.</w:t>
      </w:r>
    </w:p>
    <w:p w:rsidR="00854F91" w:rsidRPr="00DF367D" w:rsidRDefault="00854F91" w:rsidP="005A7C41">
      <w:pPr>
        <w:pStyle w:val="BodyText"/>
        <w:spacing w:line="240" w:lineRule="auto"/>
        <w:ind w:firstLine="624"/>
        <w:jc w:val="both"/>
        <w:rPr>
          <w:rFonts w:ascii="Times New Roman" w:eastAsia="Times New Roman" w:hAnsi="Times New Roman"/>
          <w:sz w:val="28"/>
        </w:rPr>
      </w:pPr>
      <w:r w:rsidRPr="00DF367D">
        <w:rPr>
          <w:rFonts w:ascii="Times New Roman" w:eastAsia="Times New Roman" w:hAnsi="Times New Roman"/>
          <w:sz w:val="28"/>
        </w:rPr>
        <w:t xml:space="preserve">- </w:t>
      </w:r>
      <w:r w:rsidR="005E2021" w:rsidRPr="00DF367D">
        <w:rPr>
          <w:rFonts w:ascii="Times New Roman" w:eastAsia="Times New Roman" w:hAnsi="Times New Roman"/>
          <w:sz w:val="28"/>
        </w:rPr>
        <w:t>Hỗ trợ 100% tiền thuê đất đối với diện tích đất xây dựng hệ thống hạ tầng kỹ thuật dùng chung trong khu công nghiệp, cụm công nghiệp theo quy hoạch chi tiết đã được cấp có thẩm quyền phê duyệt</w:t>
      </w:r>
      <w:r w:rsidRPr="00DF367D">
        <w:rPr>
          <w:rFonts w:ascii="Times New Roman" w:eastAsia="Times New Roman" w:hAnsi="Times New Roman"/>
          <w:sz w:val="28"/>
        </w:rPr>
        <w:t>.</w:t>
      </w:r>
    </w:p>
    <w:p w:rsidR="00854F91" w:rsidRPr="00DF367D" w:rsidRDefault="00854F91" w:rsidP="005A7C41">
      <w:pPr>
        <w:pStyle w:val="BodyText"/>
        <w:spacing w:line="240" w:lineRule="auto"/>
        <w:ind w:firstLine="624"/>
        <w:jc w:val="both"/>
        <w:rPr>
          <w:rFonts w:ascii="Times New Roman" w:eastAsia="Times New Roman" w:hAnsi="Times New Roman"/>
          <w:sz w:val="28"/>
        </w:rPr>
      </w:pPr>
      <w:r w:rsidRPr="00DF367D">
        <w:rPr>
          <w:rFonts w:ascii="Times New Roman" w:eastAsia="Times New Roman" w:hAnsi="Times New Roman"/>
          <w:sz w:val="28"/>
        </w:rPr>
        <w:t xml:space="preserve">- </w:t>
      </w:r>
      <w:r w:rsidR="00F06174" w:rsidRPr="00DF367D">
        <w:rPr>
          <w:rFonts w:ascii="Times New Roman" w:eastAsia="Times New Roman" w:hAnsi="Times New Roman"/>
          <w:sz w:val="28"/>
        </w:rPr>
        <w:t>Ủy</w:t>
      </w:r>
      <w:r w:rsidR="00AF23AA" w:rsidRPr="00DF367D">
        <w:rPr>
          <w:rFonts w:ascii="Times New Roman" w:eastAsia="Times New Roman" w:hAnsi="Times New Roman"/>
          <w:sz w:val="28"/>
        </w:rPr>
        <w:t xml:space="preserve"> ban nhân dân tỉnh </w:t>
      </w:r>
      <w:r w:rsidR="00F06174" w:rsidRPr="00DF367D">
        <w:rPr>
          <w:rFonts w:ascii="Times New Roman" w:eastAsia="Times New Roman" w:hAnsi="Times New Roman"/>
          <w:sz w:val="28"/>
        </w:rPr>
        <w:t xml:space="preserve">xây dựng, báo cáo Thường trực HĐND tỉnh trước khi </w:t>
      </w:r>
      <w:r w:rsidR="00AF23AA" w:rsidRPr="00DF367D">
        <w:rPr>
          <w:rFonts w:ascii="Times New Roman" w:eastAsia="Times New Roman" w:hAnsi="Times New Roman"/>
          <w:sz w:val="28"/>
        </w:rPr>
        <w:t xml:space="preserve">ban hành biểu giá đất chi tiết </w:t>
      </w:r>
      <w:r w:rsidR="00F06174" w:rsidRPr="00DF367D">
        <w:rPr>
          <w:rFonts w:ascii="Times New Roman" w:eastAsia="Times New Roman" w:hAnsi="Times New Roman"/>
          <w:sz w:val="28"/>
        </w:rPr>
        <w:t xml:space="preserve">riêng </w:t>
      </w:r>
      <w:r w:rsidR="00AF23AA" w:rsidRPr="00DF367D">
        <w:rPr>
          <w:rFonts w:ascii="Times New Roman" w:eastAsia="Times New Roman" w:hAnsi="Times New Roman"/>
          <w:sz w:val="28"/>
        </w:rPr>
        <w:t xml:space="preserve">cho </w:t>
      </w:r>
      <w:r w:rsidR="00F06174" w:rsidRPr="00DF367D">
        <w:rPr>
          <w:rFonts w:ascii="Times New Roman" w:eastAsia="Times New Roman" w:hAnsi="Times New Roman"/>
          <w:sz w:val="28"/>
        </w:rPr>
        <w:t xml:space="preserve">các </w:t>
      </w:r>
      <w:r w:rsidR="00AF23AA" w:rsidRPr="00DF367D">
        <w:rPr>
          <w:rFonts w:ascii="Times New Roman" w:eastAsia="Times New Roman" w:hAnsi="Times New Roman"/>
          <w:sz w:val="28"/>
        </w:rPr>
        <w:t xml:space="preserve">khu, cụm công nghiệp </w:t>
      </w:r>
      <w:r w:rsidR="00F06174" w:rsidRPr="00DF367D">
        <w:rPr>
          <w:rFonts w:ascii="Times New Roman" w:eastAsia="Times New Roman" w:hAnsi="Times New Roman"/>
          <w:sz w:val="28"/>
        </w:rPr>
        <w:t xml:space="preserve">thuộc quy hoạch </w:t>
      </w:r>
      <w:r w:rsidR="00AF23AA" w:rsidRPr="00DF367D">
        <w:rPr>
          <w:rFonts w:ascii="Times New Roman" w:eastAsia="Times New Roman" w:hAnsi="Times New Roman"/>
          <w:sz w:val="28"/>
        </w:rPr>
        <w:t>trong Bảng giá đất của tỉnh nhằm đảm bảo tính ổn định, phù hợp, tạo điều kiện thuận lợi cho các nhà đầu tư xây dựng hạ tầng kỹ thuật và sản xuất kinh doanh trong các khu, cụm công nghiệp trên địa bàn</w:t>
      </w:r>
      <w:r w:rsidR="00F06174" w:rsidRPr="00DF367D">
        <w:rPr>
          <w:rFonts w:ascii="Times New Roman" w:eastAsia="Times New Roman" w:hAnsi="Times New Roman"/>
          <w:sz w:val="28"/>
        </w:rPr>
        <w:t xml:space="preserve"> tỉnh</w:t>
      </w:r>
      <w:r w:rsidR="00AF23AA" w:rsidRPr="00DF367D">
        <w:rPr>
          <w:rFonts w:ascii="Times New Roman" w:eastAsia="Times New Roman" w:hAnsi="Times New Roman"/>
          <w:sz w:val="28"/>
        </w:rPr>
        <w:t>; mức tỷ lệ % đơn giá thuê đất áp dụng mức thấp nhất theo quy định của Chính phủ.</w:t>
      </w:r>
    </w:p>
    <w:p w:rsidR="006E3788" w:rsidRPr="00DF367D" w:rsidRDefault="00C74B34" w:rsidP="005A7C41">
      <w:pPr>
        <w:shd w:val="clear" w:color="auto" w:fill="FFFFFF"/>
        <w:spacing w:after="120"/>
        <w:ind w:firstLine="624"/>
        <w:jc w:val="both"/>
        <w:rPr>
          <w:lang w:val="nl-NL"/>
        </w:rPr>
      </w:pPr>
      <w:r w:rsidRPr="00DF367D">
        <w:rPr>
          <w:bCs/>
        </w:rPr>
        <w:t>b)</w:t>
      </w:r>
      <w:r w:rsidR="006E3788" w:rsidRPr="00DF367D">
        <w:rPr>
          <w:bCs/>
        </w:rPr>
        <w:t xml:space="preserve"> Hỗ trợ công tác b</w:t>
      </w:r>
      <w:r w:rsidR="006E3788" w:rsidRPr="00DF367D">
        <w:rPr>
          <w:lang w:val="nl-NL"/>
        </w:rPr>
        <w:t xml:space="preserve">ồi thường, giải phóng mặt bằng </w:t>
      </w:r>
    </w:p>
    <w:p w:rsidR="005B4C8A" w:rsidRPr="00DF367D" w:rsidRDefault="00C74B34" w:rsidP="00C74B34">
      <w:pPr>
        <w:shd w:val="clear" w:color="auto" w:fill="FFFFFF"/>
        <w:spacing w:after="120"/>
        <w:ind w:firstLine="624"/>
        <w:jc w:val="both"/>
        <w:rPr>
          <w:lang w:val="nl-NL"/>
        </w:rPr>
      </w:pPr>
      <w:r w:rsidRPr="00DF367D">
        <w:rPr>
          <w:lang w:val="nl-NL"/>
        </w:rPr>
        <w:t>-</w:t>
      </w:r>
      <w:r w:rsidR="005B4C8A" w:rsidRPr="00DF367D">
        <w:rPr>
          <w:lang w:val="nl-NL"/>
        </w:rPr>
        <w:t xml:space="preserve"> Đối với khu, cụm công nghiệp có Chủ đầu tư xây dựng hạ tầng kỹ thuật khu, cụm công nghiệp</w:t>
      </w:r>
      <w:r w:rsidR="005B4C8A" w:rsidRPr="00DF367D">
        <w:t xml:space="preserve"> theo </w:t>
      </w:r>
      <w:r w:rsidR="005B4C8A" w:rsidRPr="00DF367D">
        <w:rPr>
          <w:lang w:val="nl-NL"/>
        </w:rPr>
        <w:t>hình thức xã hội hóa</w:t>
      </w:r>
      <w:r w:rsidRPr="00DF367D">
        <w:rPr>
          <w:lang w:val="nl-NL"/>
        </w:rPr>
        <w:t xml:space="preserve">: Ngân sách tỉnh bố trí ứng vốn 50% chi phí bồi thường, giải phóng mặt bằng, tái định cư, nhưng không quá 10 tỷ đồng/khu công nghiệp </w:t>
      </w:r>
      <w:r w:rsidR="002718B2">
        <w:rPr>
          <w:lang w:val="nl-NL"/>
        </w:rPr>
        <w:t>và không quá 5 tỷ đồng/cụm công</w:t>
      </w:r>
      <w:r w:rsidRPr="00DF367D">
        <w:rPr>
          <w:lang w:val="nl-NL"/>
        </w:rPr>
        <w:t xml:space="preserve">; phần còn lại, </w:t>
      </w:r>
      <w:r w:rsidR="005B4C8A" w:rsidRPr="00DF367D">
        <w:rPr>
          <w:lang w:val="nl-NL"/>
        </w:rPr>
        <w:t xml:space="preserve">Chủ đầu tư xây dựng hạ tầng kỹ thuật khu, cụm công nghiệp ứng trước kinh phí </w:t>
      </w:r>
      <w:r w:rsidRPr="00DF367D">
        <w:rPr>
          <w:lang w:val="nl-NL"/>
        </w:rPr>
        <w:t xml:space="preserve">để thực hiện </w:t>
      </w:r>
      <w:r w:rsidR="005B4C8A" w:rsidRPr="00DF367D">
        <w:rPr>
          <w:lang w:val="nl-NL"/>
        </w:rPr>
        <w:t>bồi thường, hỗ trợ, tái định cư theo phương án đã được cơ quan nhà nước có thẩm quyền phê duyệt</w:t>
      </w:r>
      <w:r w:rsidRPr="00DF367D">
        <w:rPr>
          <w:lang w:val="nl-NL"/>
        </w:rPr>
        <w:t>.</w:t>
      </w:r>
    </w:p>
    <w:p w:rsidR="005B4C8A" w:rsidRPr="00DF367D" w:rsidRDefault="00C74B34" w:rsidP="00C74B34">
      <w:pPr>
        <w:shd w:val="clear" w:color="auto" w:fill="FFFFFF"/>
        <w:spacing w:after="120"/>
        <w:ind w:firstLine="624"/>
        <w:jc w:val="both"/>
        <w:rPr>
          <w:lang w:val="nl-NL"/>
        </w:rPr>
      </w:pPr>
      <w:r w:rsidRPr="00DF367D">
        <w:rPr>
          <w:lang w:val="nl-NL"/>
        </w:rPr>
        <w:t>-</w:t>
      </w:r>
      <w:r w:rsidR="005B4C8A" w:rsidRPr="00DF367D">
        <w:rPr>
          <w:lang w:val="nl-NL"/>
        </w:rPr>
        <w:t xml:space="preserve"> Đối với khu, cụm công nghiệp do đơn vị sự nghiệp thuộc Ban quản lý Khu kinh tế tỉnh, UBND cấp huyện làm chủ đầu tư</w:t>
      </w:r>
      <w:r w:rsidRPr="00DF367D">
        <w:rPr>
          <w:lang w:val="nl-NL"/>
        </w:rPr>
        <w:t xml:space="preserve"> hạ tầng kỹ thuật: </w:t>
      </w:r>
      <w:r w:rsidR="005B4C8A" w:rsidRPr="00DF367D">
        <w:rPr>
          <w:lang w:val="nl-NL"/>
        </w:rPr>
        <w:t xml:space="preserve">Ngân sách nhà nước </w:t>
      </w:r>
      <w:r w:rsidRPr="00DF367D">
        <w:rPr>
          <w:lang w:val="nl-NL"/>
        </w:rPr>
        <w:t>cân đối, bố trí</w:t>
      </w:r>
      <w:r w:rsidR="005B4C8A" w:rsidRPr="00DF367D">
        <w:rPr>
          <w:lang w:val="nl-NL"/>
        </w:rPr>
        <w:t xml:space="preserve"> vốn </w:t>
      </w:r>
      <w:r w:rsidRPr="00DF367D">
        <w:rPr>
          <w:lang w:val="nl-NL"/>
        </w:rPr>
        <w:t xml:space="preserve">để thực hiện công tác </w:t>
      </w:r>
      <w:r w:rsidR="005B4C8A" w:rsidRPr="00DF367D">
        <w:rPr>
          <w:lang w:val="nl-NL"/>
        </w:rPr>
        <w:t>bồi thường, hỗ trợ và tái định cư theo quy định.</w:t>
      </w:r>
      <w:r w:rsidRPr="00DF367D">
        <w:rPr>
          <w:lang w:val="nl-NL"/>
        </w:rPr>
        <w:t xml:space="preserve"> </w:t>
      </w:r>
      <w:r w:rsidR="005B4C8A" w:rsidRPr="00DF367D">
        <w:rPr>
          <w:lang w:val="nl-NL"/>
        </w:rPr>
        <w:t xml:space="preserve">Trường hợp </w:t>
      </w:r>
      <w:r w:rsidRPr="00DF367D">
        <w:rPr>
          <w:lang w:val="nl-NL"/>
        </w:rPr>
        <w:t>các khu, cụm công nghiệp chưa được đầu tư hoàn thiện hạ tầng và chưa thực hiện xong việc giải phóng mặt bằng mà n</w:t>
      </w:r>
      <w:r w:rsidR="005B4C8A" w:rsidRPr="00DF367D">
        <w:rPr>
          <w:lang w:val="nl-NL"/>
        </w:rPr>
        <w:t xml:space="preserve">hà đầu tư </w:t>
      </w:r>
      <w:r w:rsidRPr="00DF367D">
        <w:rPr>
          <w:lang w:val="nl-NL"/>
        </w:rPr>
        <w:t>có nhu cầu đầu tư và</w:t>
      </w:r>
      <w:r w:rsidR="005B4C8A" w:rsidRPr="00DF367D">
        <w:rPr>
          <w:lang w:val="nl-NL"/>
        </w:rPr>
        <w:t xml:space="preserve"> tự nguyện ứng trước kinh phí bồi thường, hỗ trợ, tái định cư</w:t>
      </w:r>
      <w:r w:rsidRPr="00DF367D">
        <w:rPr>
          <w:lang w:val="nl-NL"/>
        </w:rPr>
        <w:t xml:space="preserve"> thì</w:t>
      </w:r>
      <w:r w:rsidR="005B4C8A" w:rsidRPr="00DF367D">
        <w:rPr>
          <w:lang w:val="nl-NL"/>
        </w:rPr>
        <w:t xml:space="preserve"> ngân sách tỉnh bố trí ứng 50% chi phí bồi thường, hỗ trợ và tái định cư đ</w:t>
      </w:r>
      <w:r w:rsidRPr="00DF367D">
        <w:rPr>
          <w:lang w:val="nl-NL"/>
        </w:rPr>
        <w:t>ược cấp có thẩm quyền phê duy</w:t>
      </w:r>
      <w:r w:rsidR="002718B2">
        <w:rPr>
          <w:lang w:val="nl-NL"/>
        </w:rPr>
        <w:t>ệ</w:t>
      </w:r>
      <w:r w:rsidRPr="00DF367D">
        <w:rPr>
          <w:lang w:val="nl-NL"/>
        </w:rPr>
        <w:t>t</w:t>
      </w:r>
      <w:r w:rsidR="005B4C8A" w:rsidRPr="00DF367D">
        <w:rPr>
          <w:lang w:val="nl-NL"/>
        </w:rPr>
        <w:t xml:space="preserve"> nhưng tối đa không quá 02 tỷ đồng/dự án đối với nhà đầu tư là doanh nghiệp, hợp tác xã và không quá 500 triệu đồng/dự án đối với nhà đầu tư là các hộ kinh doanh cá thể</w:t>
      </w:r>
      <w:r w:rsidR="002718B2">
        <w:rPr>
          <w:lang w:val="nl-NL"/>
        </w:rPr>
        <w:t xml:space="preserve">; </w:t>
      </w:r>
      <w:r w:rsidR="002718B2" w:rsidRPr="00DF367D">
        <w:rPr>
          <w:lang w:val="nl-NL"/>
        </w:rPr>
        <w:t>phần còn lại, Chủ đầu tư ứng trước kinh phí để thực hiện bồi thường, hỗ trợ, tái định cư theo phương án đã được cơ quan nhà nước có thẩm quyền phê duyệt.</w:t>
      </w:r>
      <w:r w:rsidR="002718B2">
        <w:rPr>
          <w:lang w:val="nl-NL"/>
        </w:rPr>
        <w:t xml:space="preserve"> </w:t>
      </w:r>
    </w:p>
    <w:p w:rsidR="005B4C8A" w:rsidRPr="00DF367D" w:rsidRDefault="001D1594" w:rsidP="005A7C41">
      <w:pPr>
        <w:spacing w:after="120"/>
        <w:ind w:firstLine="624"/>
        <w:jc w:val="both"/>
        <w:rPr>
          <w:lang w:val="nl-NL"/>
        </w:rPr>
      </w:pPr>
      <w:r w:rsidRPr="00DF367D">
        <w:rPr>
          <w:lang w:val="nl-NL"/>
        </w:rPr>
        <w:t>c)</w:t>
      </w:r>
      <w:r w:rsidR="005B4C8A" w:rsidRPr="00DF367D">
        <w:rPr>
          <w:lang w:val="nl-NL"/>
        </w:rPr>
        <w:t xml:space="preserve"> </w:t>
      </w:r>
      <w:r w:rsidR="008342FB" w:rsidRPr="00DF367D">
        <w:rPr>
          <w:lang w:val="nl-NL"/>
        </w:rPr>
        <w:t>Hỗ trợ xây dựng hạ tầng kỹ thuật ngoài khu, cụm công nghiệp và hạ tầng kỹ thuật kết nối trong và ngoài khu, cụm công nghiệp</w:t>
      </w:r>
      <w:r w:rsidR="005B4C8A" w:rsidRPr="00DF367D">
        <w:rPr>
          <w:lang w:val="nl-NL"/>
        </w:rPr>
        <w:t xml:space="preserve"> </w:t>
      </w:r>
    </w:p>
    <w:p w:rsidR="005B4C8A" w:rsidRPr="00DF367D" w:rsidRDefault="001D1594" w:rsidP="005A7C41">
      <w:pPr>
        <w:spacing w:after="120"/>
        <w:ind w:firstLine="624"/>
        <w:jc w:val="both"/>
      </w:pPr>
      <w:r w:rsidRPr="00DF367D">
        <w:rPr>
          <w:lang w:val="nl-NL"/>
        </w:rPr>
        <w:t>-</w:t>
      </w:r>
      <w:r w:rsidR="005B4C8A" w:rsidRPr="00DF367D">
        <w:rPr>
          <w:lang w:val="nl-NL"/>
        </w:rPr>
        <w:t xml:space="preserve"> </w:t>
      </w:r>
      <w:r w:rsidR="005B4C8A" w:rsidRPr="00DF367D">
        <w:t xml:space="preserve">Ngân sách nhà nước </w:t>
      </w:r>
      <w:r w:rsidR="00B1197E" w:rsidRPr="00DF367D">
        <w:t>đầu tư</w:t>
      </w:r>
      <w:r w:rsidR="005B4C8A" w:rsidRPr="00DF367D">
        <w:t xml:space="preserve"> 100% kinh phí </w:t>
      </w:r>
      <w:r w:rsidR="00B1197E" w:rsidRPr="00DF367D">
        <w:t>hạ tầng</w:t>
      </w:r>
      <w:r w:rsidR="005B4C8A" w:rsidRPr="00DF367D">
        <w:t xml:space="preserve"> </w:t>
      </w:r>
      <w:r w:rsidR="00F10EF8" w:rsidRPr="00DF367D">
        <w:t>giao thông</w:t>
      </w:r>
      <w:r w:rsidR="00916699" w:rsidRPr="00DF367D">
        <w:t xml:space="preserve">, hệ thống đường gom và hệ thống thu gom, thoát nước kết nối </w:t>
      </w:r>
      <w:r w:rsidR="00F10EF8" w:rsidRPr="00DF367D">
        <w:t>trong và ngoài</w:t>
      </w:r>
      <w:r w:rsidR="005B4C8A" w:rsidRPr="00DF367D">
        <w:t xml:space="preserve"> khu, cụm công nghiệp</w:t>
      </w:r>
      <w:r w:rsidR="005925C5" w:rsidRPr="00DF367D">
        <w:t xml:space="preserve"> hoặc ngoài khu, cụm công nghiệp nhưng có tính chất quan trọng liên quan trực tiếp đến hoạt động của khu, cụm công nghiệp</w:t>
      </w:r>
      <w:r w:rsidR="005B4C8A" w:rsidRPr="00DF367D">
        <w:t>.</w:t>
      </w:r>
    </w:p>
    <w:p w:rsidR="005B4C8A" w:rsidRPr="00DF367D" w:rsidRDefault="005B4C8A" w:rsidP="005A7C41">
      <w:pPr>
        <w:spacing w:after="120"/>
        <w:ind w:firstLine="624"/>
        <w:jc w:val="both"/>
      </w:pPr>
      <w:r w:rsidRPr="00DF367D">
        <w:t xml:space="preserve">Trường hợp nhà đầu tư tự ứng trước kinh phí để đầu tư, số kinh phí đã đầu tư sẽ được Ngân sách hoàn trả theo kết quả thẩm định quyết toán công trình của </w:t>
      </w:r>
      <w:r w:rsidRPr="00DF367D">
        <w:lastRenderedPageBreak/>
        <w:t>cơ quan nhà nước có thẩm quyền trong thời hạn 24 tháng kể từ ngày nhà đầu tư trình đủ hồ sơ theo quy định.</w:t>
      </w:r>
    </w:p>
    <w:p w:rsidR="005B4C8A" w:rsidRPr="00DF367D" w:rsidRDefault="005925C5" w:rsidP="005A7C41">
      <w:pPr>
        <w:spacing w:after="120"/>
        <w:ind w:firstLine="624"/>
        <w:jc w:val="both"/>
      </w:pPr>
      <w:r w:rsidRPr="00DF367D">
        <w:t>-</w:t>
      </w:r>
      <w:r w:rsidR="005B4C8A" w:rsidRPr="00DF367D">
        <w:t xml:space="preserve"> UBND tỉnh </w:t>
      </w:r>
      <w:r w:rsidR="00916699" w:rsidRPr="00DF367D">
        <w:t>t</w:t>
      </w:r>
      <w:r w:rsidR="005B4C8A" w:rsidRPr="00DF367D">
        <w:t xml:space="preserve">hực hiện các giải pháp để </w:t>
      </w:r>
      <w:r w:rsidR="00916699" w:rsidRPr="00DF367D">
        <w:t xml:space="preserve">đảm bảo </w:t>
      </w:r>
      <w:r w:rsidR="005B4C8A" w:rsidRPr="00DF367D">
        <w:t xml:space="preserve">hạ tầng đồng bộ và cung cấp các dịch vụ thiết yếu tới chân hàng rào khu, cụm công nghiệp </w:t>
      </w:r>
      <w:r w:rsidR="00916699" w:rsidRPr="00DF367D">
        <w:t>như</w:t>
      </w:r>
      <w:r w:rsidR="005B4C8A" w:rsidRPr="00DF367D">
        <w:t xml:space="preserve">: Cấp điện, cấp nước, </w:t>
      </w:r>
      <w:r w:rsidRPr="00DF367D">
        <w:t xml:space="preserve">hạ tầng viễn thông, </w:t>
      </w:r>
      <w:r w:rsidR="005B4C8A" w:rsidRPr="00DF367D">
        <w:t>thông tin liên lạc, thu gom và xử lý chất thải</w:t>
      </w:r>
      <w:r w:rsidR="00916699" w:rsidRPr="00DF367D">
        <w:t>…</w:t>
      </w:r>
    </w:p>
    <w:p w:rsidR="005B4C8A" w:rsidRPr="00DF367D" w:rsidRDefault="00AB68C7" w:rsidP="005A7C41">
      <w:pPr>
        <w:spacing w:after="120"/>
        <w:ind w:firstLine="624"/>
        <w:jc w:val="both"/>
        <w:rPr>
          <w:lang w:val="nl-NL"/>
        </w:rPr>
      </w:pPr>
      <w:r w:rsidRPr="00DF367D">
        <w:rPr>
          <w:lang w:val="nl-NL"/>
        </w:rPr>
        <w:t>d)</w:t>
      </w:r>
      <w:r w:rsidR="005B4C8A" w:rsidRPr="00DF367D">
        <w:rPr>
          <w:lang w:val="nl-NL"/>
        </w:rPr>
        <w:t xml:space="preserve"> Hỗ trợ xây dựng hạ tầng kỹ thuật trong khu, cụm công nghiệp </w:t>
      </w:r>
    </w:p>
    <w:p w:rsidR="005B4C8A" w:rsidRPr="00DF367D" w:rsidRDefault="00066C0F" w:rsidP="005A7C41">
      <w:pPr>
        <w:spacing w:after="120"/>
        <w:ind w:firstLine="624"/>
        <w:jc w:val="both"/>
        <w:rPr>
          <w:lang w:val="nl-NL"/>
        </w:rPr>
      </w:pPr>
      <w:r w:rsidRPr="00DF367D">
        <w:rPr>
          <w:lang w:val="nl-NL"/>
        </w:rPr>
        <w:t>-</w:t>
      </w:r>
      <w:r w:rsidR="005B4C8A" w:rsidRPr="00DF367D">
        <w:rPr>
          <w:lang w:val="nl-NL"/>
        </w:rPr>
        <w:t xml:space="preserve"> Khu, cụm công nghiệp do đơn vị sự nghiệp thuộc Ban quản lý Khu kinh tế tỉnh hoặc UBND cấp huyện làm chủ đầu tư</w:t>
      </w:r>
      <w:r w:rsidR="00916699" w:rsidRPr="00DF367D">
        <w:rPr>
          <w:lang w:val="nl-NL"/>
        </w:rPr>
        <w:t xml:space="preserve">: </w:t>
      </w:r>
      <w:r w:rsidR="005B4C8A" w:rsidRPr="00DF367D">
        <w:rPr>
          <w:lang w:val="nl-NL"/>
        </w:rPr>
        <w:t>Giao UBND tỉnh xây dựng</w:t>
      </w:r>
      <w:r w:rsidR="002718B2">
        <w:rPr>
          <w:lang w:val="nl-NL"/>
        </w:rPr>
        <w:t>, phê duyệt</w:t>
      </w:r>
      <w:r w:rsidR="005B4C8A" w:rsidRPr="00DF367D">
        <w:rPr>
          <w:lang w:val="nl-NL"/>
        </w:rPr>
        <w:t xml:space="preserve"> danh mục ưu tiên đầu tư trên cơ sở cân đối ngân sách và tính chất cấp bách của từng công trình dự </w:t>
      </w:r>
      <w:r w:rsidR="00AF23AA" w:rsidRPr="00DF367D">
        <w:rPr>
          <w:lang w:val="nl-NL"/>
        </w:rPr>
        <w:t>án, phù hợp tình hình thực t</w:t>
      </w:r>
      <w:r w:rsidR="00916699" w:rsidRPr="00DF367D">
        <w:rPr>
          <w:lang w:val="nl-NL"/>
        </w:rPr>
        <w:t>ế</w:t>
      </w:r>
      <w:r w:rsidR="00187633" w:rsidRPr="00DF367D">
        <w:rPr>
          <w:lang w:val="nl-NL"/>
        </w:rPr>
        <w:t>,</w:t>
      </w:r>
      <w:r w:rsidR="00AF23AA" w:rsidRPr="00DF367D">
        <w:rPr>
          <w:lang w:val="nl-NL"/>
        </w:rPr>
        <w:t xml:space="preserve"> trong đó ưu tiên đầu tư xây dựng hệ thống xử lý nước thải tập trung tại các khu, cụm công nghiệp.</w:t>
      </w:r>
    </w:p>
    <w:p w:rsidR="005B4C8A" w:rsidRPr="00DF367D" w:rsidRDefault="00066C0F" w:rsidP="005A7C41">
      <w:pPr>
        <w:spacing w:after="120"/>
        <w:ind w:firstLine="624"/>
        <w:jc w:val="both"/>
      </w:pPr>
      <w:r w:rsidRPr="00DF367D">
        <w:rPr>
          <w:lang w:val="nl-NL"/>
        </w:rPr>
        <w:t>-</w:t>
      </w:r>
      <w:r w:rsidR="005B4C8A" w:rsidRPr="00DF367D">
        <w:rPr>
          <w:lang w:val="nl-NL"/>
        </w:rPr>
        <w:t xml:space="preserve"> Khu, cụm công nghiệp do </w:t>
      </w:r>
      <w:r w:rsidR="005B4C8A" w:rsidRPr="00DF367D">
        <w:t>Chủ đầu tư xây dựng hạ tầng kỹ thuật theo hình thức xã hội hóa đầu tư</w:t>
      </w:r>
      <w:r w:rsidR="002718B2">
        <w:t>:</w:t>
      </w:r>
    </w:p>
    <w:p w:rsidR="005B4C8A" w:rsidRPr="00DF367D" w:rsidRDefault="002718B2" w:rsidP="005A7C41">
      <w:pPr>
        <w:pStyle w:val="BodyText"/>
        <w:spacing w:line="240" w:lineRule="auto"/>
        <w:ind w:firstLine="624"/>
        <w:jc w:val="both"/>
        <w:rPr>
          <w:rFonts w:ascii="Times New Roman" w:eastAsia="Times New Roman" w:hAnsi="Times New Roman"/>
          <w:sz w:val="28"/>
        </w:rPr>
      </w:pPr>
      <w:r>
        <w:rPr>
          <w:rFonts w:ascii="Times New Roman" w:eastAsia="Times New Roman" w:hAnsi="Times New Roman"/>
          <w:sz w:val="28"/>
        </w:rPr>
        <w:t>+</w:t>
      </w:r>
      <w:r w:rsidR="005B4C8A" w:rsidRPr="00DF367D">
        <w:rPr>
          <w:rFonts w:ascii="Times New Roman" w:eastAsia="Times New Roman" w:hAnsi="Times New Roman"/>
          <w:sz w:val="28"/>
        </w:rPr>
        <w:t xml:space="preserve"> Hỗ trợ vốn đầu tư xây dựng hạ tầng kỹ thuật khu, cụm công nghiệp, bao gồm: San lấp mặt bằng, đường giao thông nội bộ, hệ thống cấp nước, thoát nước</w:t>
      </w:r>
      <w:r w:rsidR="00066C0F" w:rsidRPr="00DF367D">
        <w:rPr>
          <w:rFonts w:ascii="Times New Roman" w:eastAsia="Times New Roman" w:hAnsi="Times New Roman"/>
          <w:sz w:val="28"/>
        </w:rPr>
        <w:t>, phòng cháy chữa cháy với</w:t>
      </w:r>
      <w:r w:rsidR="005B4C8A" w:rsidRPr="00DF367D">
        <w:rPr>
          <w:rFonts w:ascii="Times New Roman" w:eastAsia="Times New Roman" w:hAnsi="Times New Roman"/>
          <w:sz w:val="28"/>
        </w:rPr>
        <w:t xml:space="preserve"> </w:t>
      </w:r>
      <w:r w:rsidR="00066C0F" w:rsidRPr="00DF367D">
        <w:rPr>
          <w:rFonts w:ascii="Times New Roman" w:eastAsia="Times New Roman" w:hAnsi="Times New Roman"/>
          <w:sz w:val="28"/>
        </w:rPr>
        <w:t>m</w:t>
      </w:r>
      <w:r w:rsidR="005B4C8A" w:rsidRPr="00DF367D">
        <w:rPr>
          <w:rFonts w:ascii="Times New Roman" w:eastAsia="Times New Roman" w:hAnsi="Times New Roman"/>
          <w:sz w:val="28"/>
        </w:rPr>
        <w:t>ức hỗ trợ</w:t>
      </w:r>
      <w:r w:rsidR="00066C0F" w:rsidRPr="00DF367D">
        <w:rPr>
          <w:rFonts w:ascii="Times New Roman" w:eastAsia="Times New Roman" w:hAnsi="Times New Roman"/>
          <w:sz w:val="28"/>
        </w:rPr>
        <w:t>:</w:t>
      </w:r>
      <w:r w:rsidR="005B4C8A" w:rsidRPr="00DF367D">
        <w:rPr>
          <w:rFonts w:ascii="Times New Roman" w:eastAsia="Times New Roman" w:hAnsi="Times New Roman"/>
          <w:sz w:val="28"/>
        </w:rPr>
        <w:t xml:space="preserve"> 0,5 tỷ đồng/ha, nhưng không quá 20 tỷ đồng/cụm công nghiệp và </w:t>
      </w:r>
      <w:r w:rsidR="00066C0F" w:rsidRPr="00DF367D">
        <w:rPr>
          <w:rFonts w:ascii="Times New Roman" w:eastAsia="Times New Roman" w:hAnsi="Times New Roman"/>
          <w:sz w:val="28"/>
        </w:rPr>
        <w:t xml:space="preserve">không quá </w:t>
      </w:r>
      <w:r w:rsidR="005B4C8A" w:rsidRPr="00DF367D">
        <w:rPr>
          <w:rFonts w:ascii="Times New Roman" w:eastAsia="Times New Roman" w:hAnsi="Times New Roman"/>
          <w:sz w:val="28"/>
        </w:rPr>
        <w:t>30 tỷ đồng/khu công nghiệp.</w:t>
      </w:r>
    </w:p>
    <w:p w:rsidR="005B4C8A" w:rsidRPr="00DF367D" w:rsidRDefault="002718B2" w:rsidP="005A7C41">
      <w:pPr>
        <w:spacing w:after="120"/>
        <w:ind w:firstLine="624"/>
        <w:jc w:val="both"/>
      </w:pPr>
      <w:r>
        <w:t>+</w:t>
      </w:r>
      <w:r w:rsidR="005B4C8A" w:rsidRPr="00DF367D">
        <w:t xml:space="preserve"> Ưu tiên bố trí vốn, hỗ trợ để đầu tư hệ thống xử lý ô nhiễm môi trường, hệ thống xử lý nước thải tập trung của khu, cụm công nghiệp hoặc hạng mục trạm xử lý nước thải tập trung của dự án kinh doanh hạ tầng khu, cụm công nghiệp (sau đây gọi là hệ thống xử lý nước thải tập trung), cụ thể:</w:t>
      </w:r>
    </w:p>
    <w:p w:rsidR="005B4C8A" w:rsidRPr="00DF367D" w:rsidRDefault="002718B2" w:rsidP="005A7C41">
      <w:pPr>
        <w:spacing w:after="120"/>
        <w:ind w:firstLine="624"/>
        <w:jc w:val="both"/>
      </w:pPr>
      <w:r>
        <w:t>*</w:t>
      </w:r>
      <w:r w:rsidR="00A116F5" w:rsidRPr="00DF367D">
        <w:t xml:space="preserve"> </w:t>
      </w:r>
      <w:r w:rsidR="005B4C8A" w:rsidRPr="00DF367D">
        <w:t>Ưu tiên vay vốn từ Quỹ bảo vệ môi trường tỉnh hoặc ưu tiên vay vốn từ Quỹ đầu tư phát triển tỉnh để xây dựng hệ thống xử lý nước thải tập trung với mức vay 70% tổng vốn đầu tư.</w:t>
      </w:r>
    </w:p>
    <w:p w:rsidR="005B4C8A" w:rsidRPr="00DF367D" w:rsidRDefault="002718B2" w:rsidP="005A7C41">
      <w:pPr>
        <w:spacing w:after="120"/>
        <w:ind w:firstLine="624"/>
        <w:jc w:val="both"/>
      </w:pPr>
      <w:r>
        <w:t>*</w:t>
      </w:r>
      <w:r w:rsidR="00A116F5" w:rsidRPr="00DF367D">
        <w:t xml:space="preserve"> </w:t>
      </w:r>
      <w:r w:rsidR="00745E4E" w:rsidRPr="00DF367D">
        <w:t>Hỗ trợ 50% chi phí đầu tư hệ thống xử lý nước thải tập trung của khu, cụm công nghiệp, nhưng không quá 03 tỷ đồng đối với cụm công nghiệp và không quá 06 tỷ đồng đối với khu công nghiệp</w:t>
      </w:r>
      <w:r w:rsidR="005B4C8A" w:rsidRPr="00DF367D">
        <w:t>.</w:t>
      </w:r>
    </w:p>
    <w:p w:rsidR="005B4C8A" w:rsidRPr="00DF367D" w:rsidRDefault="0071099A" w:rsidP="005A7C41">
      <w:pPr>
        <w:spacing w:after="120"/>
        <w:ind w:firstLine="624"/>
        <w:jc w:val="both"/>
      </w:pPr>
      <w:r w:rsidRPr="00DF367D">
        <w:t>-</w:t>
      </w:r>
      <w:r w:rsidR="005B4C8A" w:rsidRPr="00DF367D">
        <w:t xml:space="preserve"> K</w:t>
      </w:r>
      <w:r w:rsidR="005B4C8A" w:rsidRPr="00DF367D">
        <w:rPr>
          <w:lang w:val="nl-NL"/>
        </w:rPr>
        <w:t xml:space="preserve">hu, cụm công nghiệp đã được ngân sách đầu tư (toàn bộ hoặc một phần) nay chuyển đổi sang hình thức </w:t>
      </w:r>
      <w:r w:rsidR="005B4C8A" w:rsidRPr="00DF367D">
        <w:t>xã hội hóa đầu tư</w:t>
      </w:r>
      <w:r w:rsidR="002718B2">
        <w:t>:</w:t>
      </w:r>
    </w:p>
    <w:p w:rsidR="005B4C8A" w:rsidRPr="00DF367D" w:rsidRDefault="0071099A" w:rsidP="005A7C41">
      <w:pPr>
        <w:spacing w:after="120"/>
        <w:ind w:firstLine="624"/>
        <w:jc w:val="both"/>
      </w:pPr>
      <w:r w:rsidRPr="00DF367D">
        <w:t>+</w:t>
      </w:r>
      <w:r w:rsidR="005B4C8A" w:rsidRPr="00DF367D">
        <w:t xml:space="preserve"> Đối với phần diện tích đã được Nhà nước đầu tư: Nhà nước bàn giao toàn bộ giá trị, diện tích đã đầu tư cho chủ đầu tư xây dựng hạ tầng kỹ thuật khu, cụm công nghiệp</w:t>
      </w:r>
      <w:r w:rsidR="00F31213" w:rsidRPr="00DF367D">
        <w:t xml:space="preserve"> thực hiện quản lý</w:t>
      </w:r>
      <w:r w:rsidR="005B4C8A" w:rsidRPr="00DF367D">
        <w:t>. Chủ đầu tư xây dựng hạ tầng kỹ thuật khu, cụm công nghiệp được thu các khoản phí dịch vụ để sửa chữa, duy tu, bảo dưỡng công trình; phí xử lý nước thải; phí sử dụng điện chiếu sáng theo phương án được cấp có thẩm quyền phê duyệt.</w:t>
      </w:r>
    </w:p>
    <w:p w:rsidR="005B4C8A" w:rsidRPr="00DF367D" w:rsidRDefault="0071099A" w:rsidP="005A7C41">
      <w:pPr>
        <w:spacing w:after="120"/>
        <w:ind w:firstLine="624"/>
        <w:jc w:val="both"/>
      </w:pPr>
      <w:r w:rsidRPr="00DF367D">
        <w:t>+</w:t>
      </w:r>
      <w:r w:rsidR="005B4C8A" w:rsidRPr="00DF367D">
        <w:t xml:space="preserve"> Đối với phần diện tích</w:t>
      </w:r>
      <w:r w:rsidR="00AF23AA" w:rsidRPr="00DF367D">
        <w:t>, hạng mục</w:t>
      </w:r>
      <w:r w:rsidR="005B4C8A" w:rsidRPr="00DF367D">
        <w:t xml:space="preserve"> chưa được đầu tư: </w:t>
      </w:r>
      <w:r w:rsidR="008342FB" w:rsidRPr="00DF367D">
        <w:t xml:space="preserve">Chủ đầu tư tiến hành đầu tư theo quy hoạch được cơ quan có thẩm quyền phê duyệt </w:t>
      </w:r>
      <w:r w:rsidR="005B4C8A" w:rsidRPr="00DF367D">
        <w:t>và được hưởng các chính sách</w:t>
      </w:r>
      <w:r w:rsidR="00066C0F" w:rsidRPr="00DF367D">
        <w:t xml:space="preserve"> đối với phần đầu tư hạ tầng còn lại như đối với khu, cụm được đầu tư mới</w:t>
      </w:r>
      <w:r w:rsidR="005B4C8A" w:rsidRPr="00DF367D">
        <w:t>.</w:t>
      </w:r>
    </w:p>
    <w:p w:rsidR="005B4C8A" w:rsidRPr="00DF367D" w:rsidRDefault="001B1008" w:rsidP="005A7C41">
      <w:pPr>
        <w:spacing w:after="120"/>
        <w:ind w:firstLine="624"/>
        <w:jc w:val="both"/>
        <w:rPr>
          <w:b/>
        </w:rPr>
      </w:pPr>
      <w:r w:rsidRPr="00DF367D">
        <w:t>e)</w:t>
      </w:r>
      <w:r w:rsidR="005B4C8A" w:rsidRPr="00DF367D">
        <w:t xml:space="preserve"> Hỗ trợ dự án đầu tư sản xuất kinh doanh trong khu, cụm công nghiệp</w:t>
      </w:r>
      <w:r w:rsidR="002575BE">
        <w:t xml:space="preserve"> (Ưu tiên hỗ trợ các doanh nghiệp đầu tư các lĩnh vực thuộc danh mục tỉnh thu hút đầu tư)</w:t>
      </w:r>
      <w:r w:rsidR="002718B2">
        <w:t>:</w:t>
      </w:r>
    </w:p>
    <w:p w:rsidR="005B4C8A" w:rsidRPr="00DF367D" w:rsidRDefault="001B1008" w:rsidP="005A7C41">
      <w:pPr>
        <w:spacing w:after="120"/>
        <w:ind w:firstLine="624"/>
        <w:jc w:val="both"/>
      </w:pPr>
      <w:r w:rsidRPr="00DF367D">
        <w:lastRenderedPageBreak/>
        <w:t>-</w:t>
      </w:r>
      <w:r w:rsidR="005B4C8A" w:rsidRPr="00DF367D">
        <w:t xml:space="preserve"> </w:t>
      </w:r>
      <w:r w:rsidR="008342FB" w:rsidRPr="00DF367D">
        <w:t>Doanh nghiệp nhỏ và vừa đầu tư vào sản xuất kinh doanh trong khu, cụm công nghiệp được hỗ trợ 50% giá thuê mặt bằng trong 5 năm đầu kể từ khi đi vào hoạt động, nhưng tối đa không quá 400 triệu đồng/doanh nghiệp</w:t>
      </w:r>
      <w:r w:rsidR="005B4C8A" w:rsidRPr="00DF367D">
        <w:t>.</w:t>
      </w:r>
    </w:p>
    <w:p w:rsidR="005B4C8A" w:rsidRPr="00DF367D" w:rsidRDefault="005B4C8A" w:rsidP="005A7C41">
      <w:pPr>
        <w:spacing w:after="120"/>
        <w:ind w:firstLine="624"/>
        <w:jc w:val="both"/>
      </w:pPr>
      <w:r w:rsidRPr="00DF367D">
        <w:t xml:space="preserve">Kinh phí hỗ trợ được thực hiện thông qua việc bù giá cho Chủ đầu tư xây dựng hạ tầng kỹ thuật khu, cụm công nghiệp đối với khu, cụm được đầu tư theo hình thức xã hội hóa và giảm trừ khi tính tiền thuê mặt bằng đối khu, cụm công nghiệp do đơn vị sự nghiệp thuộc Ban quản lý Khu kinh tế tỉnh hoặc UBND cấp huyện làm chủ đầu tư. </w:t>
      </w:r>
    </w:p>
    <w:p w:rsidR="005B4C8A" w:rsidRPr="00DF367D" w:rsidRDefault="00C47461" w:rsidP="005A7C41">
      <w:pPr>
        <w:spacing w:after="120"/>
        <w:ind w:firstLine="624"/>
        <w:jc w:val="both"/>
      </w:pPr>
      <w:r w:rsidRPr="00DF367D">
        <w:t>-</w:t>
      </w:r>
      <w:r w:rsidR="005B4C8A" w:rsidRPr="00DF367D">
        <w:t xml:space="preserve"> Ưu tiên bố trí vốn, hỗ trợ để đầu tư hệ thống xử lý ô nhiễm môi trường tại cơ sở sản xuất kinh doanh trong khu, cụm công nghiệp, cụ thể:</w:t>
      </w:r>
    </w:p>
    <w:p w:rsidR="005B4C8A" w:rsidRPr="00DF367D" w:rsidRDefault="00C47461" w:rsidP="005A7C41">
      <w:pPr>
        <w:spacing w:after="120"/>
        <w:ind w:firstLine="624"/>
        <w:jc w:val="both"/>
      </w:pPr>
      <w:r w:rsidRPr="00DF367D">
        <w:t>+</w:t>
      </w:r>
      <w:r w:rsidR="005B4C8A" w:rsidRPr="00DF367D">
        <w:t xml:space="preserve"> Ưu tiên vay vốn từ Quỹ bảo vệ môi trường tỉnh hoặc từ Quỹ đầu tư phát triển tỉnh để xây dựng hệ thống xử lý nước thải tập trung với mức vay 70% tổng vốn đầu tư.</w:t>
      </w:r>
    </w:p>
    <w:p w:rsidR="005B4C8A" w:rsidRPr="00DF367D" w:rsidRDefault="00C47461" w:rsidP="005A7C41">
      <w:pPr>
        <w:spacing w:after="120"/>
        <w:ind w:firstLine="624"/>
        <w:jc w:val="both"/>
      </w:pPr>
      <w:r w:rsidRPr="00DF367D">
        <w:t>+</w:t>
      </w:r>
      <w:r w:rsidR="005B4C8A" w:rsidRPr="00DF367D">
        <w:t xml:space="preserve"> </w:t>
      </w:r>
      <w:r w:rsidR="00745E4E" w:rsidRPr="00DF367D">
        <w:t>Hỗ trợ 30% chi phí đầu tư hệ thống xử lý môi trường nhưng không quá 300 triệu đồng/cơ sở.</w:t>
      </w:r>
    </w:p>
    <w:p w:rsidR="005B4C8A" w:rsidRPr="00DF367D" w:rsidRDefault="00C47461" w:rsidP="005A7C41">
      <w:pPr>
        <w:spacing w:after="120"/>
        <w:ind w:firstLine="624"/>
        <w:jc w:val="both"/>
      </w:pPr>
      <w:r w:rsidRPr="00DF367D">
        <w:t>-</w:t>
      </w:r>
      <w:r w:rsidR="005B4C8A" w:rsidRPr="00DF367D">
        <w:t xml:space="preserve"> Hỗ trợ phát triển thị trường, quảng bá thông tin</w:t>
      </w:r>
    </w:p>
    <w:p w:rsidR="005B4C8A" w:rsidRPr="00DF367D" w:rsidRDefault="00C47461" w:rsidP="005A7C41">
      <w:pPr>
        <w:spacing w:after="120"/>
        <w:ind w:firstLine="624"/>
        <w:jc w:val="both"/>
      </w:pPr>
      <w:r w:rsidRPr="00DF367D">
        <w:t>+</w:t>
      </w:r>
      <w:r w:rsidR="005B4C8A" w:rsidRPr="00DF367D">
        <w:t xml:space="preserve"> Hỗ trợ 100% chi phí quảng cáo về sản phẩm sản xuất từ dự án đầu tư trong khu, cụm công nghiệp trên các phương tiện thông tin của tỉnh (Đài Phát thanh và Truyền hình tỉnh, Báo Hà Tĩnh) không quá 3 lần quảng cáo/năm và không quá 3 năm; Ngân sách tỉnh hỗ trợ thông qua các cơ quan truyền thông theo quy định nhưng không quá 30 triệu đồng/</w:t>
      </w:r>
      <w:r w:rsidR="00AB209B" w:rsidRPr="00DF367D">
        <w:t>dự án</w:t>
      </w:r>
      <w:r w:rsidR="005B4C8A" w:rsidRPr="00DF367D">
        <w:t>/năm.</w:t>
      </w:r>
    </w:p>
    <w:p w:rsidR="005B4C8A" w:rsidRPr="00DF367D" w:rsidRDefault="002718B2" w:rsidP="005A7C41">
      <w:pPr>
        <w:spacing w:after="120"/>
        <w:ind w:firstLine="624"/>
        <w:jc w:val="both"/>
      </w:pPr>
      <w:r>
        <w:t>+</w:t>
      </w:r>
      <w:r w:rsidR="005B4C8A" w:rsidRPr="00DF367D">
        <w:t xml:space="preserve"> Hỗ trợ miễn phí quảng bá doanh nghiệp, sản phẩm kinh doanh trên Cổng thông tin điện tử của tỉnh, Trang thông tin của các Sở: Công Thương, Kế hoạch và Đầu tư, Thông tin và Truyền thông, Ban quản lý Khu kinh tế tỉnh trong thời hạn tối đa 02 năm.</w:t>
      </w:r>
    </w:p>
    <w:p w:rsidR="005B4C8A" w:rsidRPr="00DF367D" w:rsidRDefault="002718B2" w:rsidP="005A7C41">
      <w:pPr>
        <w:spacing w:after="120"/>
        <w:ind w:firstLine="624"/>
        <w:jc w:val="both"/>
      </w:pPr>
      <w:r>
        <w:t>+</w:t>
      </w:r>
      <w:r w:rsidR="005B4C8A" w:rsidRPr="00DF367D">
        <w:t xml:space="preserve"> Ưu tiên mở gian hàng trên sàn giao dịch thương mại điện tử của tỉnh; được hỗ trợ xây dựng website để quảng bá sản phẩm của doanh nghiệp, cơ sở sản xuất kinh doanh trong khu, cụm công nghiệp.</w:t>
      </w:r>
    </w:p>
    <w:p w:rsidR="005B4C8A" w:rsidRPr="00DF367D" w:rsidRDefault="002718B2" w:rsidP="005A7C41">
      <w:pPr>
        <w:spacing w:after="120"/>
        <w:ind w:firstLine="624"/>
        <w:jc w:val="both"/>
      </w:pPr>
      <w:r>
        <w:t>-</w:t>
      </w:r>
      <w:r w:rsidR="005B4C8A" w:rsidRPr="00DF367D">
        <w:t xml:space="preserve"> </w:t>
      </w:r>
      <w:r w:rsidR="001F1129" w:rsidRPr="00DF367D">
        <w:t>Ư</w:t>
      </w:r>
      <w:r w:rsidR="005B4C8A" w:rsidRPr="00DF367D">
        <w:t>u tiên hỗ trợ kinh phí khuyến công quốc gia và khuyến công địa phương theo quy định về khuyến công.</w:t>
      </w:r>
    </w:p>
    <w:p w:rsidR="005B4C8A" w:rsidRPr="00DF367D" w:rsidRDefault="001F1129" w:rsidP="005A7C41">
      <w:pPr>
        <w:spacing w:after="120"/>
        <w:ind w:firstLine="624"/>
        <w:jc w:val="both"/>
      </w:pPr>
      <w:r w:rsidRPr="00DF367D">
        <w:t>-</w:t>
      </w:r>
      <w:r w:rsidR="005B4C8A" w:rsidRPr="00DF367D">
        <w:t xml:space="preserve"> Ưu tiên vay vốn từ Quỹ hỗ trợ doanh nghiệp nhỏ và vừa, Quỹ phát triển khoa học và công nghệ theo quy định của pháp luật.</w:t>
      </w:r>
    </w:p>
    <w:p w:rsidR="005B4C8A" w:rsidRPr="00DF367D" w:rsidRDefault="001F1129" w:rsidP="005A7C41">
      <w:pPr>
        <w:spacing w:after="120"/>
        <w:ind w:firstLine="624"/>
        <w:rPr>
          <w:b/>
        </w:rPr>
      </w:pPr>
      <w:r w:rsidRPr="00DF367D">
        <w:rPr>
          <w:b/>
        </w:rPr>
        <w:t xml:space="preserve">3. </w:t>
      </w:r>
      <w:r w:rsidR="003A3469" w:rsidRPr="00DF367D">
        <w:rPr>
          <w:b/>
        </w:rPr>
        <w:t xml:space="preserve">Chương III: Chính sách ưu đãi đối với công nghiệp hỗ trợ </w:t>
      </w:r>
    </w:p>
    <w:p w:rsidR="002D7513" w:rsidRPr="00DF367D" w:rsidRDefault="002D7513" w:rsidP="005A7C41">
      <w:pPr>
        <w:spacing w:after="120"/>
        <w:ind w:firstLine="624"/>
        <w:jc w:val="both"/>
        <w:rPr>
          <w:shd w:val="clear" w:color="auto" w:fill="FFFFFF"/>
          <w:lang w:val="nl-NL"/>
        </w:rPr>
      </w:pPr>
      <w:r w:rsidRPr="00DF367D">
        <w:rPr>
          <w:shd w:val="clear" w:color="auto" w:fill="FFFFFF"/>
          <w:lang w:val="nl-NL"/>
        </w:rPr>
        <w:t xml:space="preserve">Các sản phẩm được sản xuất, chế biến từ gỗ MDF, ván ghép thanh trên địa bàn Hà Tĩnh được hưởng ưu đãi như quy định tại Nghị định số 111/2015/NĐ-CP </w:t>
      </w:r>
      <w:r w:rsidR="005E0D97">
        <w:rPr>
          <w:shd w:val="clear" w:color="auto" w:fill="FFFFFF"/>
          <w:lang w:val="nl-NL"/>
        </w:rPr>
        <w:t xml:space="preserve">ngày 03/11/2015 </w:t>
      </w:r>
      <w:r w:rsidRPr="00DF367D">
        <w:rPr>
          <w:shd w:val="clear" w:color="auto" w:fill="FFFFFF"/>
          <w:lang w:val="nl-NL"/>
        </w:rPr>
        <w:t>của Chính phủ về phát triển công nghiệp hỗ trợ và Thông tư số 29/2018/TT-BTC ngày 28/3/2018 của Bộ Tài chính về hướng dẫn lập, quản lý và sử dụng kinh phí Chương trình phát triển công nghiệp hỗ trợ.</w:t>
      </w:r>
    </w:p>
    <w:p w:rsidR="005B4C8A" w:rsidRPr="00DF367D" w:rsidRDefault="001F1129" w:rsidP="005A7C41">
      <w:pPr>
        <w:spacing w:after="120"/>
        <w:ind w:firstLine="624"/>
        <w:rPr>
          <w:b/>
        </w:rPr>
      </w:pPr>
      <w:r w:rsidRPr="00DF367D">
        <w:rPr>
          <w:b/>
        </w:rPr>
        <w:t xml:space="preserve">4. </w:t>
      </w:r>
      <w:r w:rsidR="003A3469" w:rsidRPr="00DF367D">
        <w:rPr>
          <w:b/>
        </w:rPr>
        <w:t xml:space="preserve">Chương IV: Chính sách hỗ trợ khuyến công </w:t>
      </w:r>
    </w:p>
    <w:p w:rsidR="005B4C8A" w:rsidRPr="00DF367D" w:rsidRDefault="001F1129" w:rsidP="005A7C41">
      <w:pPr>
        <w:shd w:val="clear" w:color="auto" w:fill="FFFFFF"/>
        <w:spacing w:after="120"/>
        <w:ind w:firstLine="624"/>
        <w:jc w:val="both"/>
      </w:pPr>
      <w:r w:rsidRPr="00DF367D">
        <w:t>a)</w:t>
      </w:r>
      <w:r w:rsidR="005B4C8A" w:rsidRPr="00DF367D">
        <w:rPr>
          <w:bCs/>
        </w:rPr>
        <w:t xml:space="preserve"> Mức chi hoạt động khuyến công địa phương</w:t>
      </w:r>
    </w:p>
    <w:p w:rsidR="005B4C8A" w:rsidRPr="00DF367D" w:rsidRDefault="005B4C8A" w:rsidP="005A7C41">
      <w:pPr>
        <w:shd w:val="clear" w:color="auto" w:fill="FFFFFF"/>
        <w:spacing w:after="120"/>
        <w:ind w:firstLine="624"/>
        <w:jc w:val="both"/>
        <w:rPr>
          <w:bCs/>
          <w:shd w:val="clear" w:color="auto" w:fill="FFFFFF"/>
        </w:rPr>
      </w:pPr>
      <w:r w:rsidRPr="00DF367D">
        <w:lastRenderedPageBreak/>
        <w:t xml:space="preserve">Mức chi chung cho hoạt động khuyến công và các nội dung chi khác không thuộc </w:t>
      </w:r>
      <w:r w:rsidR="001F1129" w:rsidRPr="00DF367D">
        <w:t>một trong các mức chi cụ thể</w:t>
      </w:r>
      <w:r w:rsidRPr="00DF367D">
        <w:t xml:space="preserve"> sau đây thì áp dụng theo quy định đối với mức chi cho khuyến công quốc gia quy định tại Thông tư số </w:t>
      </w:r>
      <w:r w:rsidRPr="00DF367D">
        <w:rPr>
          <w:shd w:val="clear" w:color="auto" w:fill="FFFFFF"/>
          <w:lang w:val="nl-NL"/>
        </w:rPr>
        <w:t>28/2018/TT-BTC ngày 28/3/2018 của Bộ Tài chính về</w:t>
      </w:r>
      <w:r w:rsidRPr="00DF367D" w:rsidDel="00271431">
        <w:rPr>
          <w:bCs/>
          <w:shd w:val="clear" w:color="auto" w:fill="FFFFFF"/>
        </w:rPr>
        <w:t xml:space="preserve"> </w:t>
      </w:r>
      <w:r w:rsidRPr="00DF367D">
        <w:rPr>
          <w:bCs/>
          <w:shd w:val="clear" w:color="auto" w:fill="FFFFFF"/>
        </w:rPr>
        <w:t>hướng dẫn lập, quản lý, sử dụng kinh phí khuyến công.</w:t>
      </w:r>
    </w:p>
    <w:p w:rsidR="005B4C8A" w:rsidRPr="00DF367D" w:rsidRDefault="001F1129" w:rsidP="005A7C41">
      <w:pPr>
        <w:shd w:val="clear" w:color="auto" w:fill="FFFFFF"/>
        <w:spacing w:after="120"/>
        <w:ind w:firstLine="624"/>
        <w:jc w:val="both"/>
      </w:pPr>
      <w:r w:rsidRPr="00DF367D">
        <w:t>b)</w:t>
      </w:r>
      <w:r w:rsidR="005B4C8A" w:rsidRPr="00DF367D">
        <w:t xml:space="preserve"> Mức chi cụ thể</w:t>
      </w:r>
    </w:p>
    <w:p w:rsidR="00586294" w:rsidRPr="00DF367D" w:rsidRDefault="001F1129" w:rsidP="005A7C41">
      <w:pPr>
        <w:shd w:val="clear" w:color="auto" w:fill="FFFFFF"/>
        <w:spacing w:after="120"/>
        <w:ind w:firstLine="624"/>
        <w:jc w:val="both"/>
        <w:rPr>
          <w:b/>
          <w:bCs/>
          <w:i/>
        </w:rPr>
      </w:pPr>
      <w:r w:rsidRPr="00DF367D">
        <w:rPr>
          <w:bCs/>
        </w:rPr>
        <w:t>-</w:t>
      </w:r>
      <w:r w:rsidR="00586294" w:rsidRPr="00DF367D">
        <w:rPr>
          <w:bCs/>
        </w:rPr>
        <w:t xml:space="preserve"> Hỗ trợ 100% chi phí tư vấn lập báo cáo đầu tư thành lập, mở rộng cụm công nghiệp, nhưng không quá 50 triệu đồng/cụm. </w:t>
      </w:r>
    </w:p>
    <w:p w:rsidR="00586294" w:rsidRPr="00DF367D" w:rsidRDefault="001F1129" w:rsidP="005A7C41">
      <w:pPr>
        <w:spacing w:after="120"/>
        <w:ind w:firstLine="624"/>
        <w:jc w:val="both"/>
      </w:pPr>
      <w:r w:rsidRPr="00DF367D">
        <w:t>-</w:t>
      </w:r>
      <w:r w:rsidR="00586294" w:rsidRPr="00DF367D">
        <w:t xml:space="preserve"> Chi hỗ trợ xây dựng mô hình trình diễn:</w:t>
      </w:r>
    </w:p>
    <w:p w:rsidR="00586294" w:rsidRPr="00DF367D" w:rsidRDefault="001F1129" w:rsidP="005A7C41">
      <w:pPr>
        <w:shd w:val="clear" w:color="auto" w:fill="FFFFFF"/>
        <w:spacing w:after="120"/>
        <w:ind w:firstLine="624"/>
        <w:jc w:val="both"/>
      </w:pPr>
      <w:r w:rsidRPr="00DF367D">
        <w:t xml:space="preserve">+ </w:t>
      </w:r>
      <w:r w:rsidR="00586294" w:rsidRPr="00DF367D">
        <w:t>Hỗ trợ 30% chi phí xây dựng mô hình trình diễn kỹ thuật để phổ biến công nghệ mới, sản xuất sản phẩm mới, nhưng không quá 500 triệu đồng/mô hình;</w:t>
      </w:r>
    </w:p>
    <w:p w:rsidR="00586294" w:rsidRPr="00DF367D" w:rsidRDefault="001F1129" w:rsidP="005A7C41">
      <w:pPr>
        <w:shd w:val="clear" w:color="auto" w:fill="FFFFFF"/>
        <w:spacing w:after="120"/>
        <w:ind w:firstLine="624"/>
        <w:jc w:val="both"/>
      </w:pPr>
      <w:r w:rsidRPr="00DF367D">
        <w:t xml:space="preserve">+ </w:t>
      </w:r>
      <w:r w:rsidR="00586294" w:rsidRPr="00DF367D">
        <w:t>Hỗ trợ 30% chi phí triển khai áp dụng sản xuất sạch hơn trong công nghiệp cho các cơ sở theo các giải pháp đã được xác định trong Báo cáo đánh giá nhanh sản xuất sạch hơn trong công nghiệp, nhưng không quá 400 triệu đồng/mô hình.</w:t>
      </w:r>
    </w:p>
    <w:p w:rsidR="00586294" w:rsidRPr="00DF367D" w:rsidRDefault="001F1129" w:rsidP="005A7C41">
      <w:pPr>
        <w:shd w:val="clear" w:color="auto" w:fill="FFFFFF"/>
        <w:spacing w:after="120"/>
        <w:ind w:firstLine="624"/>
        <w:jc w:val="both"/>
      </w:pPr>
      <w:r w:rsidRPr="00DF367D">
        <w:t>-</w:t>
      </w:r>
      <w:r w:rsidR="00586294" w:rsidRPr="00DF367D">
        <w:t xml:space="preserve"> Chi tổ chức bình chọn và cấp giấy chứng nhận sản phẩm công nghiệp nông thôn tiêu biểu cấp tỉnh, khu vực, quốc gia:</w:t>
      </w:r>
    </w:p>
    <w:p w:rsidR="00586294" w:rsidRPr="00DF367D" w:rsidRDefault="001F1129" w:rsidP="005A7C41">
      <w:pPr>
        <w:shd w:val="clear" w:color="auto" w:fill="FFFFFF"/>
        <w:spacing w:after="120"/>
        <w:ind w:firstLine="624"/>
        <w:jc w:val="both"/>
      </w:pPr>
      <w:r w:rsidRPr="00DF367D">
        <w:t xml:space="preserve">+ </w:t>
      </w:r>
      <w:r w:rsidR="00586294" w:rsidRPr="00DF367D">
        <w:t>Hỗ trợ 100% chi phí tổ chức bình chọn sản phẩm công nghiệp nông thôn tiêu biểu cấp tỉnh, nhưng không quá 200 triệu đồng/lần;</w:t>
      </w:r>
    </w:p>
    <w:p w:rsidR="00586294" w:rsidRPr="00DF367D" w:rsidRDefault="001F1129" w:rsidP="005A7C41">
      <w:pPr>
        <w:shd w:val="clear" w:color="auto" w:fill="FFFFFF"/>
        <w:spacing w:after="120"/>
        <w:ind w:firstLine="624"/>
        <w:jc w:val="both"/>
      </w:pPr>
      <w:r w:rsidRPr="00DF367D">
        <w:t xml:space="preserve">+ </w:t>
      </w:r>
      <w:r w:rsidR="00586294" w:rsidRPr="00DF367D">
        <w:t>Chi thưởng cho sản phẩm công nghiệp nông thôn tiêu biểu cấp tỉnh không quá 05 triệu đồng/sản phẩm;</w:t>
      </w:r>
    </w:p>
    <w:p w:rsidR="00586294" w:rsidRPr="00DF367D" w:rsidRDefault="001F1129" w:rsidP="005A7C41">
      <w:pPr>
        <w:shd w:val="clear" w:color="auto" w:fill="FFFFFF"/>
        <w:spacing w:after="120"/>
        <w:ind w:firstLine="624"/>
        <w:jc w:val="both"/>
      </w:pPr>
      <w:r w:rsidRPr="00DF367D">
        <w:t xml:space="preserve">+ </w:t>
      </w:r>
      <w:r w:rsidR="00586294" w:rsidRPr="00DF367D">
        <w:t>Hỗ trợ 100% chi phí tham gia bình chọn sản phẩm công nghiệp nông thôn tiêu biểu cấp khu vực, cấp quốc gia nhưng tối đa không quá 100 triệu đồng/lần.</w:t>
      </w:r>
    </w:p>
    <w:p w:rsidR="005B4C8A" w:rsidRPr="00DF367D" w:rsidRDefault="001F1129" w:rsidP="005A7C41">
      <w:pPr>
        <w:spacing w:after="120"/>
        <w:ind w:firstLine="624"/>
        <w:jc w:val="both"/>
      </w:pPr>
      <w:r w:rsidRPr="00DF367D">
        <w:t>-</w:t>
      </w:r>
      <w:r w:rsidR="002D7513" w:rsidRPr="00DF367D">
        <w:t xml:space="preserve"> Hỗ trợ </w:t>
      </w:r>
      <w:r w:rsidR="00586294" w:rsidRPr="00DF367D">
        <w:t>50% chi phí lập quy hoạch chi tiết cụm công nghiệp, nhưng không quá 400 triệu đồng/cụm công nghiệp.</w:t>
      </w:r>
    </w:p>
    <w:p w:rsidR="00586294" w:rsidRPr="00DF367D" w:rsidRDefault="001F1129" w:rsidP="005A7C41">
      <w:pPr>
        <w:shd w:val="clear" w:color="auto" w:fill="FFFFFF"/>
        <w:spacing w:after="120"/>
        <w:ind w:firstLine="624"/>
        <w:jc w:val="both"/>
      </w:pPr>
      <w:bookmarkStart w:id="1" w:name="muc_3"/>
      <w:r w:rsidRPr="00DF367D">
        <w:t>c)</w:t>
      </w:r>
      <w:r w:rsidR="005B4C8A" w:rsidRPr="00DF367D">
        <w:t xml:space="preserve"> Hỗ trợ doanh nghiệp nhỏ và vừa tham gia cụm liên kết ngành, chuỗi giá trị</w:t>
      </w:r>
      <w:r w:rsidR="003E13B4" w:rsidRPr="00DF367D">
        <w:t xml:space="preserve">: </w:t>
      </w:r>
      <w:bookmarkEnd w:id="1"/>
      <w:r w:rsidR="00586294" w:rsidRPr="00DF367D">
        <w:t xml:space="preserve">Tiêu chí lựa chọn cụm liên kết ngành, chuỗi giá trị và </w:t>
      </w:r>
      <w:bookmarkStart w:id="2" w:name="dieu_23"/>
      <w:r w:rsidR="00586294" w:rsidRPr="00DF367D">
        <w:t>phương thức lựa chọn doanh nghiệp nhỏ và vừa tham gia cụm liên kết ngành, chuỗi giá trị tham gia Đề án hỗ trợ doanh nghiệp nhỏ và vừ</w:t>
      </w:r>
      <w:bookmarkEnd w:id="2"/>
      <w:r w:rsidR="00586294" w:rsidRPr="00DF367D">
        <w:t>a phải đảm bảo quy định tại Điều 22, Điều 23 của Nghị định số 39/2018/NĐ-CP ngày 11/3/2018 của Chính phủ</w:t>
      </w:r>
      <w:r w:rsidR="003E13B4" w:rsidRPr="00DF367D">
        <w:t>; mộ</w:t>
      </w:r>
      <w:r w:rsidR="00586294" w:rsidRPr="00DF367D">
        <w:t>t số nội dung hỗ trợ</w:t>
      </w:r>
      <w:r w:rsidR="003E13B4" w:rsidRPr="00DF367D">
        <w:t xml:space="preserve"> cụ thể:</w:t>
      </w:r>
    </w:p>
    <w:p w:rsidR="00586294" w:rsidRDefault="005E0D97" w:rsidP="005A7C41">
      <w:pPr>
        <w:shd w:val="clear" w:color="auto" w:fill="FFFFFF"/>
        <w:spacing w:after="120"/>
        <w:ind w:firstLine="624"/>
        <w:jc w:val="both"/>
      </w:pPr>
      <w:r>
        <w:t>-</w:t>
      </w:r>
      <w:r w:rsidR="00586294" w:rsidRPr="00DF367D">
        <w:t xml:space="preserve"> Hỗ trợ 50% chi phí đối với các khóa đào tạo nâng cao trình độ công nghệ, kỹ thuật sản xuất chuyên biệt tại hiện trường nhưng không quá 25 triệu đồng/khóa đào tạo/doanh nghiệp và không quá 01 khóa đào tạo trên năm.</w:t>
      </w:r>
    </w:p>
    <w:p w:rsidR="005E0D97" w:rsidRPr="00DF367D" w:rsidRDefault="005E0D97" w:rsidP="005A7C41">
      <w:pPr>
        <w:shd w:val="clear" w:color="auto" w:fill="FFFFFF"/>
        <w:spacing w:after="120"/>
        <w:ind w:firstLine="624"/>
        <w:jc w:val="both"/>
      </w:pPr>
      <w:r>
        <w:t>- Hỗ trợ phát triển thương hiệu, tìm kiếm, mở rộng thị trường:</w:t>
      </w:r>
    </w:p>
    <w:p w:rsidR="00586294" w:rsidRPr="00DF367D" w:rsidRDefault="005E0D97" w:rsidP="005A7C41">
      <w:pPr>
        <w:shd w:val="clear" w:color="auto" w:fill="FFFFFF"/>
        <w:spacing w:after="120"/>
        <w:ind w:firstLine="624"/>
        <w:jc w:val="both"/>
      </w:pPr>
      <w:r>
        <w:t>+</w:t>
      </w:r>
      <w:r w:rsidR="00586294" w:rsidRPr="00DF367D">
        <w:t xml:space="preserve"> Hỗ trợ 100% chi phí gian hàng tại Hội trợ triển lãm xúc tiến thương mại nhưng không quá 25 triệu đồng/đơn vị/hội chợ trong nước và không quá 50 triệu đồng/đơn vị/hội chợ quốc tế; được ưu tiên tham gia Chương trình xúc tiến thương mại có sử dụng ngân sách nhà nước;</w:t>
      </w:r>
    </w:p>
    <w:p w:rsidR="005B4C8A" w:rsidRPr="00DF367D" w:rsidRDefault="005E0D97" w:rsidP="005A7C41">
      <w:pPr>
        <w:shd w:val="clear" w:color="auto" w:fill="FFFFFF"/>
        <w:spacing w:after="120"/>
        <w:ind w:firstLine="624"/>
        <w:jc w:val="both"/>
      </w:pPr>
      <w:r>
        <w:lastRenderedPageBreak/>
        <w:t>+</w:t>
      </w:r>
      <w:r w:rsidR="00586294" w:rsidRPr="00DF367D">
        <w:t xml:space="preserve"> Hỗ trợ 100% chi phí hợp đồng tìm kiếm thông tin, quảng bá sản phẩm, phát triển thương hiệu chuỗi giá trị và cụm liên kết ngành nhưng không quá 15 triệu đồng trên một hợp đồng và không quá 01 hợp đồng trên năm.</w:t>
      </w:r>
    </w:p>
    <w:p w:rsidR="00C47BC0" w:rsidRPr="00DF367D" w:rsidRDefault="00FD7D19" w:rsidP="005A7C41">
      <w:pPr>
        <w:spacing w:after="120"/>
        <w:ind w:firstLine="624"/>
        <w:jc w:val="both"/>
        <w:rPr>
          <w:b/>
          <w:sz w:val="26"/>
          <w:szCs w:val="26"/>
        </w:rPr>
      </w:pPr>
      <w:r w:rsidRPr="00DF367D">
        <w:rPr>
          <w:b/>
          <w:sz w:val="26"/>
          <w:szCs w:val="26"/>
          <w:lang w:val="vi-VN"/>
        </w:rPr>
        <w:t>I</w:t>
      </w:r>
      <w:r w:rsidR="00420175" w:rsidRPr="00DF367D">
        <w:rPr>
          <w:b/>
          <w:sz w:val="26"/>
          <w:szCs w:val="26"/>
        </w:rPr>
        <w:t>II</w:t>
      </w:r>
      <w:r w:rsidR="00C47BC0" w:rsidRPr="00DF367D">
        <w:rPr>
          <w:b/>
          <w:sz w:val="26"/>
          <w:szCs w:val="26"/>
          <w:lang w:val="vi-VN"/>
        </w:rPr>
        <w:t xml:space="preserve">. </w:t>
      </w:r>
      <w:r w:rsidR="00420175" w:rsidRPr="00DF367D">
        <w:rPr>
          <w:b/>
          <w:sz w:val="26"/>
          <w:szCs w:val="26"/>
        </w:rPr>
        <w:t>THỜI GIAN THỰC HIỆN</w:t>
      </w:r>
    </w:p>
    <w:p w:rsidR="00420175" w:rsidRPr="00DF367D" w:rsidRDefault="00101A94" w:rsidP="005A7C41">
      <w:pPr>
        <w:spacing w:after="120"/>
        <w:ind w:firstLine="624"/>
        <w:jc w:val="both"/>
        <w:rPr>
          <w:b/>
        </w:rPr>
      </w:pPr>
      <w:r w:rsidRPr="00DF367D">
        <w:t>T</w:t>
      </w:r>
      <w:r w:rsidR="00420175" w:rsidRPr="00DF367D">
        <w:t>hực hiện các chính sách</w:t>
      </w:r>
      <w:r w:rsidRPr="00DF367D">
        <w:t>:</w:t>
      </w:r>
      <w:r w:rsidR="00420175" w:rsidRPr="00DF367D">
        <w:t xml:space="preserve"> </w:t>
      </w:r>
      <w:r w:rsidRPr="00DF367D">
        <w:t>T</w:t>
      </w:r>
      <w:r w:rsidR="00420175" w:rsidRPr="00DF367D">
        <w:t xml:space="preserve">ừ năm 2018 đến năm 2025. </w:t>
      </w:r>
      <w:r w:rsidRPr="00DF367D">
        <w:t>Trường hợp</w:t>
      </w:r>
      <w:r w:rsidR="00420175" w:rsidRPr="00DF367D">
        <w:t xml:space="preserve"> có quy định mới</w:t>
      </w:r>
      <w:r w:rsidRPr="00DF367D">
        <w:t xml:space="preserve"> của Trung ương hoặc</w:t>
      </w:r>
      <w:r w:rsidR="00420175" w:rsidRPr="00DF367D">
        <w:t xml:space="preserve"> phát sinh </w:t>
      </w:r>
      <w:r w:rsidRPr="00DF367D">
        <w:t xml:space="preserve">thay đổi từ thực tiễn, </w:t>
      </w:r>
      <w:r w:rsidR="00420175" w:rsidRPr="00DF367D">
        <w:t xml:space="preserve">UBND tỉnh sẽ </w:t>
      </w:r>
      <w:r w:rsidR="005E0D97">
        <w:t>xem xét, trình</w:t>
      </w:r>
      <w:r w:rsidR="00420175" w:rsidRPr="00DF367D">
        <w:t xml:space="preserve"> điều chỉnh, bổ sung, sửa đổi.</w:t>
      </w:r>
    </w:p>
    <w:p w:rsidR="00811888" w:rsidRPr="00DF367D" w:rsidRDefault="00811888" w:rsidP="00101A94">
      <w:pPr>
        <w:spacing w:after="360"/>
        <w:ind w:firstLine="624"/>
        <w:jc w:val="both"/>
      </w:pPr>
      <w:r w:rsidRPr="00DF367D">
        <w:rPr>
          <w:lang w:val="vi-VN"/>
        </w:rPr>
        <w:t>Ủy ban nhân tỉnh Hà Tĩnh kính</w:t>
      </w:r>
      <w:r w:rsidR="00BC4446" w:rsidRPr="00DF367D">
        <w:t xml:space="preserve"> </w:t>
      </w:r>
      <w:r w:rsidR="005E0D97">
        <w:t>đề nghị</w:t>
      </w:r>
      <w:r w:rsidRPr="00DF367D">
        <w:rPr>
          <w:lang w:val="vi-VN"/>
        </w:rPr>
        <w:t xml:space="preserve"> </w:t>
      </w:r>
      <w:r w:rsidR="002B39C1" w:rsidRPr="00DF367D">
        <w:rPr>
          <w:lang w:val="nl-NL"/>
        </w:rPr>
        <w:t xml:space="preserve">Hội đồng nhân dân tỉnh </w:t>
      </w:r>
      <w:r w:rsidR="00420175" w:rsidRPr="00DF367D">
        <w:rPr>
          <w:lang w:val="nl-NL"/>
        </w:rPr>
        <w:t xml:space="preserve">xem xét, ban hành Nghị quyết </w:t>
      </w:r>
      <w:r w:rsidR="005B4C8A" w:rsidRPr="00DF367D">
        <w:rPr>
          <w:lang w:val="nl-NL"/>
        </w:rPr>
        <w:t xml:space="preserve">Quy định </w:t>
      </w:r>
      <w:r w:rsidR="00420175" w:rsidRPr="00DF367D">
        <w:rPr>
          <w:lang w:val="nl-NL"/>
        </w:rPr>
        <w:t xml:space="preserve">một </w:t>
      </w:r>
      <w:r w:rsidR="00420175" w:rsidRPr="00DF367D">
        <w:rPr>
          <w:lang w:val="es-ES_tradnl"/>
        </w:rPr>
        <w:t>số chính sách phát triển công nghiệp, tiểu thủ công nghiệp tỉnh Hà Tĩnh đến năm 2025 và những năm tiếp theo tại kỳ họp thứ 7,</w:t>
      </w:r>
      <w:r w:rsidR="002B39C1" w:rsidRPr="00DF367D">
        <w:rPr>
          <w:lang w:val="nl-NL"/>
        </w:rPr>
        <w:t xml:space="preserve"> khóa XVI</w:t>
      </w:r>
      <w:r w:rsidR="00420175" w:rsidRPr="00DF367D">
        <w:rPr>
          <w:lang w:val="nl-NL"/>
        </w:rPr>
        <w:t>I</w:t>
      </w:r>
      <w:r w:rsidR="002B39C1" w:rsidRPr="00DF367D">
        <w:rPr>
          <w:lang w:val="nl-NL"/>
        </w:rPr>
        <w:t xml:space="preserve">, </w:t>
      </w:r>
      <w:r w:rsidR="00420175" w:rsidRPr="00DF367D">
        <w:rPr>
          <w:lang w:val="es-ES_tradnl"/>
        </w:rPr>
        <w:t xml:space="preserve">tạo động lực phát triển công nghiệp, góp phần thực hiện mục tiêu Đại </w:t>
      </w:r>
      <w:r w:rsidR="00916094" w:rsidRPr="00DF367D">
        <w:rPr>
          <w:lang w:val="es-ES_tradnl"/>
        </w:rPr>
        <w:t xml:space="preserve">hội </w:t>
      </w:r>
      <w:r w:rsidR="00420175" w:rsidRPr="00DF367D">
        <w:rPr>
          <w:lang w:val="es-ES_tradnl"/>
        </w:rPr>
        <w:t>tỉnh Đảng bộ Khóa XVII</w:t>
      </w:r>
      <w:r w:rsidR="005E0D97">
        <w:rPr>
          <w:lang w:val="es-ES_tradnl"/>
        </w:rPr>
        <w:t>I (có dự thảo Nghị quyết kèm theo)</w:t>
      </w:r>
      <w:r w:rsidR="00BC4446" w:rsidRPr="00DF367D">
        <w:t>./.</w:t>
      </w:r>
    </w:p>
    <w:tbl>
      <w:tblPr>
        <w:tblW w:w="9405" w:type="dxa"/>
        <w:tblLook w:val="01E0" w:firstRow="1" w:lastRow="1" w:firstColumn="1" w:lastColumn="1" w:noHBand="0" w:noVBand="0"/>
      </w:tblPr>
      <w:tblGrid>
        <w:gridCol w:w="4389"/>
        <w:gridCol w:w="5016"/>
      </w:tblGrid>
      <w:tr w:rsidR="00087677" w:rsidRPr="00DF367D" w:rsidTr="00A848E4">
        <w:trPr>
          <w:trHeight w:val="1974"/>
        </w:trPr>
        <w:tc>
          <w:tcPr>
            <w:tcW w:w="4389" w:type="dxa"/>
          </w:tcPr>
          <w:p w:rsidR="007D5D44" w:rsidRPr="00DF367D" w:rsidRDefault="007D5D44" w:rsidP="00202491">
            <w:pPr>
              <w:rPr>
                <w:b/>
                <w:bCs/>
                <w:i/>
                <w:iCs/>
                <w:sz w:val="24"/>
                <w:szCs w:val="24"/>
                <w:lang w:val="vi-VN"/>
              </w:rPr>
            </w:pPr>
            <w:r w:rsidRPr="00DF367D">
              <w:rPr>
                <w:b/>
                <w:bCs/>
                <w:i/>
                <w:iCs/>
                <w:sz w:val="24"/>
                <w:szCs w:val="24"/>
                <w:lang w:val="vi-VN"/>
              </w:rPr>
              <w:t>Nơi nhận:</w:t>
            </w:r>
          </w:p>
          <w:p w:rsidR="00BC4446" w:rsidRPr="00DF367D" w:rsidRDefault="00BC4446" w:rsidP="00202491">
            <w:pPr>
              <w:jc w:val="both"/>
              <w:rPr>
                <w:sz w:val="22"/>
                <w:lang w:val="pt-BR" w:eastAsia="en-GB"/>
              </w:rPr>
            </w:pPr>
            <w:r w:rsidRPr="00DF367D">
              <w:rPr>
                <w:sz w:val="22"/>
                <w:lang w:val="pt-BR" w:eastAsia="en-GB"/>
              </w:rPr>
              <w:t xml:space="preserve">- Như </w:t>
            </w:r>
            <w:r w:rsidR="00CB7CA0" w:rsidRPr="00DF367D">
              <w:rPr>
                <w:sz w:val="22"/>
                <w:lang w:val="pt-BR" w:eastAsia="en-GB"/>
              </w:rPr>
              <w:t>trên</w:t>
            </w:r>
            <w:r w:rsidRPr="00DF367D">
              <w:rPr>
                <w:sz w:val="22"/>
                <w:lang w:val="pt-BR" w:eastAsia="en-GB"/>
              </w:rPr>
              <w:t>;</w:t>
            </w:r>
          </w:p>
          <w:p w:rsidR="00420175" w:rsidRPr="00DF367D" w:rsidRDefault="002B39C1" w:rsidP="00202491">
            <w:pPr>
              <w:jc w:val="both"/>
              <w:rPr>
                <w:sz w:val="22"/>
                <w:lang w:val="pt-BR" w:eastAsia="en-GB"/>
              </w:rPr>
            </w:pPr>
            <w:r w:rsidRPr="00DF367D">
              <w:rPr>
                <w:sz w:val="22"/>
                <w:lang w:val="pt-BR" w:eastAsia="en-GB"/>
              </w:rPr>
              <w:t>- T</w:t>
            </w:r>
            <w:r w:rsidR="00BC4446" w:rsidRPr="00DF367D">
              <w:rPr>
                <w:sz w:val="22"/>
                <w:lang w:val="pt-BR" w:eastAsia="en-GB"/>
              </w:rPr>
              <w:t>hường trực</w:t>
            </w:r>
            <w:r w:rsidRPr="00DF367D">
              <w:rPr>
                <w:sz w:val="22"/>
                <w:lang w:val="pt-BR" w:eastAsia="en-GB"/>
              </w:rPr>
              <w:t xml:space="preserve"> Tỉnh uỷ</w:t>
            </w:r>
            <w:r w:rsidR="00420175" w:rsidRPr="00DF367D">
              <w:rPr>
                <w:sz w:val="22"/>
                <w:lang w:val="pt-BR" w:eastAsia="en-GB"/>
              </w:rPr>
              <w:t>;</w:t>
            </w:r>
          </w:p>
          <w:p w:rsidR="00560F1C" w:rsidRPr="00DF367D" w:rsidRDefault="00420175" w:rsidP="00202491">
            <w:pPr>
              <w:jc w:val="both"/>
              <w:rPr>
                <w:sz w:val="22"/>
                <w:lang w:val="pt-BR" w:eastAsia="en-GB"/>
              </w:rPr>
            </w:pPr>
            <w:r w:rsidRPr="00DF367D">
              <w:rPr>
                <w:sz w:val="22"/>
                <w:lang w:val="pt-BR" w:eastAsia="en-GB"/>
              </w:rPr>
              <w:t>-</w:t>
            </w:r>
            <w:r w:rsidR="002B39C1" w:rsidRPr="00DF367D">
              <w:rPr>
                <w:sz w:val="22"/>
                <w:lang w:val="pt-BR" w:eastAsia="en-GB"/>
              </w:rPr>
              <w:t xml:space="preserve"> </w:t>
            </w:r>
            <w:r w:rsidR="00BD4A52" w:rsidRPr="00DF367D">
              <w:rPr>
                <w:sz w:val="22"/>
                <w:lang w:val="pt-BR" w:eastAsia="en-GB"/>
              </w:rPr>
              <w:t>T</w:t>
            </w:r>
            <w:r w:rsidR="00BC4446" w:rsidRPr="00DF367D">
              <w:rPr>
                <w:sz w:val="22"/>
                <w:lang w:val="pt-BR" w:eastAsia="en-GB"/>
              </w:rPr>
              <w:t>hường trực</w:t>
            </w:r>
            <w:r w:rsidR="00BD4A52" w:rsidRPr="00DF367D">
              <w:rPr>
                <w:sz w:val="22"/>
                <w:lang w:val="pt-BR" w:eastAsia="en-GB"/>
              </w:rPr>
              <w:t xml:space="preserve"> HĐND;</w:t>
            </w:r>
          </w:p>
          <w:p w:rsidR="002B39C1" w:rsidRPr="00DF367D" w:rsidRDefault="00420175" w:rsidP="00202491">
            <w:pPr>
              <w:jc w:val="both"/>
              <w:rPr>
                <w:sz w:val="22"/>
                <w:lang w:val="pt-BR" w:eastAsia="en-GB"/>
              </w:rPr>
            </w:pPr>
            <w:r w:rsidRPr="00DF367D">
              <w:rPr>
                <w:sz w:val="22"/>
                <w:lang w:val="pt-BR" w:eastAsia="en-GB"/>
              </w:rPr>
              <w:t>- Chủ tịch, c</w:t>
            </w:r>
            <w:r w:rsidR="00BC4446" w:rsidRPr="00DF367D">
              <w:rPr>
                <w:sz w:val="22"/>
                <w:lang w:val="pt-BR" w:eastAsia="en-GB"/>
              </w:rPr>
              <w:t>á</w:t>
            </w:r>
            <w:r w:rsidRPr="00DF367D">
              <w:rPr>
                <w:sz w:val="22"/>
                <w:lang w:val="pt-BR" w:eastAsia="en-GB"/>
              </w:rPr>
              <w:t>c PCT UBND</w:t>
            </w:r>
            <w:r w:rsidR="002B39C1" w:rsidRPr="00DF367D">
              <w:rPr>
                <w:sz w:val="22"/>
                <w:lang w:val="pt-BR" w:eastAsia="en-GB"/>
              </w:rPr>
              <w:t>;</w:t>
            </w:r>
          </w:p>
          <w:p w:rsidR="00420175" w:rsidRPr="00DF367D" w:rsidRDefault="00420175" w:rsidP="00202491">
            <w:pPr>
              <w:jc w:val="both"/>
              <w:rPr>
                <w:sz w:val="22"/>
                <w:lang w:val="pt-BR" w:eastAsia="en-GB"/>
              </w:rPr>
            </w:pPr>
            <w:r w:rsidRPr="00DF367D">
              <w:rPr>
                <w:sz w:val="22"/>
                <w:lang w:val="pt-BR" w:eastAsia="en-GB"/>
              </w:rPr>
              <w:t>- Các Đại biểu HĐND;</w:t>
            </w:r>
          </w:p>
          <w:p w:rsidR="002B39C1" w:rsidRPr="00DF367D" w:rsidRDefault="00420175" w:rsidP="00202491">
            <w:pPr>
              <w:jc w:val="both"/>
              <w:rPr>
                <w:sz w:val="22"/>
                <w:lang w:val="pt-BR" w:eastAsia="en-GB"/>
              </w:rPr>
            </w:pPr>
            <w:r w:rsidRPr="00DF367D">
              <w:rPr>
                <w:sz w:val="22"/>
                <w:lang w:val="pt-BR" w:eastAsia="en-GB"/>
              </w:rPr>
              <w:t>- Chánh, các PVP UBND tỉnh</w:t>
            </w:r>
            <w:r w:rsidR="002B39C1" w:rsidRPr="00DF367D">
              <w:rPr>
                <w:sz w:val="22"/>
                <w:lang w:val="pt-BR" w:eastAsia="en-GB"/>
              </w:rPr>
              <w:t>;</w:t>
            </w:r>
          </w:p>
          <w:p w:rsidR="00420175" w:rsidRPr="00DF367D" w:rsidRDefault="002B39C1" w:rsidP="00101A94">
            <w:pPr>
              <w:rPr>
                <w:b/>
                <w:lang w:val="vi-VN"/>
              </w:rPr>
            </w:pPr>
            <w:r w:rsidRPr="00DF367D">
              <w:rPr>
                <w:sz w:val="22"/>
                <w:lang w:val="pt-BR" w:eastAsia="en-GB"/>
              </w:rPr>
              <w:t>- Lưu</w:t>
            </w:r>
            <w:r w:rsidR="00BD4A52" w:rsidRPr="00DF367D">
              <w:rPr>
                <w:sz w:val="22"/>
                <w:lang w:val="pt-BR" w:eastAsia="en-GB"/>
              </w:rPr>
              <w:t>:</w:t>
            </w:r>
            <w:r w:rsidR="00420175" w:rsidRPr="00DF367D">
              <w:rPr>
                <w:sz w:val="22"/>
                <w:lang w:val="vi-VN" w:eastAsia="en-GB"/>
              </w:rPr>
              <w:t xml:space="preserve"> VT, </w:t>
            </w:r>
            <w:r w:rsidR="00420175" w:rsidRPr="00DF367D">
              <w:rPr>
                <w:sz w:val="22"/>
                <w:lang w:eastAsia="en-GB"/>
              </w:rPr>
              <w:t>KT</w:t>
            </w:r>
            <w:r w:rsidR="00BD4A52" w:rsidRPr="00DF367D">
              <w:rPr>
                <w:sz w:val="22"/>
                <w:vertAlign w:val="subscript"/>
                <w:lang w:val="pt-BR" w:eastAsia="en-GB"/>
              </w:rPr>
              <w:t>1</w:t>
            </w:r>
            <w:r w:rsidRPr="00DF367D">
              <w:rPr>
                <w:sz w:val="22"/>
                <w:lang w:val="pt-BR" w:eastAsia="en-GB"/>
              </w:rPr>
              <w:t>.</w:t>
            </w:r>
          </w:p>
        </w:tc>
        <w:tc>
          <w:tcPr>
            <w:tcW w:w="5016" w:type="dxa"/>
          </w:tcPr>
          <w:p w:rsidR="007D5D44" w:rsidRPr="00DF367D" w:rsidRDefault="007D5D44" w:rsidP="00202491">
            <w:pPr>
              <w:ind w:left="-37"/>
              <w:jc w:val="center"/>
              <w:rPr>
                <w:b/>
                <w:sz w:val="26"/>
                <w:lang w:val="vi-VN"/>
              </w:rPr>
            </w:pPr>
            <w:r w:rsidRPr="00DF367D">
              <w:rPr>
                <w:b/>
                <w:sz w:val="26"/>
                <w:lang w:val="vi-VN"/>
              </w:rPr>
              <w:t>TM. ỦY BAN NHÂN DÂN</w:t>
            </w:r>
          </w:p>
          <w:p w:rsidR="007D5D44" w:rsidRPr="00DF367D" w:rsidRDefault="007D5D44" w:rsidP="00202491">
            <w:pPr>
              <w:ind w:left="-37"/>
              <w:jc w:val="center"/>
              <w:rPr>
                <w:b/>
                <w:sz w:val="26"/>
                <w:lang w:val="vi-VN"/>
              </w:rPr>
            </w:pPr>
            <w:r w:rsidRPr="00DF367D">
              <w:rPr>
                <w:b/>
                <w:sz w:val="26"/>
                <w:lang w:val="vi-VN"/>
              </w:rPr>
              <w:t>CHỦ TỊCH</w:t>
            </w:r>
          </w:p>
          <w:p w:rsidR="007D5D44" w:rsidRPr="00DF367D" w:rsidRDefault="007D5D44" w:rsidP="00202491">
            <w:pPr>
              <w:ind w:left="-37"/>
              <w:jc w:val="center"/>
              <w:rPr>
                <w:b/>
                <w:sz w:val="144"/>
                <w:szCs w:val="110"/>
                <w:lang w:val="vi-VN"/>
              </w:rPr>
            </w:pPr>
          </w:p>
          <w:p w:rsidR="007D5D44" w:rsidRPr="00DF367D" w:rsidRDefault="00420175" w:rsidP="0002341C">
            <w:pPr>
              <w:jc w:val="center"/>
              <w:rPr>
                <w:b/>
              </w:rPr>
            </w:pPr>
            <w:r w:rsidRPr="00DF367D">
              <w:rPr>
                <w:b/>
              </w:rPr>
              <w:t>Đặng Quốc Khánh</w:t>
            </w:r>
          </w:p>
        </w:tc>
      </w:tr>
    </w:tbl>
    <w:p w:rsidR="001250C0" w:rsidRPr="00DF367D" w:rsidRDefault="001250C0" w:rsidP="001250C0"/>
    <w:p w:rsidR="00A848E4" w:rsidRPr="00DF367D" w:rsidRDefault="00A848E4" w:rsidP="001250C0"/>
    <w:p w:rsidR="00A848E4" w:rsidRPr="00DF367D" w:rsidRDefault="00A848E4" w:rsidP="001250C0"/>
    <w:p w:rsidR="00A848E4" w:rsidRPr="00DF367D" w:rsidRDefault="00A848E4" w:rsidP="001250C0"/>
    <w:p w:rsidR="00A848E4" w:rsidRPr="00DF367D" w:rsidRDefault="00A848E4" w:rsidP="001250C0"/>
    <w:p w:rsidR="00A848E4" w:rsidRPr="00DF367D" w:rsidRDefault="00A848E4" w:rsidP="001250C0"/>
    <w:p w:rsidR="00A848E4" w:rsidRPr="00DF367D" w:rsidRDefault="00A848E4" w:rsidP="001250C0"/>
    <w:p w:rsidR="00101A94" w:rsidRPr="00DF367D" w:rsidRDefault="00101A94" w:rsidP="001250C0"/>
    <w:p w:rsidR="00101A94" w:rsidRPr="00DF367D" w:rsidRDefault="00101A94" w:rsidP="001250C0"/>
    <w:p w:rsidR="00101A94" w:rsidRPr="00DF367D" w:rsidRDefault="00101A94" w:rsidP="001250C0"/>
    <w:p w:rsidR="00101A94" w:rsidRPr="00DF367D" w:rsidRDefault="00101A94" w:rsidP="001250C0"/>
    <w:p w:rsidR="00101A94" w:rsidRPr="00DF367D" w:rsidRDefault="00101A94" w:rsidP="001250C0"/>
    <w:p w:rsidR="00101A94" w:rsidRPr="00DF367D" w:rsidRDefault="00101A94" w:rsidP="001250C0"/>
    <w:p w:rsidR="00101A94" w:rsidRPr="00DF367D" w:rsidRDefault="00101A94" w:rsidP="001250C0"/>
    <w:p w:rsidR="00101A94" w:rsidRPr="00DF367D" w:rsidRDefault="00101A94" w:rsidP="001250C0"/>
    <w:p w:rsidR="00101A94" w:rsidRPr="00DF367D" w:rsidRDefault="00101A94" w:rsidP="001250C0"/>
    <w:p w:rsidR="00101A94" w:rsidRPr="00DF367D" w:rsidRDefault="00101A94" w:rsidP="001250C0"/>
    <w:p w:rsidR="00101A94" w:rsidRPr="00DF367D" w:rsidRDefault="00101A94" w:rsidP="001250C0"/>
    <w:p w:rsidR="00101A94" w:rsidRPr="00DF367D" w:rsidRDefault="00101A94" w:rsidP="001250C0"/>
    <w:p w:rsidR="00101A94" w:rsidRPr="00DF367D" w:rsidRDefault="00101A94" w:rsidP="001250C0"/>
    <w:p w:rsidR="00101A94" w:rsidRPr="00DF367D" w:rsidRDefault="00101A94" w:rsidP="001250C0"/>
    <w:p w:rsidR="00101A94" w:rsidRPr="00DF367D" w:rsidRDefault="00101A94" w:rsidP="001250C0"/>
    <w:p w:rsidR="00A848E4" w:rsidRPr="00DF367D" w:rsidRDefault="00A848E4" w:rsidP="001250C0"/>
    <w:p w:rsidR="00F419E6" w:rsidRPr="00DF367D" w:rsidRDefault="00F419E6" w:rsidP="001250C0">
      <w:pPr>
        <w:rPr>
          <w:b/>
          <w:bCs/>
          <w:i/>
          <w:iCs/>
        </w:rPr>
      </w:pPr>
    </w:p>
    <w:tbl>
      <w:tblPr>
        <w:tblW w:w="0" w:type="auto"/>
        <w:tblLook w:val="04A0" w:firstRow="1" w:lastRow="0" w:firstColumn="1" w:lastColumn="0" w:noHBand="0" w:noVBand="1"/>
      </w:tblPr>
      <w:tblGrid>
        <w:gridCol w:w="816"/>
        <w:gridCol w:w="4725"/>
        <w:gridCol w:w="978"/>
        <w:gridCol w:w="977"/>
        <w:gridCol w:w="896"/>
        <w:gridCol w:w="896"/>
      </w:tblGrid>
      <w:tr w:rsidR="00DF367D" w:rsidRPr="00DF367D" w:rsidTr="00A848E4">
        <w:tc>
          <w:tcPr>
            <w:tcW w:w="0" w:type="auto"/>
            <w:gridSpan w:val="6"/>
            <w:tcBorders>
              <w:top w:val="nil"/>
              <w:left w:val="nil"/>
              <w:bottom w:val="nil"/>
              <w:right w:val="nil"/>
            </w:tcBorders>
            <w:shd w:val="clear" w:color="auto" w:fill="auto"/>
            <w:noWrap/>
            <w:vAlign w:val="bottom"/>
            <w:hideMark/>
          </w:tcPr>
          <w:p w:rsidR="00A848E4" w:rsidRPr="00DF367D" w:rsidRDefault="00A848E4" w:rsidP="00FA423C">
            <w:pPr>
              <w:jc w:val="center"/>
              <w:rPr>
                <w:b/>
                <w:bCs/>
              </w:rPr>
            </w:pPr>
            <w:r w:rsidRPr="00DF367D">
              <w:rPr>
                <w:b/>
                <w:bCs/>
              </w:rPr>
              <w:lastRenderedPageBreak/>
              <w:t>PHỤ LỤC</w:t>
            </w:r>
          </w:p>
          <w:p w:rsidR="00A848E4" w:rsidRPr="00DF367D" w:rsidRDefault="00A848E4" w:rsidP="00FA423C">
            <w:pPr>
              <w:jc w:val="center"/>
              <w:rPr>
                <w:b/>
                <w:bCs/>
              </w:rPr>
            </w:pPr>
            <w:r w:rsidRPr="00DF367D">
              <w:rPr>
                <w:b/>
                <w:bCs/>
              </w:rPr>
              <w:t>TỔNG HỢP KINH PHÍ HỖ TRỢ ĐẦU TƯ PHÁT TRIỂN CCN</w:t>
            </w:r>
          </w:p>
        </w:tc>
      </w:tr>
      <w:tr w:rsidR="00DF367D" w:rsidRPr="00DF367D" w:rsidTr="00A848E4">
        <w:tc>
          <w:tcPr>
            <w:tcW w:w="0" w:type="auto"/>
            <w:tcBorders>
              <w:top w:val="nil"/>
              <w:left w:val="nil"/>
              <w:bottom w:val="nil"/>
              <w:right w:val="nil"/>
            </w:tcBorders>
            <w:shd w:val="clear" w:color="auto" w:fill="auto"/>
            <w:noWrap/>
            <w:vAlign w:val="bottom"/>
            <w:hideMark/>
          </w:tcPr>
          <w:p w:rsidR="00A848E4" w:rsidRPr="00DF367D" w:rsidRDefault="00A848E4" w:rsidP="00FA423C">
            <w:pPr>
              <w:jc w:val="center"/>
              <w:rPr>
                <w:b/>
                <w:bCs/>
              </w:rPr>
            </w:pPr>
          </w:p>
        </w:tc>
        <w:tc>
          <w:tcPr>
            <w:tcW w:w="0" w:type="auto"/>
            <w:tcBorders>
              <w:top w:val="nil"/>
              <w:left w:val="nil"/>
              <w:bottom w:val="nil"/>
              <w:right w:val="nil"/>
            </w:tcBorders>
            <w:shd w:val="clear" w:color="auto" w:fill="auto"/>
            <w:noWrap/>
            <w:vAlign w:val="bottom"/>
            <w:hideMark/>
          </w:tcPr>
          <w:p w:rsidR="00A848E4" w:rsidRPr="00DF367D" w:rsidRDefault="00A848E4" w:rsidP="00FA423C"/>
        </w:tc>
        <w:tc>
          <w:tcPr>
            <w:tcW w:w="0" w:type="auto"/>
            <w:tcBorders>
              <w:top w:val="nil"/>
              <w:left w:val="nil"/>
              <w:bottom w:val="nil"/>
              <w:right w:val="nil"/>
            </w:tcBorders>
            <w:shd w:val="clear" w:color="auto" w:fill="auto"/>
            <w:noWrap/>
            <w:vAlign w:val="bottom"/>
            <w:hideMark/>
          </w:tcPr>
          <w:p w:rsidR="00A848E4" w:rsidRPr="00DF367D" w:rsidRDefault="00A848E4" w:rsidP="00FA423C"/>
        </w:tc>
        <w:tc>
          <w:tcPr>
            <w:tcW w:w="0" w:type="auto"/>
            <w:gridSpan w:val="3"/>
            <w:tcBorders>
              <w:top w:val="nil"/>
              <w:left w:val="nil"/>
              <w:bottom w:val="single" w:sz="4" w:space="0" w:color="auto"/>
              <w:right w:val="nil"/>
            </w:tcBorders>
            <w:shd w:val="clear" w:color="auto" w:fill="auto"/>
            <w:noWrap/>
            <w:vAlign w:val="bottom"/>
            <w:hideMark/>
          </w:tcPr>
          <w:p w:rsidR="00A848E4" w:rsidRPr="00DF367D" w:rsidRDefault="00A848E4" w:rsidP="00FA423C">
            <w:pPr>
              <w:jc w:val="center"/>
              <w:rPr>
                <w:i/>
                <w:iCs/>
              </w:rPr>
            </w:pPr>
            <w:r w:rsidRPr="00DF367D">
              <w:rPr>
                <w:i/>
                <w:iCs/>
              </w:rPr>
              <w:t>ĐVT: Tỷ đồng</w:t>
            </w:r>
          </w:p>
        </w:tc>
      </w:tr>
      <w:tr w:rsidR="00DF367D" w:rsidRPr="00DF367D" w:rsidTr="00A848E4">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48E4" w:rsidRPr="00DF367D" w:rsidRDefault="00A848E4" w:rsidP="00FA423C">
            <w:pPr>
              <w:jc w:val="center"/>
              <w:rPr>
                <w:b/>
                <w:bCs/>
              </w:rPr>
            </w:pPr>
            <w:r w:rsidRPr="00DF367D">
              <w:rPr>
                <w:b/>
                <w:bCs/>
              </w:rPr>
              <w:t xml:space="preserve"> TT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8E4" w:rsidRPr="00DF367D" w:rsidRDefault="00A848E4" w:rsidP="00FA423C">
            <w:pPr>
              <w:jc w:val="center"/>
              <w:rPr>
                <w:b/>
                <w:bCs/>
              </w:rPr>
            </w:pPr>
            <w:r w:rsidRPr="00DF367D">
              <w:rPr>
                <w:b/>
                <w:bCs/>
              </w:rPr>
              <w:t xml:space="preserve"> Tên CCN</w:t>
            </w:r>
            <w:r w:rsidRPr="00DF367D">
              <w:rPr>
                <w:b/>
                <w:bCs/>
              </w:rPr>
              <w:br/>
              <w:t xml:space="preserve">Hạng mục hỗ trợ </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A848E4" w:rsidRPr="00DF367D" w:rsidRDefault="00A848E4" w:rsidP="00FA423C">
            <w:pPr>
              <w:jc w:val="center"/>
            </w:pPr>
            <w:r w:rsidRPr="00DF367D">
              <w:t>Kinh phí đã hỗ trợ qua các năm</w:t>
            </w:r>
          </w:p>
        </w:tc>
      </w:tr>
      <w:tr w:rsidR="00DF367D" w:rsidRPr="00DF367D" w:rsidTr="00A848E4">
        <w:tc>
          <w:tcPr>
            <w:tcW w:w="0" w:type="auto"/>
            <w:vMerge/>
            <w:tcBorders>
              <w:top w:val="single" w:sz="4" w:space="0" w:color="auto"/>
              <w:left w:val="single" w:sz="4" w:space="0" w:color="auto"/>
              <w:bottom w:val="single" w:sz="4" w:space="0" w:color="000000"/>
              <w:right w:val="single" w:sz="4" w:space="0" w:color="auto"/>
            </w:tcBorders>
            <w:vAlign w:val="center"/>
            <w:hideMark/>
          </w:tcPr>
          <w:p w:rsidR="00A848E4" w:rsidRPr="00DF367D" w:rsidRDefault="00A848E4" w:rsidP="00FA423C">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48E4" w:rsidRPr="00DF367D" w:rsidRDefault="00A848E4" w:rsidP="00FA423C">
            <w:pPr>
              <w:rPr>
                <w:b/>
                <w:bCs/>
              </w:rPr>
            </w:pP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pPr>
              <w:jc w:val="center"/>
              <w:rPr>
                <w:b/>
                <w:bCs/>
              </w:rPr>
            </w:pPr>
            <w:r w:rsidRPr="00DF367D">
              <w:rPr>
                <w:b/>
                <w:bCs/>
              </w:rPr>
              <w:t>2014</w:t>
            </w:r>
          </w:p>
        </w:tc>
        <w:tc>
          <w:tcPr>
            <w:tcW w:w="0" w:type="auto"/>
            <w:tcBorders>
              <w:top w:val="nil"/>
              <w:left w:val="nil"/>
              <w:bottom w:val="single" w:sz="4" w:space="0" w:color="auto"/>
              <w:right w:val="single" w:sz="4" w:space="0" w:color="auto"/>
            </w:tcBorders>
            <w:shd w:val="clear" w:color="auto" w:fill="auto"/>
            <w:noWrap/>
            <w:vAlign w:val="center"/>
            <w:hideMark/>
          </w:tcPr>
          <w:p w:rsidR="00A848E4" w:rsidRPr="00DF367D" w:rsidRDefault="00A848E4" w:rsidP="00FA423C">
            <w:pPr>
              <w:jc w:val="center"/>
              <w:rPr>
                <w:b/>
                <w:bCs/>
              </w:rPr>
            </w:pPr>
            <w:r w:rsidRPr="00DF367D">
              <w:rPr>
                <w:b/>
                <w:bCs/>
              </w:rPr>
              <w:t>2015</w:t>
            </w:r>
          </w:p>
        </w:tc>
        <w:tc>
          <w:tcPr>
            <w:tcW w:w="0" w:type="auto"/>
            <w:tcBorders>
              <w:top w:val="nil"/>
              <w:left w:val="nil"/>
              <w:bottom w:val="single" w:sz="4" w:space="0" w:color="auto"/>
              <w:right w:val="single" w:sz="4" w:space="0" w:color="auto"/>
            </w:tcBorders>
            <w:shd w:val="clear" w:color="auto" w:fill="auto"/>
            <w:noWrap/>
            <w:vAlign w:val="center"/>
            <w:hideMark/>
          </w:tcPr>
          <w:p w:rsidR="00A848E4" w:rsidRPr="00DF367D" w:rsidRDefault="00A848E4" w:rsidP="00FA423C">
            <w:pPr>
              <w:jc w:val="center"/>
              <w:rPr>
                <w:b/>
                <w:bCs/>
              </w:rPr>
            </w:pPr>
            <w:r w:rsidRPr="00DF367D">
              <w:rPr>
                <w:b/>
                <w:bCs/>
              </w:rPr>
              <w:t>2016</w:t>
            </w:r>
          </w:p>
        </w:tc>
        <w:tc>
          <w:tcPr>
            <w:tcW w:w="0" w:type="auto"/>
            <w:tcBorders>
              <w:top w:val="nil"/>
              <w:left w:val="nil"/>
              <w:bottom w:val="single" w:sz="4" w:space="0" w:color="auto"/>
              <w:right w:val="single" w:sz="4" w:space="0" w:color="auto"/>
            </w:tcBorders>
            <w:shd w:val="clear" w:color="auto" w:fill="auto"/>
            <w:noWrap/>
            <w:vAlign w:val="center"/>
            <w:hideMark/>
          </w:tcPr>
          <w:p w:rsidR="00A848E4" w:rsidRPr="00DF367D" w:rsidRDefault="00A848E4" w:rsidP="00FA423C">
            <w:pPr>
              <w:jc w:val="center"/>
              <w:rPr>
                <w:b/>
                <w:bCs/>
              </w:rPr>
            </w:pPr>
            <w:r w:rsidRPr="00DF367D">
              <w:rPr>
                <w:b/>
                <w:bCs/>
              </w:rPr>
              <w:t>2017</w:t>
            </w:r>
          </w:p>
        </w:tc>
      </w:tr>
      <w:tr w:rsidR="00DF367D" w:rsidRPr="00DF367D" w:rsidTr="00A848E4">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A848E4" w:rsidRPr="00DF367D" w:rsidRDefault="00A848E4" w:rsidP="00FA423C">
            <w:pPr>
              <w:jc w:val="center"/>
              <w:rPr>
                <w:b/>
                <w:bCs/>
              </w:rPr>
            </w:pPr>
            <w:r w:rsidRPr="00DF367D">
              <w:rPr>
                <w:b/>
                <w:bCs/>
              </w:rPr>
              <w:t xml:space="preserve"> I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rPr>
                <w:b/>
                <w:bCs/>
              </w:rPr>
            </w:pPr>
            <w:r w:rsidRPr="00DF367D">
              <w:rPr>
                <w:b/>
                <w:bCs/>
              </w:rPr>
              <w:t xml:space="preserve"> CCN Phù Việt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rPr>
                <w:b/>
                <w:bCs/>
              </w:rPr>
            </w:pPr>
            <w:r w:rsidRPr="00DF367D">
              <w:rPr>
                <w:b/>
                <w:bCs/>
              </w:rPr>
              <w:t>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848E4" w:rsidRPr="00DF367D" w:rsidRDefault="00A848E4" w:rsidP="00FA423C">
            <w:pPr>
              <w:jc w:val="center"/>
            </w:pPr>
            <w:r w:rsidRPr="00DF367D">
              <w:t xml:space="preserve">   1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r w:rsidRPr="00DF367D">
              <w:t xml:space="preserve"> Hệ thống mương thoát nước thải và trạm xử lý nước thải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pPr>
              <w:jc w:val="right"/>
            </w:pPr>
            <w:r w:rsidRPr="00DF367D">
              <w:t xml:space="preserve">    2,2 </w:t>
            </w:r>
          </w:p>
        </w:tc>
        <w:tc>
          <w:tcPr>
            <w:tcW w:w="0" w:type="auto"/>
            <w:tcBorders>
              <w:top w:val="nil"/>
              <w:left w:val="nil"/>
              <w:bottom w:val="single" w:sz="4" w:space="0" w:color="auto"/>
              <w:right w:val="single" w:sz="4" w:space="0" w:color="auto"/>
            </w:tcBorders>
            <w:shd w:val="clear" w:color="auto" w:fill="auto"/>
            <w:noWrap/>
            <w:vAlign w:val="center"/>
            <w:hideMark/>
          </w:tcPr>
          <w:p w:rsidR="00A848E4" w:rsidRPr="00DF367D" w:rsidRDefault="00A848E4" w:rsidP="00FA423C">
            <w:pPr>
              <w:jc w:val="right"/>
            </w:pPr>
            <w:r w:rsidRPr="00DF367D">
              <w:t xml:space="preserve">    7,0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A848E4" w:rsidRPr="00DF367D" w:rsidRDefault="00A848E4" w:rsidP="00FA423C">
            <w:pPr>
              <w:jc w:val="center"/>
              <w:rPr>
                <w:b/>
                <w:bCs/>
              </w:rPr>
            </w:pPr>
            <w:r w:rsidRPr="00DF367D">
              <w:rPr>
                <w:b/>
                <w:bCs/>
              </w:rPr>
              <w:t xml:space="preserve"> II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rPr>
                <w:b/>
                <w:bCs/>
              </w:rPr>
            </w:pPr>
            <w:r w:rsidRPr="00DF367D">
              <w:rPr>
                <w:b/>
                <w:bCs/>
              </w:rPr>
              <w:t xml:space="preserve"> CCN Nam Hồng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rPr>
                <w:b/>
                <w:bCs/>
              </w:rPr>
            </w:pPr>
            <w:r w:rsidRPr="00DF367D">
              <w:rPr>
                <w:b/>
                <w:bCs/>
              </w:rPr>
              <w:t>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pPr>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A848E4" w:rsidRPr="00DF367D" w:rsidRDefault="00A848E4" w:rsidP="00FA423C">
            <w:pPr>
              <w:jc w:val="center"/>
            </w:pPr>
            <w:r w:rsidRPr="00DF367D">
              <w:t xml:space="preserve">   1 </w:t>
            </w:r>
          </w:p>
        </w:tc>
        <w:tc>
          <w:tcPr>
            <w:tcW w:w="0" w:type="auto"/>
            <w:tcBorders>
              <w:top w:val="nil"/>
              <w:left w:val="nil"/>
              <w:bottom w:val="dotted" w:sz="4" w:space="0" w:color="auto"/>
              <w:right w:val="single" w:sz="4" w:space="0" w:color="auto"/>
            </w:tcBorders>
            <w:shd w:val="clear" w:color="auto" w:fill="auto"/>
            <w:vAlign w:val="center"/>
            <w:hideMark/>
          </w:tcPr>
          <w:p w:rsidR="00A848E4" w:rsidRPr="00DF367D" w:rsidRDefault="00A848E4" w:rsidP="00FA423C">
            <w:r w:rsidRPr="00DF367D">
              <w:t xml:space="preserve"> Hệ thống xử lý nước thải  </w:t>
            </w:r>
          </w:p>
        </w:tc>
        <w:tc>
          <w:tcPr>
            <w:tcW w:w="0" w:type="auto"/>
            <w:tcBorders>
              <w:top w:val="nil"/>
              <w:left w:val="nil"/>
              <w:bottom w:val="dotted" w:sz="4" w:space="0" w:color="auto"/>
              <w:right w:val="single" w:sz="4" w:space="0" w:color="auto"/>
            </w:tcBorders>
            <w:shd w:val="clear" w:color="auto" w:fill="auto"/>
            <w:vAlign w:val="center"/>
            <w:hideMark/>
          </w:tcPr>
          <w:p w:rsidR="00A848E4" w:rsidRPr="00DF367D" w:rsidRDefault="00A848E4" w:rsidP="00FA423C">
            <w:pPr>
              <w:jc w:val="right"/>
            </w:pPr>
            <w:r w:rsidRPr="00DF367D">
              <w:t>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pPr>
            <w:r w:rsidRPr="00DF367D">
              <w:t xml:space="preserve">    1,0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A848E4" w:rsidRPr="00DF367D" w:rsidRDefault="00A848E4" w:rsidP="00FA423C">
            <w:pPr>
              <w:jc w:val="center"/>
            </w:pPr>
            <w:r w:rsidRPr="00DF367D">
              <w:t xml:space="preserve">   2 </w:t>
            </w:r>
          </w:p>
        </w:tc>
        <w:tc>
          <w:tcPr>
            <w:tcW w:w="0" w:type="auto"/>
            <w:tcBorders>
              <w:top w:val="nil"/>
              <w:left w:val="nil"/>
              <w:bottom w:val="dotted" w:sz="4" w:space="0" w:color="auto"/>
              <w:right w:val="single" w:sz="4" w:space="0" w:color="auto"/>
            </w:tcBorders>
            <w:shd w:val="clear" w:color="auto" w:fill="auto"/>
            <w:vAlign w:val="center"/>
            <w:hideMark/>
          </w:tcPr>
          <w:p w:rsidR="00A848E4" w:rsidRPr="00DF367D" w:rsidRDefault="00A848E4" w:rsidP="00FA423C">
            <w:r w:rsidRPr="00DF367D">
              <w:t xml:space="preserve"> Đường phía Tây CCN </w:t>
            </w:r>
          </w:p>
        </w:tc>
        <w:tc>
          <w:tcPr>
            <w:tcW w:w="0" w:type="auto"/>
            <w:tcBorders>
              <w:top w:val="nil"/>
              <w:left w:val="nil"/>
              <w:bottom w:val="dotted" w:sz="4" w:space="0" w:color="auto"/>
              <w:right w:val="single" w:sz="4" w:space="0" w:color="auto"/>
            </w:tcBorders>
            <w:shd w:val="clear" w:color="auto" w:fill="auto"/>
            <w:vAlign w:val="center"/>
            <w:hideMark/>
          </w:tcPr>
          <w:p w:rsidR="00A848E4" w:rsidRPr="00DF367D" w:rsidRDefault="00A848E4" w:rsidP="00FA423C">
            <w:pPr>
              <w:jc w:val="right"/>
            </w:pPr>
            <w:r w:rsidRPr="00DF367D">
              <w:t xml:space="preserve">    2,5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pPr>
            <w:r w:rsidRPr="00DF367D">
              <w:t xml:space="preserve">    2,1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848E4" w:rsidRPr="00DF367D" w:rsidRDefault="00A848E4" w:rsidP="00FA423C">
            <w:pPr>
              <w:jc w:val="center"/>
            </w:pPr>
            <w:r w:rsidRPr="00DF367D">
              <w:t xml:space="preserve">   3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r w:rsidRPr="00DF367D">
              <w:t xml:space="preserve"> XD phương án cấp nước phục vụ CCN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pPr>
              <w:jc w:val="right"/>
            </w:pPr>
            <w:r w:rsidRPr="00DF367D">
              <w:t> </w:t>
            </w:r>
          </w:p>
        </w:tc>
        <w:tc>
          <w:tcPr>
            <w:tcW w:w="0" w:type="auto"/>
            <w:tcBorders>
              <w:top w:val="nil"/>
              <w:left w:val="nil"/>
              <w:bottom w:val="single" w:sz="4" w:space="0" w:color="auto"/>
              <w:right w:val="single" w:sz="4" w:space="0" w:color="auto"/>
            </w:tcBorders>
            <w:shd w:val="clear" w:color="auto" w:fill="auto"/>
            <w:noWrap/>
            <w:vAlign w:val="center"/>
            <w:hideMark/>
          </w:tcPr>
          <w:p w:rsidR="00A848E4" w:rsidRPr="00DF367D" w:rsidRDefault="00A848E4" w:rsidP="00FA423C">
            <w:pPr>
              <w:jc w:val="right"/>
            </w:pPr>
            <w:r w:rsidRPr="00DF367D">
              <w:t>0,05</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A848E4" w:rsidRPr="00DF367D" w:rsidRDefault="00A848E4" w:rsidP="00FA423C">
            <w:pPr>
              <w:jc w:val="center"/>
              <w:rPr>
                <w:b/>
                <w:bCs/>
              </w:rPr>
            </w:pPr>
            <w:r w:rsidRPr="00DF367D">
              <w:rPr>
                <w:b/>
                <w:bCs/>
              </w:rPr>
              <w:t xml:space="preserve"> III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rPr>
                <w:b/>
                <w:bCs/>
              </w:rPr>
            </w:pPr>
            <w:r w:rsidRPr="00DF367D">
              <w:rPr>
                <w:b/>
                <w:bCs/>
              </w:rPr>
              <w:t xml:space="preserve"> CCN Trung Lương </w:t>
            </w:r>
          </w:p>
        </w:tc>
        <w:tc>
          <w:tcPr>
            <w:tcW w:w="0" w:type="auto"/>
            <w:tcBorders>
              <w:top w:val="nil"/>
              <w:left w:val="nil"/>
              <w:bottom w:val="dotted" w:sz="4" w:space="0" w:color="auto"/>
              <w:right w:val="single" w:sz="4" w:space="0" w:color="auto"/>
            </w:tcBorders>
            <w:shd w:val="clear" w:color="auto" w:fill="auto"/>
            <w:vAlign w:val="center"/>
            <w:hideMark/>
          </w:tcPr>
          <w:p w:rsidR="00A848E4" w:rsidRPr="00DF367D" w:rsidRDefault="00A848E4" w:rsidP="00FA423C">
            <w:pPr>
              <w:jc w:val="right"/>
            </w:pPr>
            <w:r w:rsidRPr="00DF367D">
              <w:t>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848E4" w:rsidRPr="00DF367D" w:rsidRDefault="00A848E4" w:rsidP="00FA423C">
            <w:pPr>
              <w:jc w:val="center"/>
            </w:pPr>
            <w:r w:rsidRPr="00DF367D">
              <w:t xml:space="preserve">   1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r w:rsidRPr="00DF367D">
              <w:t xml:space="preserve"> Đường giao thông nội cụm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pPr>
              <w:jc w:val="right"/>
            </w:pPr>
            <w:r w:rsidRPr="00DF367D">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A848E4" w:rsidRPr="00DF367D" w:rsidRDefault="00A848E4" w:rsidP="00FA423C">
            <w:r w:rsidRPr="00DF367D">
              <w:t>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A848E4" w:rsidRPr="00DF367D" w:rsidRDefault="00A848E4" w:rsidP="00FA423C">
            <w:pPr>
              <w:jc w:val="center"/>
              <w:rPr>
                <w:b/>
                <w:bCs/>
              </w:rPr>
            </w:pPr>
            <w:r w:rsidRPr="00DF367D">
              <w:rPr>
                <w:b/>
                <w:bCs/>
              </w:rPr>
              <w:t xml:space="preserve"> IV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rPr>
                <w:b/>
                <w:bCs/>
              </w:rPr>
            </w:pPr>
            <w:r w:rsidRPr="00DF367D">
              <w:rPr>
                <w:b/>
                <w:bCs/>
              </w:rPr>
              <w:t xml:space="preserve"> CCN Thái Yên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rPr>
                <w:b/>
                <w:bCs/>
              </w:rPr>
            </w:pPr>
            <w:r w:rsidRPr="00DF367D">
              <w:rPr>
                <w:b/>
                <w:bCs/>
              </w:rPr>
              <w:t>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A848E4" w:rsidRPr="00DF367D" w:rsidRDefault="00A848E4" w:rsidP="00FA423C">
            <w:pPr>
              <w:jc w:val="center"/>
            </w:pPr>
            <w:r w:rsidRPr="00DF367D">
              <w:t xml:space="preserve">   1 </w:t>
            </w:r>
          </w:p>
        </w:tc>
        <w:tc>
          <w:tcPr>
            <w:tcW w:w="0" w:type="auto"/>
            <w:tcBorders>
              <w:top w:val="nil"/>
              <w:left w:val="nil"/>
              <w:bottom w:val="dotted" w:sz="4" w:space="0" w:color="auto"/>
              <w:right w:val="single" w:sz="4" w:space="0" w:color="auto"/>
            </w:tcBorders>
            <w:shd w:val="clear" w:color="auto" w:fill="auto"/>
            <w:vAlign w:val="center"/>
            <w:hideMark/>
          </w:tcPr>
          <w:p w:rsidR="00A848E4" w:rsidRPr="00DF367D" w:rsidRDefault="00A848E4" w:rsidP="00FA423C">
            <w:r w:rsidRPr="00DF367D">
              <w:t xml:space="preserve"> Trả nợ khối lượng hoàn thành công trình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pPr>
            <w:r w:rsidRPr="00DF367D">
              <w:t xml:space="preserve">    1,0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848E4" w:rsidRPr="00DF367D" w:rsidRDefault="00A848E4" w:rsidP="00FA423C">
            <w:pPr>
              <w:jc w:val="center"/>
            </w:pPr>
            <w:r w:rsidRPr="00DF367D">
              <w:t xml:space="preserve">   2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r w:rsidRPr="00DF367D">
              <w:t xml:space="preserve"> Hệ thống phòng chống cháy nổ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pPr>
              <w:jc w:val="right"/>
            </w:pPr>
            <w:r w:rsidRPr="00DF367D">
              <w:t> </w:t>
            </w:r>
          </w:p>
        </w:tc>
        <w:tc>
          <w:tcPr>
            <w:tcW w:w="0" w:type="auto"/>
            <w:tcBorders>
              <w:top w:val="nil"/>
              <w:left w:val="nil"/>
              <w:bottom w:val="single" w:sz="4" w:space="0" w:color="auto"/>
              <w:right w:val="single" w:sz="4" w:space="0" w:color="auto"/>
            </w:tcBorders>
            <w:shd w:val="clear" w:color="auto" w:fill="auto"/>
            <w:noWrap/>
            <w:vAlign w:val="center"/>
            <w:hideMark/>
          </w:tcPr>
          <w:p w:rsidR="00A848E4" w:rsidRPr="00DF367D" w:rsidRDefault="00A848E4" w:rsidP="00FA423C">
            <w:pPr>
              <w:jc w:val="right"/>
            </w:pPr>
            <w:r w:rsidRPr="00DF367D">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A848E4" w:rsidRPr="00DF367D" w:rsidRDefault="00A848E4" w:rsidP="00FA423C">
            <w:pPr>
              <w:jc w:val="center"/>
              <w:rPr>
                <w:b/>
                <w:bCs/>
              </w:rPr>
            </w:pPr>
            <w:r w:rsidRPr="00DF367D">
              <w:rPr>
                <w:b/>
                <w:bCs/>
              </w:rPr>
              <w:t xml:space="preserve"> V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rPr>
                <w:b/>
                <w:bCs/>
              </w:rPr>
            </w:pPr>
            <w:r w:rsidRPr="00DF367D">
              <w:rPr>
                <w:b/>
                <w:bCs/>
              </w:rPr>
              <w:t xml:space="preserve"> CCN Vũ Quang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rPr>
                <w:b/>
                <w:bCs/>
              </w:rPr>
            </w:pPr>
            <w:r w:rsidRPr="00DF367D">
              <w:rPr>
                <w:b/>
                <w:bCs/>
              </w:rPr>
              <w:t>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A848E4" w:rsidRPr="00DF367D" w:rsidRDefault="00A848E4" w:rsidP="00FA423C">
            <w:pPr>
              <w:jc w:val="center"/>
            </w:pPr>
            <w:r w:rsidRPr="00DF367D">
              <w:t xml:space="preserve">   1 </w:t>
            </w:r>
          </w:p>
        </w:tc>
        <w:tc>
          <w:tcPr>
            <w:tcW w:w="0" w:type="auto"/>
            <w:tcBorders>
              <w:top w:val="nil"/>
              <w:left w:val="nil"/>
              <w:bottom w:val="dotted" w:sz="4" w:space="0" w:color="auto"/>
              <w:right w:val="single" w:sz="4" w:space="0" w:color="auto"/>
            </w:tcBorders>
            <w:shd w:val="clear" w:color="auto" w:fill="auto"/>
            <w:vAlign w:val="center"/>
            <w:hideMark/>
          </w:tcPr>
          <w:p w:rsidR="00A848E4" w:rsidRPr="00DF367D" w:rsidRDefault="00A848E4" w:rsidP="00FA423C">
            <w:r w:rsidRPr="00DF367D">
              <w:t xml:space="preserve"> Trả nợ khối lượng hoàn thành công trình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pPr>
            <w:r w:rsidRPr="00DF367D">
              <w:t xml:space="preserve">    1,5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848E4" w:rsidRPr="00DF367D" w:rsidRDefault="00A848E4" w:rsidP="00FA423C">
            <w:pPr>
              <w:jc w:val="center"/>
            </w:pPr>
            <w:r w:rsidRPr="00DF367D">
              <w:t xml:space="preserve">   2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r w:rsidRPr="00DF367D">
              <w:t xml:space="preserve"> San lấp mặt bằng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pPr>
              <w:jc w:val="right"/>
            </w:pPr>
            <w:r w:rsidRPr="00DF367D">
              <w:t xml:space="preserve">    2,0 </w:t>
            </w:r>
          </w:p>
        </w:tc>
        <w:tc>
          <w:tcPr>
            <w:tcW w:w="0" w:type="auto"/>
            <w:tcBorders>
              <w:top w:val="nil"/>
              <w:left w:val="nil"/>
              <w:bottom w:val="single" w:sz="4" w:space="0" w:color="auto"/>
              <w:right w:val="single" w:sz="4" w:space="0" w:color="auto"/>
            </w:tcBorders>
            <w:shd w:val="clear" w:color="auto" w:fill="auto"/>
            <w:noWrap/>
            <w:vAlign w:val="center"/>
            <w:hideMark/>
          </w:tcPr>
          <w:p w:rsidR="00A848E4" w:rsidRPr="00DF367D" w:rsidRDefault="00A848E4" w:rsidP="00FA423C">
            <w:pPr>
              <w:jc w:val="right"/>
            </w:pPr>
            <w:r w:rsidRPr="00DF367D">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A848E4" w:rsidRPr="00DF367D" w:rsidRDefault="00A848E4" w:rsidP="00FA423C">
            <w:pPr>
              <w:jc w:val="center"/>
              <w:rPr>
                <w:b/>
                <w:bCs/>
              </w:rPr>
            </w:pPr>
            <w:r w:rsidRPr="00DF367D">
              <w:rPr>
                <w:b/>
                <w:bCs/>
              </w:rPr>
              <w:t xml:space="preserve"> VI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rPr>
                <w:b/>
                <w:bCs/>
              </w:rPr>
            </w:pPr>
            <w:r w:rsidRPr="00DF367D">
              <w:rPr>
                <w:b/>
                <w:bCs/>
              </w:rPr>
              <w:t xml:space="preserve"> CCN huyện Can Lộc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rPr>
                <w:b/>
                <w:bCs/>
              </w:rPr>
            </w:pPr>
            <w:r w:rsidRPr="00DF367D">
              <w:rPr>
                <w:b/>
                <w:bCs/>
              </w:rPr>
              <w:t>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848E4" w:rsidRPr="00DF367D" w:rsidRDefault="00A848E4" w:rsidP="00FA423C">
            <w:pPr>
              <w:jc w:val="center"/>
            </w:pPr>
            <w:r w:rsidRPr="00DF367D">
              <w:t xml:space="preserve">   1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r w:rsidRPr="00DF367D">
              <w:t xml:space="preserve"> Đường giao thông nội cụm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pPr>
              <w:jc w:val="right"/>
            </w:pPr>
            <w:r w:rsidRPr="00DF367D">
              <w:t xml:space="preserve">    3,0 </w:t>
            </w:r>
          </w:p>
        </w:tc>
        <w:tc>
          <w:tcPr>
            <w:tcW w:w="0" w:type="auto"/>
            <w:tcBorders>
              <w:top w:val="nil"/>
              <w:left w:val="nil"/>
              <w:bottom w:val="single" w:sz="4" w:space="0" w:color="auto"/>
              <w:right w:val="single" w:sz="4" w:space="0" w:color="auto"/>
            </w:tcBorders>
            <w:shd w:val="clear" w:color="auto" w:fill="auto"/>
            <w:noWrap/>
            <w:vAlign w:val="center"/>
            <w:hideMark/>
          </w:tcPr>
          <w:p w:rsidR="00A848E4" w:rsidRPr="00DF367D" w:rsidRDefault="00A848E4" w:rsidP="00FA423C">
            <w:pPr>
              <w:jc w:val="right"/>
            </w:pPr>
            <w:r w:rsidRPr="00DF367D">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A848E4" w:rsidRPr="00DF367D" w:rsidRDefault="00A848E4" w:rsidP="00FA423C">
            <w:pPr>
              <w:jc w:val="center"/>
              <w:rPr>
                <w:b/>
                <w:bCs/>
              </w:rPr>
            </w:pPr>
            <w:r w:rsidRPr="00DF367D">
              <w:rPr>
                <w:b/>
                <w:bCs/>
              </w:rPr>
              <w:t xml:space="preserve"> VII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rPr>
                <w:b/>
                <w:bCs/>
              </w:rPr>
            </w:pPr>
            <w:r w:rsidRPr="00DF367D">
              <w:rPr>
                <w:b/>
                <w:bCs/>
              </w:rPr>
              <w:t xml:space="preserve"> CCN Trường Sơn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rPr>
                <w:b/>
                <w:bCs/>
              </w:rPr>
            </w:pPr>
            <w:r w:rsidRPr="00DF367D">
              <w:rPr>
                <w:b/>
                <w:bCs/>
              </w:rPr>
              <w:t>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pPr>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848E4" w:rsidRPr="00DF367D" w:rsidRDefault="00A848E4" w:rsidP="00FA423C">
            <w:pPr>
              <w:jc w:val="center"/>
            </w:pPr>
            <w:r w:rsidRPr="00DF367D">
              <w:t xml:space="preserve">   1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r w:rsidRPr="00DF367D">
              <w:t xml:space="preserve"> Đường giao thông nội cụm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pPr>
              <w:jc w:val="right"/>
            </w:pPr>
            <w:r w:rsidRPr="00DF367D">
              <w:t> </w:t>
            </w:r>
          </w:p>
        </w:tc>
        <w:tc>
          <w:tcPr>
            <w:tcW w:w="0" w:type="auto"/>
            <w:tcBorders>
              <w:top w:val="nil"/>
              <w:left w:val="nil"/>
              <w:bottom w:val="single" w:sz="4" w:space="0" w:color="auto"/>
              <w:right w:val="single" w:sz="4" w:space="0" w:color="auto"/>
            </w:tcBorders>
            <w:shd w:val="clear" w:color="auto" w:fill="auto"/>
            <w:noWrap/>
            <w:vAlign w:val="center"/>
            <w:hideMark/>
          </w:tcPr>
          <w:p w:rsidR="00A848E4" w:rsidRPr="00DF367D" w:rsidRDefault="00A848E4" w:rsidP="00FA423C">
            <w:pPr>
              <w:jc w:val="right"/>
            </w:pPr>
            <w:r w:rsidRPr="00DF367D">
              <w:t xml:space="preserve">    2,0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A848E4" w:rsidRPr="00DF367D" w:rsidRDefault="00A848E4" w:rsidP="00FA423C">
            <w:pPr>
              <w:jc w:val="center"/>
              <w:rPr>
                <w:b/>
                <w:bCs/>
              </w:rPr>
            </w:pPr>
            <w:r w:rsidRPr="00DF367D">
              <w:rPr>
                <w:b/>
                <w:bCs/>
              </w:rPr>
              <w:t xml:space="preserve"> VIII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rPr>
                <w:b/>
                <w:bCs/>
              </w:rPr>
            </w:pPr>
            <w:r w:rsidRPr="00DF367D">
              <w:rPr>
                <w:b/>
                <w:bCs/>
              </w:rPr>
              <w:t xml:space="preserve"> CCN Yên Huy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rPr>
                <w:b/>
                <w:bCs/>
              </w:rPr>
            </w:pPr>
            <w:r w:rsidRPr="00DF367D">
              <w:rPr>
                <w:b/>
                <w:bCs/>
              </w:rPr>
              <w:t>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pPr>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848E4" w:rsidRPr="00DF367D" w:rsidRDefault="00A848E4" w:rsidP="00FA423C">
            <w:pPr>
              <w:jc w:val="center"/>
            </w:pPr>
            <w:r w:rsidRPr="00DF367D">
              <w:t xml:space="preserve">   1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r w:rsidRPr="00DF367D">
              <w:t xml:space="preserve"> Đường giao thông nội cụm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pPr>
              <w:jc w:val="right"/>
            </w:pPr>
            <w:r w:rsidRPr="00DF367D">
              <w:t> </w:t>
            </w:r>
          </w:p>
        </w:tc>
        <w:tc>
          <w:tcPr>
            <w:tcW w:w="0" w:type="auto"/>
            <w:tcBorders>
              <w:top w:val="nil"/>
              <w:left w:val="nil"/>
              <w:bottom w:val="single" w:sz="4" w:space="0" w:color="auto"/>
              <w:right w:val="single" w:sz="4" w:space="0" w:color="auto"/>
            </w:tcBorders>
            <w:shd w:val="clear" w:color="auto" w:fill="auto"/>
            <w:noWrap/>
            <w:vAlign w:val="center"/>
            <w:hideMark/>
          </w:tcPr>
          <w:p w:rsidR="00A848E4" w:rsidRPr="00DF367D" w:rsidRDefault="00A848E4" w:rsidP="00FA423C">
            <w:pPr>
              <w:jc w:val="right"/>
            </w:pPr>
            <w:r w:rsidRPr="00DF367D">
              <w:t xml:space="preserve">    2,0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A848E4" w:rsidRPr="00DF367D" w:rsidRDefault="00A848E4" w:rsidP="00FA423C">
            <w:pPr>
              <w:jc w:val="center"/>
              <w:rPr>
                <w:b/>
                <w:bCs/>
              </w:rPr>
            </w:pPr>
            <w:r w:rsidRPr="00DF367D">
              <w:rPr>
                <w:b/>
                <w:bCs/>
              </w:rPr>
              <w:t xml:space="preserve"> IX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rPr>
                <w:b/>
                <w:bCs/>
              </w:rPr>
            </w:pPr>
            <w:r w:rsidRPr="00DF367D">
              <w:rPr>
                <w:b/>
                <w:bCs/>
              </w:rPr>
              <w:t xml:space="preserve"> CCN Bắc Cẩm Xuyên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rPr>
                <w:b/>
                <w:bCs/>
              </w:rPr>
            </w:pPr>
            <w:r w:rsidRPr="00DF367D">
              <w:rPr>
                <w:b/>
                <w:bCs/>
              </w:rPr>
              <w:t>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pPr>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A848E4" w:rsidRPr="00DF367D" w:rsidRDefault="00A848E4" w:rsidP="00FA423C">
            <w:pPr>
              <w:jc w:val="center"/>
            </w:pPr>
            <w:r w:rsidRPr="00DF367D">
              <w:t xml:space="preserve">   1 </w:t>
            </w:r>
          </w:p>
        </w:tc>
        <w:tc>
          <w:tcPr>
            <w:tcW w:w="0" w:type="auto"/>
            <w:tcBorders>
              <w:top w:val="nil"/>
              <w:left w:val="nil"/>
              <w:bottom w:val="dotted" w:sz="4" w:space="0" w:color="auto"/>
              <w:right w:val="single" w:sz="4" w:space="0" w:color="auto"/>
            </w:tcBorders>
            <w:shd w:val="clear" w:color="auto" w:fill="auto"/>
            <w:vAlign w:val="center"/>
            <w:hideMark/>
          </w:tcPr>
          <w:p w:rsidR="00A848E4" w:rsidRPr="00DF367D" w:rsidRDefault="00A848E4" w:rsidP="00FA423C">
            <w:r w:rsidRPr="00DF367D">
              <w:t xml:space="preserve"> Trả nợ khối lượng hoàn thành công trình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pPr>
            <w:r w:rsidRPr="00DF367D">
              <w:t xml:space="preserve">    1,0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pPr>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848E4" w:rsidRPr="00DF367D" w:rsidRDefault="00A848E4" w:rsidP="00FA423C">
            <w:pPr>
              <w:jc w:val="center"/>
            </w:pPr>
            <w:r w:rsidRPr="00DF367D">
              <w:t xml:space="preserve">   2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r w:rsidRPr="00DF367D">
              <w:t xml:space="preserve"> Đường giao thông nội cụm </w:t>
            </w:r>
          </w:p>
        </w:tc>
        <w:tc>
          <w:tcPr>
            <w:tcW w:w="0" w:type="auto"/>
            <w:tcBorders>
              <w:top w:val="nil"/>
              <w:left w:val="nil"/>
              <w:bottom w:val="single" w:sz="4" w:space="0" w:color="auto"/>
              <w:right w:val="single" w:sz="4" w:space="0" w:color="auto"/>
            </w:tcBorders>
            <w:shd w:val="clear" w:color="auto" w:fill="auto"/>
            <w:noWrap/>
            <w:vAlign w:val="center"/>
            <w:hideMark/>
          </w:tcPr>
          <w:p w:rsidR="00A848E4" w:rsidRPr="00DF367D" w:rsidRDefault="00A848E4" w:rsidP="00FA423C">
            <w:pPr>
              <w:jc w:val="right"/>
            </w:pPr>
            <w:r w:rsidRPr="00DF367D">
              <w:t xml:space="preserve">    2,0 </w:t>
            </w:r>
          </w:p>
        </w:tc>
        <w:tc>
          <w:tcPr>
            <w:tcW w:w="0" w:type="auto"/>
            <w:tcBorders>
              <w:top w:val="nil"/>
              <w:left w:val="nil"/>
              <w:bottom w:val="single" w:sz="4" w:space="0" w:color="auto"/>
              <w:right w:val="single" w:sz="4" w:space="0" w:color="auto"/>
            </w:tcBorders>
            <w:shd w:val="clear" w:color="auto" w:fill="auto"/>
            <w:noWrap/>
            <w:vAlign w:val="center"/>
            <w:hideMark/>
          </w:tcPr>
          <w:p w:rsidR="00A848E4" w:rsidRPr="00DF367D" w:rsidRDefault="00A848E4" w:rsidP="00FA423C">
            <w:pPr>
              <w:jc w:val="right"/>
            </w:pPr>
            <w:r w:rsidRPr="00DF367D">
              <w:t>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A848E4" w:rsidRPr="00DF367D" w:rsidRDefault="00A848E4" w:rsidP="00FA423C">
            <w:pPr>
              <w:jc w:val="center"/>
              <w:rPr>
                <w:b/>
                <w:bCs/>
              </w:rPr>
            </w:pPr>
            <w:r w:rsidRPr="00DF367D">
              <w:rPr>
                <w:b/>
                <w:bCs/>
              </w:rPr>
              <w:t xml:space="preserve"> X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rPr>
                <w:b/>
                <w:bCs/>
              </w:rPr>
            </w:pPr>
            <w:r w:rsidRPr="00DF367D">
              <w:rPr>
                <w:b/>
                <w:bCs/>
              </w:rPr>
              <w:t xml:space="preserve"> CCN Thạch Kim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rPr>
                <w:b/>
                <w:bCs/>
              </w:rPr>
            </w:pPr>
            <w:r w:rsidRPr="00DF367D">
              <w:rPr>
                <w:b/>
                <w:bCs/>
              </w:rPr>
              <w:t> </w:t>
            </w:r>
          </w:p>
        </w:tc>
        <w:tc>
          <w:tcPr>
            <w:tcW w:w="0" w:type="auto"/>
            <w:tcBorders>
              <w:top w:val="nil"/>
              <w:left w:val="nil"/>
              <w:bottom w:val="dotted" w:sz="4" w:space="0" w:color="auto"/>
              <w:right w:val="single" w:sz="4" w:space="0" w:color="auto"/>
            </w:tcBorders>
            <w:shd w:val="clear" w:color="auto" w:fill="auto"/>
            <w:noWrap/>
            <w:vAlign w:val="center"/>
            <w:hideMark/>
          </w:tcPr>
          <w:p w:rsidR="00A848E4" w:rsidRPr="00DF367D" w:rsidRDefault="00A848E4" w:rsidP="00FA423C">
            <w:pPr>
              <w:jc w:val="right"/>
            </w:pPr>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dotted"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DF367D" w:rsidRPr="00DF367D" w:rsidTr="00A848E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848E4" w:rsidRPr="00DF367D" w:rsidRDefault="00A848E4" w:rsidP="00FA423C">
            <w:pPr>
              <w:jc w:val="center"/>
            </w:pPr>
            <w:r w:rsidRPr="00DF367D">
              <w:t xml:space="preserve">   1 </w:t>
            </w:r>
          </w:p>
        </w:tc>
        <w:tc>
          <w:tcPr>
            <w:tcW w:w="0" w:type="auto"/>
            <w:tcBorders>
              <w:top w:val="nil"/>
              <w:left w:val="nil"/>
              <w:bottom w:val="single" w:sz="4" w:space="0" w:color="auto"/>
              <w:right w:val="single" w:sz="4" w:space="0" w:color="auto"/>
            </w:tcBorders>
            <w:shd w:val="clear" w:color="auto" w:fill="auto"/>
            <w:vAlign w:val="center"/>
            <w:hideMark/>
          </w:tcPr>
          <w:p w:rsidR="00A848E4" w:rsidRPr="00DF367D" w:rsidRDefault="00A848E4" w:rsidP="00FA423C">
            <w:r w:rsidRPr="00DF367D">
              <w:t xml:space="preserve"> Trả nợ khối lượng hoàn thành công trình </w:t>
            </w:r>
          </w:p>
        </w:tc>
        <w:tc>
          <w:tcPr>
            <w:tcW w:w="0" w:type="auto"/>
            <w:tcBorders>
              <w:top w:val="nil"/>
              <w:left w:val="nil"/>
              <w:bottom w:val="single" w:sz="4" w:space="0" w:color="auto"/>
              <w:right w:val="single" w:sz="4" w:space="0" w:color="auto"/>
            </w:tcBorders>
            <w:shd w:val="clear" w:color="auto" w:fill="auto"/>
            <w:noWrap/>
            <w:vAlign w:val="center"/>
            <w:hideMark/>
          </w:tcPr>
          <w:p w:rsidR="00A848E4" w:rsidRPr="00DF367D" w:rsidRDefault="00A848E4" w:rsidP="00FA423C">
            <w:pPr>
              <w:jc w:val="right"/>
            </w:pPr>
            <w:r w:rsidRPr="00DF367D">
              <w:t xml:space="preserve">    2,0 </w:t>
            </w:r>
          </w:p>
        </w:tc>
        <w:tc>
          <w:tcPr>
            <w:tcW w:w="0" w:type="auto"/>
            <w:tcBorders>
              <w:top w:val="nil"/>
              <w:left w:val="nil"/>
              <w:bottom w:val="single" w:sz="4" w:space="0" w:color="auto"/>
              <w:right w:val="single" w:sz="4" w:space="0" w:color="auto"/>
            </w:tcBorders>
            <w:shd w:val="clear" w:color="auto" w:fill="auto"/>
            <w:noWrap/>
            <w:vAlign w:val="center"/>
            <w:hideMark/>
          </w:tcPr>
          <w:p w:rsidR="00A848E4" w:rsidRPr="00DF367D" w:rsidRDefault="00A848E4" w:rsidP="00FA423C">
            <w:pPr>
              <w:jc w:val="right"/>
            </w:pPr>
            <w:r w:rsidRPr="00DF367D">
              <w:t>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r w:rsidRPr="00DF367D">
              <w:t> </w:t>
            </w:r>
          </w:p>
        </w:tc>
      </w:tr>
      <w:tr w:rsidR="00A848E4" w:rsidRPr="00DF367D" w:rsidTr="00A848E4">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48E4" w:rsidRPr="00DF367D" w:rsidRDefault="00A848E4" w:rsidP="00FA423C">
            <w:pPr>
              <w:jc w:val="center"/>
              <w:rPr>
                <w:b/>
                <w:bCs/>
              </w:rPr>
            </w:pPr>
            <w:r w:rsidRPr="00DF367D">
              <w:rPr>
                <w:b/>
                <w:bCs/>
              </w:rPr>
              <w:t xml:space="preserve"> Tổng cộng </w:t>
            </w:r>
          </w:p>
        </w:tc>
        <w:tc>
          <w:tcPr>
            <w:tcW w:w="0" w:type="auto"/>
            <w:tcBorders>
              <w:top w:val="nil"/>
              <w:left w:val="nil"/>
              <w:bottom w:val="single" w:sz="4" w:space="0" w:color="auto"/>
              <w:right w:val="single" w:sz="4" w:space="0" w:color="auto"/>
            </w:tcBorders>
            <w:shd w:val="clear" w:color="auto" w:fill="auto"/>
            <w:noWrap/>
            <w:vAlign w:val="center"/>
            <w:hideMark/>
          </w:tcPr>
          <w:p w:rsidR="00A848E4" w:rsidRPr="00DF367D" w:rsidRDefault="00A848E4" w:rsidP="00FA423C">
            <w:pPr>
              <w:jc w:val="right"/>
              <w:rPr>
                <w:b/>
                <w:bCs/>
              </w:rPr>
            </w:pPr>
            <w:r w:rsidRPr="00DF367D">
              <w:rPr>
                <w:b/>
                <w:bCs/>
              </w:rPr>
              <w:t xml:space="preserve"> 18,2 </w:t>
            </w:r>
          </w:p>
        </w:tc>
        <w:tc>
          <w:tcPr>
            <w:tcW w:w="0" w:type="auto"/>
            <w:tcBorders>
              <w:top w:val="nil"/>
              <w:left w:val="nil"/>
              <w:bottom w:val="single" w:sz="4" w:space="0" w:color="auto"/>
              <w:right w:val="single" w:sz="4" w:space="0" w:color="auto"/>
            </w:tcBorders>
            <w:shd w:val="clear" w:color="auto" w:fill="auto"/>
            <w:noWrap/>
            <w:vAlign w:val="center"/>
            <w:hideMark/>
          </w:tcPr>
          <w:p w:rsidR="00A848E4" w:rsidRPr="00DF367D" w:rsidRDefault="00A848E4" w:rsidP="00FA423C">
            <w:pPr>
              <w:jc w:val="right"/>
              <w:rPr>
                <w:b/>
                <w:bCs/>
              </w:rPr>
            </w:pPr>
            <w:r w:rsidRPr="00DF367D">
              <w:rPr>
                <w:b/>
                <w:bCs/>
              </w:rPr>
              <w:t xml:space="preserve"> 17,2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pPr>
              <w:rPr>
                <w:b/>
                <w:bCs/>
              </w:rPr>
            </w:pPr>
            <w:r w:rsidRPr="00DF367D">
              <w:rPr>
                <w:b/>
                <w:bC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A848E4" w:rsidRPr="00DF367D" w:rsidRDefault="00A848E4" w:rsidP="00FA423C">
            <w:pPr>
              <w:rPr>
                <w:b/>
                <w:bCs/>
              </w:rPr>
            </w:pPr>
            <w:r w:rsidRPr="00DF367D">
              <w:rPr>
                <w:b/>
                <w:bCs/>
              </w:rPr>
              <w:t xml:space="preserve">      -   </w:t>
            </w:r>
          </w:p>
        </w:tc>
      </w:tr>
    </w:tbl>
    <w:p w:rsidR="00A848E4" w:rsidRPr="00DF367D" w:rsidRDefault="00A848E4" w:rsidP="001250C0">
      <w:pPr>
        <w:rPr>
          <w:b/>
          <w:bCs/>
          <w:i/>
          <w:iCs/>
        </w:rPr>
      </w:pPr>
    </w:p>
    <w:p w:rsidR="00A848E4" w:rsidRPr="00DF367D" w:rsidRDefault="00A848E4" w:rsidP="00A848E4">
      <w:pPr>
        <w:tabs>
          <w:tab w:val="left" w:pos="5220"/>
        </w:tabs>
      </w:pPr>
      <w:r w:rsidRPr="00DF367D">
        <w:tab/>
      </w:r>
    </w:p>
    <w:sectPr w:rsidR="00A848E4" w:rsidRPr="00DF367D" w:rsidSect="00A848E4">
      <w:footerReference w:type="even" r:id="rId9"/>
      <w:footerReference w:type="default" r:id="rId10"/>
      <w:pgSz w:w="11907" w:h="16839" w:code="9"/>
      <w:pgMar w:top="851" w:right="1134" w:bottom="851"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3C" w:rsidRDefault="00CC553C">
      <w:r>
        <w:separator/>
      </w:r>
    </w:p>
  </w:endnote>
  <w:endnote w:type="continuationSeparator" w:id="0">
    <w:p w:rsidR="00CC553C" w:rsidRDefault="00CC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E6" w:rsidRDefault="00F604EB" w:rsidP="00F21EB8">
    <w:pPr>
      <w:pStyle w:val="Footer"/>
      <w:framePr w:wrap="around" w:vAnchor="text" w:hAnchor="margin" w:xAlign="right" w:y="1"/>
      <w:rPr>
        <w:rStyle w:val="PageNumber"/>
      </w:rPr>
    </w:pPr>
    <w:r>
      <w:rPr>
        <w:rStyle w:val="PageNumber"/>
      </w:rPr>
      <w:fldChar w:fldCharType="begin"/>
    </w:r>
    <w:r w:rsidR="00F419E6">
      <w:rPr>
        <w:rStyle w:val="PageNumber"/>
      </w:rPr>
      <w:instrText xml:space="preserve">PAGE  </w:instrText>
    </w:r>
    <w:r>
      <w:rPr>
        <w:rStyle w:val="PageNumber"/>
      </w:rPr>
      <w:fldChar w:fldCharType="end"/>
    </w:r>
  </w:p>
  <w:p w:rsidR="00F419E6" w:rsidRDefault="00F419E6" w:rsidP="009F2F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E6" w:rsidRPr="00A848E4" w:rsidRDefault="00F604EB" w:rsidP="00F21EB8">
    <w:pPr>
      <w:pStyle w:val="Footer"/>
      <w:framePr w:wrap="around" w:vAnchor="text" w:hAnchor="margin" w:xAlign="right" w:y="1"/>
      <w:rPr>
        <w:rStyle w:val="PageNumber"/>
        <w:sz w:val="26"/>
        <w:szCs w:val="26"/>
      </w:rPr>
    </w:pPr>
    <w:r w:rsidRPr="00A848E4">
      <w:rPr>
        <w:rStyle w:val="PageNumber"/>
        <w:sz w:val="26"/>
        <w:szCs w:val="26"/>
      </w:rPr>
      <w:fldChar w:fldCharType="begin"/>
    </w:r>
    <w:r w:rsidR="00F419E6" w:rsidRPr="00A848E4">
      <w:rPr>
        <w:rStyle w:val="PageNumber"/>
        <w:sz w:val="26"/>
        <w:szCs w:val="26"/>
      </w:rPr>
      <w:instrText xml:space="preserve">PAGE  </w:instrText>
    </w:r>
    <w:r w:rsidRPr="00A848E4">
      <w:rPr>
        <w:rStyle w:val="PageNumber"/>
        <w:sz w:val="26"/>
        <w:szCs w:val="26"/>
      </w:rPr>
      <w:fldChar w:fldCharType="separate"/>
    </w:r>
    <w:r w:rsidR="00B3789D">
      <w:rPr>
        <w:rStyle w:val="PageNumber"/>
        <w:noProof/>
        <w:sz w:val="26"/>
        <w:szCs w:val="26"/>
      </w:rPr>
      <w:t>1</w:t>
    </w:r>
    <w:r w:rsidRPr="00A848E4">
      <w:rPr>
        <w:rStyle w:val="PageNumber"/>
        <w:sz w:val="26"/>
        <w:szCs w:val="26"/>
      </w:rPr>
      <w:fldChar w:fldCharType="end"/>
    </w:r>
  </w:p>
  <w:p w:rsidR="00F419E6" w:rsidRDefault="00F419E6" w:rsidP="00A848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3C" w:rsidRDefault="00CC553C">
      <w:r>
        <w:separator/>
      </w:r>
    </w:p>
  </w:footnote>
  <w:footnote w:type="continuationSeparator" w:id="0">
    <w:p w:rsidR="00CC553C" w:rsidRDefault="00CC5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0F1"/>
    <w:multiLevelType w:val="hybridMultilevel"/>
    <w:tmpl w:val="EDC2D1F2"/>
    <w:lvl w:ilvl="0" w:tplc="68B68D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A270AF9"/>
    <w:multiLevelType w:val="hybridMultilevel"/>
    <w:tmpl w:val="A69E6AAA"/>
    <w:lvl w:ilvl="0" w:tplc="520623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nsid w:val="486C2016"/>
    <w:multiLevelType w:val="hybridMultilevel"/>
    <w:tmpl w:val="609EE648"/>
    <w:lvl w:ilvl="0" w:tplc="1918F44A">
      <w:start w:val="136"/>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3">
    <w:nsid w:val="576159AF"/>
    <w:multiLevelType w:val="hybridMultilevel"/>
    <w:tmpl w:val="25DCE730"/>
    <w:lvl w:ilvl="0" w:tplc="F84C0D8C">
      <w:start w:val="1"/>
      <w:numFmt w:val="decimal"/>
      <w:lvlText w:val="%1."/>
      <w:lvlJc w:val="left"/>
      <w:pPr>
        <w:ind w:left="921" w:hanging="360"/>
      </w:pPr>
      <w:rPr>
        <w:rFonts w:hint="default"/>
      </w:rPr>
    </w:lvl>
    <w:lvl w:ilvl="1" w:tplc="042A0019" w:tentative="1">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4">
    <w:nsid w:val="5DCD5AC6"/>
    <w:multiLevelType w:val="hybridMultilevel"/>
    <w:tmpl w:val="92041A78"/>
    <w:lvl w:ilvl="0" w:tplc="4A78441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nsid w:val="6CFA7DA6"/>
    <w:multiLevelType w:val="hybridMultilevel"/>
    <w:tmpl w:val="567EB7AA"/>
    <w:lvl w:ilvl="0" w:tplc="5B74032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nsid w:val="7AC416D5"/>
    <w:multiLevelType w:val="hybridMultilevel"/>
    <w:tmpl w:val="1C2E58DC"/>
    <w:lvl w:ilvl="0" w:tplc="1CD2041C">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86"/>
    <w:rsid w:val="00007561"/>
    <w:rsid w:val="00011BA6"/>
    <w:rsid w:val="0002341C"/>
    <w:rsid w:val="00027464"/>
    <w:rsid w:val="00030DED"/>
    <w:rsid w:val="00034186"/>
    <w:rsid w:val="00036E0C"/>
    <w:rsid w:val="00042CA5"/>
    <w:rsid w:val="0004509E"/>
    <w:rsid w:val="00047E77"/>
    <w:rsid w:val="000515CE"/>
    <w:rsid w:val="0006101F"/>
    <w:rsid w:val="00066C0F"/>
    <w:rsid w:val="00081EF4"/>
    <w:rsid w:val="00082608"/>
    <w:rsid w:val="00082C25"/>
    <w:rsid w:val="00087677"/>
    <w:rsid w:val="000934A6"/>
    <w:rsid w:val="0009746F"/>
    <w:rsid w:val="000B0B2D"/>
    <w:rsid w:val="000B24CC"/>
    <w:rsid w:val="000B4415"/>
    <w:rsid w:val="000B6A33"/>
    <w:rsid w:val="000B7EDA"/>
    <w:rsid w:val="000C25E9"/>
    <w:rsid w:val="000D0039"/>
    <w:rsid w:val="000D55F8"/>
    <w:rsid w:val="000D6DFD"/>
    <w:rsid w:val="000E5BDC"/>
    <w:rsid w:val="0010124D"/>
    <w:rsid w:val="00101387"/>
    <w:rsid w:val="0010197E"/>
    <w:rsid w:val="001019A9"/>
    <w:rsid w:val="00101A94"/>
    <w:rsid w:val="001030DA"/>
    <w:rsid w:val="00110C39"/>
    <w:rsid w:val="0011390C"/>
    <w:rsid w:val="00117141"/>
    <w:rsid w:val="001250C0"/>
    <w:rsid w:val="00130100"/>
    <w:rsid w:val="00130222"/>
    <w:rsid w:val="00133122"/>
    <w:rsid w:val="001542F5"/>
    <w:rsid w:val="00157925"/>
    <w:rsid w:val="0016393D"/>
    <w:rsid w:val="00164062"/>
    <w:rsid w:val="001677FC"/>
    <w:rsid w:val="001711D5"/>
    <w:rsid w:val="0017429B"/>
    <w:rsid w:val="00175624"/>
    <w:rsid w:val="00176692"/>
    <w:rsid w:val="00180F87"/>
    <w:rsid w:val="00187633"/>
    <w:rsid w:val="00191117"/>
    <w:rsid w:val="00191B7B"/>
    <w:rsid w:val="00195ECE"/>
    <w:rsid w:val="001A00F1"/>
    <w:rsid w:val="001A275A"/>
    <w:rsid w:val="001B1008"/>
    <w:rsid w:val="001B2729"/>
    <w:rsid w:val="001B5E3E"/>
    <w:rsid w:val="001C0236"/>
    <w:rsid w:val="001D1594"/>
    <w:rsid w:val="001D2ABF"/>
    <w:rsid w:val="001D45B6"/>
    <w:rsid w:val="001E768A"/>
    <w:rsid w:val="001F1129"/>
    <w:rsid w:val="001F2042"/>
    <w:rsid w:val="001F4386"/>
    <w:rsid w:val="00200F05"/>
    <w:rsid w:val="00202491"/>
    <w:rsid w:val="002105C6"/>
    <w:rsid w:val="00211248"/>
    <w:rsid w:val="002220FB"/>
    <w:rsid w:val="00222B1D"/>
    <w:rsid w:val="00230360"/>
    <w:rsid w:val="00235DAC"/>
    <w:rsid w:val="00246504"/>
    <w:rsid w:val="00246ECC"/>
    <w:rsid w:val="00251554"/>
    <w:rsid w:val="00252B13"/>
    <w:rsid w:val="002575BE"/>
    <w:rsid w:val="002608BE"/>
    <w:rsid w:val="002673D0"/>
    <w:rsid w:val="002718B2"/>
    <w:rsid w:val="0027497B"/>
    <w:rsid w:val="00292F6B"/>
    <w:rsid w:val="0029468C"/>
    <w:rsid w:val="002A17AC"/>
    <w:rsid w:val="002A37F3"/>
    <w:rsid w:val="002A3CF4"/>
    <w:rsid w:val="002A6306"/>
    <w:rsid w:val="002B39C1"/>
    <w:rsid w:val="002C0680"/>
    <w:rsid w:val="002C3A49"/>
    <w:rsid w:val="002C7F3A"/>
    <w:rsid w:val="002D3FCD"/>
    <w:rsid w:val="002D7513"/>
    <w:rsid w:val="002D7944"/>
    <w:rsid w:val="002D7F80"/>
    <w:rsid w:val="002E288B"/>
    <w:rsid w:val="002E49B4"/>
    <w:rsid w:val="002E6B07"/>
    <w:rsid w:val="002E7367"/>
    <w:rsid w:val="002F6E8C"/>
    <w:rsid w:val="003009A8"/>
    <w:rsid w:val="00301CDA"/>
    <w:rsid w:val="00304E37"/>
    <w:rsid w:val="00310CFE"/>
    <w:rsid w:val="00313717"/>
    <w:rsid w:val="00323F72"/>
    <w:rsid w:val="00327072"/>
    <w:rsid w:val="00330C30"/>
    <w:rsid w:val="0033334E"/>
    <w:rsid w:val="00337A52"/>
    <w:rsid w:val="00341C05"/>
    <w:rsid w:val="0034392A"/>
    <w:rsid w:val="003469FC"/>
    <w:rsid w:val="00347F0D"/>
    <w:rsid w:val="00351EF8"/>
    <w:rsid w:val="00351F71"/>
    <w:rsid w:val="0035653C"/>
    <w:rsid w:val="00360D8A"/>
    <w:rsid w:val="00362AE6"/>
    <w:rsid w:val="0036537A"/>
    <w:rsid w:val="00376B06"/>
    <w:rsid w:val="003817D0"/>
    <w:rsid w:val="0038303D"/>
    <w:rsid w:val="0038642A"/>
    <w:rsid w:val="0039632C"/>
    <w:rsid w:val="00396B39"/>
    <w:rsid w:val="003972EB"/>
    <w:rsid w:val="00397EFD"/>
    <w:rsid w:val="003A2192"/>
    <w:rsid w:val="003A3272"/>
    <w:rsid w:val="003A3469"/>
    <w:rsid w:val="003B0355"/>
    <w:rsid w:val="003B1612"/>
    <w:rsid w:val="003B1933"/>
    <w:rsid w:val="003B61D1"/>
    <w:rsid w:val="003B7FBD"/>
    <w:rsid w:val="003C26D9"/>
    <w:rsid w:val="003C35EE"/>
    <w:rsid w:val="003D209D"/>
    <w:rsid w:val="003D4033"/>
    <w:rsid w:val="003E13B4"/>
    <w:rsid w:val="003F12D0"/>
    <w:rsid w:val="003F5AAE"/>
    <w:rsid w:val="003F65CA"/>
    <w:rsid w:val="00400513"/>
    <w:rsid w:val="004054CD"/>
    <w:rsid w:val="004062D8"/>
    <w:rsid w:val="0040724F"/>
    <w:rsid w:val="00420175"/>
    <w:rsid w:val="004237B6"/>
    <w:rsid w:val="00424D52"/>
    <w:rsid w:val="00431B34"/>
    <w:rsid w:val="004458D4"/>
    <w:rsid w:val="004468EC"/>
    <w:rsid w:val="00465B5C"/>
    <w:rsid w:val="00471123"/>
    <w:rsid w:val="004763C2"/>
    <w:rsid w:val="0048343D"/>
    <w:rsid w:val="00486085"/>
    <w:rsid w:val="00497C23"/>
    <w:rsid w:val="004B226E"/>
    <w:rsid w:val="004C3DCD"/>
    <w:rsid w:val="004D47AD"/>
    <w:rsid w:val="004F2FFE"/>
    <w:rsid w:val="004F7513"/>
    <w:rsid w:val="005045EF"/>
    <w:rsid w:val="00510249"/>
    <w:rsid w:val="00510AC5"/>
    <w:rsid w:val="00514A92"/>
    <w:rsid w:val="00516566"/>
    <w:rsid w:val="005177B1"/>
    <w:rsid w:val="00525D05"/>
    <w:rsid w:val="00527F74"/>
    <w:rsid w:val="005423F5"/>
    <w:rsid w:val="00544367"/>
    <w:rsid w:val="0054599C"/>
    <w:rsid w:val="00555CF0"/>
    <w:rsid w:val="00560F1C"/>
    <w:rsid w:val="005670B3"/>
    <w:rsid w:val="00573C7D"/>
    <w:rsid w:val="00576F74"/>
    <w:rsid w:val="00586294"/>
    <w:rsid w:val="005925C5"/>
    <w:rsid w:val="00595B4D"/>
    <w:rsid w:val="005A2F16"/>
    <w:rsid w:val="005A5ED5"/>
    <w:rsid w:val="005A66AE"/>
    <w:rsid w:val="005A7C41"/>
    <w:rsid w:val="005B0E51"/>
    <w:rsid w:val="005B4C8A"/>
    <w:rsid w:val="005C1974"/>
    <w:rsid w:val="005C25BA"/>
    <w:rsid w:val="005C5F3F"/>
    <w:rsid w:val="005C647C"/>
    <w:rsid w:val="005C69E4"/>
    <w:rsid w:val="005E0D97"/>
    <w:rsid w:val="005E0E6B"/>
    <w:rsid w:val="005E2021"/>
    <w:rsid w:val="005E37CC"/>
    <w:rsid w:val="005E6A3E"/>
    <w:rsid w:val="005F0800"/>
    <w:rsid w:val="005F4E42"/>
    <w:rsid w:val="005F61A6"/>
    <w:rsid w:val="00603C02"/>
    <w:rsid w:val="00605404"/>
    <w:rsid w:val="006110FB"/>
    <w:rsid w:val="00631E80"/>
    <w:rsid w:val="00650B65"/>
    <w:rsid w:val="00652633"/>
    <w:rsid w:val="00657CD6"/>
    <w:rsid w:val="0067119B"/>
    <w:rsid w:val="00684381"/>
    <w:rsid w:val="00685403"/>
    <w:rsid w:val="0069022B"/>
    <w:rsid w:val="00692A99"/>
    <w:rsid w:val="0069316B"/>
    <w:rsid w:val="006961E6"/>
    <w:rsid w:val="006B07C0"/>
    <w:rsid w:val="006B2835"/>
    <w:rsid w:val="006B6890"/>
    <w:rsid w:val="006B7CD7"/>
    <w:rsid w:val="006C0187"/>
    <w:rsid w:val="006C2596"/>
    <w:rsid w:val="006C57D1"/>
    <w:rsid w:val="006D4F00"/>
    <w:rsid w:val="006D7907"/>
    <w:rsid w:val="006E1F51"/>
    <w:rsid w:val="006E3788"/>
    <w:rsid w:val="006E37E1"/>
    <w:rsid w:val="006E72AA"/>
    <w:rsid w:val="006E74BB"/>
    <w:rsid w:val="006F56C3"/>
    <w:rsid w:val="006F64D3"/>
    <w:rsid w:val="007008B0"/>
    <w:rsid w:val="00702CBC"/>
    <w:rsid w:val="007058DD"/>
    <w:rsid w:val="0071000C"/>
    <w:rsid w:val="007102CB"/>
    <w:rsid w:val="0071099A"/>
    <w:rsid w:val="00710BAE"/>
    <w:rsid w:val="00710C03"/>
    <w:rsid w:val="007218E8"/>
    <w:rsid w:val="00723B9F"/>
    <w:rsid w:val="007306A9"/>
    <w:rsid w:val="0073404D"/>
    <w:rsid w:val="00743B28"/>
    <w:rsid w:val="00745E4E"/>
    <w:rsid w:val="00747F89"/>
    <w:rsid w:val="00752627"/>
    <w:rsid w:val="00752A14"/>
    <w:rsid w:val="0075571D"/>
    <w:rsid w:val="0076748C"/>
    <w:rsid w:val="00770678"/>
    <w:rsid w:val="00770CE9"/>
    <w:rsid w:val="007741FA"/>
    <w:rsid w:val="00776641"/>
    <w:rsid w:val="007816EB"/>
    <w:rsid w:val="00782238"/>
    <w:rsid w:val="00782620"/>
    <w:rsid w:val="00784E90"/>
    <w:rsid w:val="00790901"/>
    <w:rsid w:val="00796296"/>
    <w:rsid w:val="007A08AF"/>
    <w:rsid w:val="007A72E1"/>
    <w:rsid w:val="007C3DB9"/>
    <w:rsid w:val="007D42E3"/>
    <w:rsid w:val="007D5D44"/>
    <w:rsid w:val="007D7519"/>
    <w:rsid w:val="007D7535"/>
    <w:rsid w:val="007E7927"/>
    <w:rsid w:val="007F1163"/>
    <w:rsid w:val="0080083E"/>
    <w:rsid w:val="00801006"/>
    <w:rsid w:val="00801CF4"/>
    <w:rsid w:val="00802DE1"/>
    <w:rsid w:val="008030ED"/>
    <w:rsid w:val="00811607"/>
    <w:rsid w:val="00811888"/>
    <w:rsid w:val="00813D91"/>
    <w:rsid w:val="00827811"/>
    <w:rsid w:val="00833572"/>
    <w:rsid w:val="008342FB"/>
    <w:rsid w:val="008365B6"/>
    <w:rsid w:val="00840948"/>
    <w:rsid w:val="00845D78"/>
    <w:rsid w:val="00854F91"/>
    <w:rsid w:val="00856690"/>
    <w:rsid w:val="00861CA2"/>
    <w:rsid w:val="0086765F"/>
    <w:rsid w:val="008706ED"/>
    <w:rsid w:val="00872265"/>
    <w:rsid w:val="00873642"/>
    <w:rsid w:val="008737EB"/>
    <w:rsid w:val="00875FA0"/>
    <w:rsid w:val="0088023F"/>
    <w:rsid w:val="00881D7A"/>
    <w:rsid w:val="00884BA2"/>
    <w:rsid w:val="00885B07"/>
    <w:rsid w:val="00890471"/>
    <w:rsid w:val="008D06C1"/>
    <w:rsid w:val="008D1D92"/>
    <w:rsid w:val="008D22DF"/>
    <w:rsid w:val="008D33C1"/>
    <w:rsid w:val="008D3EE2"/>
    <w:rsid w:val="008E7ECE"/>
    <w:rsid w:val="008F0773"/>
    <w:rsid w:val="009007FE"/>
    <w:rsid w:val="00902DD4"/>
    <w:rsid w:val="00907025"/>
    <w:rsid w:val="00916094"/>
    <w:rsid w:val="00916699"/>
    <w:rsid w:val="00926504"/>
    <w:rsid w:val="00941D36"/>
    <w:rsid w:val="00967127"/>
    <w:rsid w:val="00967A76"/>
    <w:rsid w:val="009843AF"/>
    <w:rsid w:val="00990130"/>
    <w:rsid w:val="0099513C"/>
    <w:rsid w:val="009974C9"/>
    <w:rsid w:val="009A1215"/>
    <w:rsid w:val="009A2CA5"/>
    <w:rsid w:val="009B12CB"/>
    <w:rsid w:val="009B2777"/>
    <w:rsid w:val="009B6CB0"/>
    <w:rsid w:val="009C068A"/>
    <w:rsid w:val="009D1CCE"/>
    <w:rsid w:val="009D254D"/>
    <w:rsid w:val="009D455D"/>
    <w:rsid w:val="009D65E7"/>
    <w:rsid w:val="009D7BA6"/>
    <w:rsid w:val="009E472E"/>
    <w:rsid w:val="009E5730"/>
    <w:rsid w:val="009F112E"/>
    <w:rsid w:val="009F2FF6"/>
    <w:rsid w:val="009F4B79"/>
    <w:rsid w:val="00A029D8"/>
    <w:rsid w:val="00A042A7"/>
    <w:rsid w:val="00A06D03"/>
    <w:rsid w:val="00A116F5"/>
    <w:rsid w:val="00A11FC4"/>
    <w:rsid w:val="00A141E7"/>
    <w:rsid w:val="00A15951"/>
    <w:rsid w:val="00A22168"/>
    <w:rsid w:val="00A30AC0"/>
    <w:rsid w:val="00A322C6"/>
    <w:rsid w:val="00A35D55"/>
    <w:rsid w:val="00A36FDD"/>
    <w:rsid w:val="00A378EB"/>
    <w:rsid w:val="00A379E6"/>
    <w:rsid w:val="00A469C5"/>
    <w:rsid w:val="00A47A51"/>
    <w:rsid w:val="00A47F2E"/>
    <w:rsid w:val="00A569A8"/>
    <w:rsid w:val="00A56C8B"/>
    <w:rsid w:val="00A71850"/>
    <w:rsid w:val="00A762DB"/>
    <w:rsid w:val="00A775C6"/>
    <w:rsid w:val="00A848E4"/>
    <w:rsid w:val="00A84B09"/>
    <w:rsid w:val="00A93CF9"/>
    <w:rsid w:val="00AA1CCF"/>
    <w:rsid w:val="00AA444B"/>
    <w:rsid w:val="00AB209B"/>
    <w:rsid w:val="00AB258F"/>
    <w:rsid w:val="00AB68C7"/>
    <w:rsid w:val="00AC0AA2"/>
    <w:rsid w:val="00AC6EC4"/>
    <w:rsid w:val="00AC72D8"/>
    <w:rsid w:val="00AD1FC6"/>
    <w:rsid w:val="00AD5777"/>
    <w:rsid w:val="00AE4640"/>
    <w:rsid w:val="00AF1A4A"/>
    <w:rsid w:val="00AF23AA"/>
    <w:rsid w:val="00AF6007"/>
    <w:rsid w:val="00AF70F0"/>
    <w:rsid w:val="00AF76BD"/>
    <w:rsid w:val="00B06614"/>
    <w:rsid w:val="00B1197E"/>
    <w:rsid w:val="00B12500"/>
    <w:rsid w:val="00B131BA"/>
    <w:rsid w:val="00B26937"/>
    <w:rsid w:val="00B34010"/>
    <w:rsid w:val="00B37394"/>
    <w:rsid w:val="00B3789D"/>
    <w:rsid w:val="00B40DA6"/>
    <w:rsid w:val="00B43937"/>
    <w:rsid w:val="00B50350"/>
    <w:rsid w:val="00B53AFF"/>
    <w:rsid w:val="00B54589"/>
    <w:rsid w:val="00B57B60"/>
    <w:rsid w:val="00B65362"/>
    <w:rsid w:val="00B66FB2"/>
    <w:rsid w:val="00B708AE"/>
    <w:rsid w:val="00B753A8"/>
    <w:rsid w:val="00B80299"/>
    <w:rsid w:val="00B8107A"/>
    <w:rsid w:val="00B81BE5"/>
    <w:rsid w:val="00B82675"/>
    <w:rsid w:val="00B82FBD"/>
    <w:rsid w:val="00B84EA4"/>
    <w:rsid w:val="00B85F49"/>
    <w:rsid w:val="00B87BB8"/>
    <w:rsid w:val="00B97A32"/>
    <w:rsid w:val="00BB1C94"/>
    <w:rsid w:val="00BB6CCB"/>
    <w:rsid w:val="00BC2AFA"/>
    <w:rsid w:val="00BC3E94"/>
    <w:rsid w:val="00BC4446"/>
    <w:rsid w:val="00BC4591"/>
    <w:rsid w:val="00BD26D6"/>
    <w:rsid w:val="00BD3374"/>
    <w:rsid w:val="00BD4A52"/>
    <w:rsid w:val="00BE75DF"/>
    <w:rsid w:val="00BF3843"/>
    <w:rsid w:val="00C04A9B"/>
    <w:rsid w:val="00C06C69"/>
    <w:rsid w:val="00C13385"/>
    <w:rsid w:val="00C14197"/>
    <w:rsid w:val="00C142EF"/>
    <w:rsid w:val="00C14F56"/>
    <w:rsid w:val="00C15886"/>
    <w:rsid w:val="00C272A8"/>
    <w:rsid w:val="00C33793"/>
    <w:rsid w:val="00C340B8"/>
    <w:rsid w:val="00C34501"/>
    <w:rsid w:val="00C376C6"/>
    <w:rsid w:val="00C45D4F"/>
    <w:rsid w:val="00C4661A"/>
    <w:rsid w:val="00C46E28"/>
    <w:rsid w:val="00C47461"/>
    <w:rsid w:val="00C47BC0"/>
    <w:rsid w:val="00C5173A"/>
    <w:rsid w:val="00C527CF"/>
    <w:rsid w:val="00C54E96"/>
    <w:rsid w:val="00C6017C"/>
    <w:rsid w:val="00C66D3B"/>
    <w:rsid w:val="00C71F47"/>
    <w:rsid w:val="00C74B34"/>
    <w:rsid w:val="00C82C60"/>
    <w:rsid w:val="00C85344"/>
    <w:rsid w:val="00C90288"/>
    <w:rsid w:val="00CA074E"/>
    <w:rsid w:val="00CB1BB2"/>
    <w:rsid w:val="00CB3A46"/>
    <w:rsid w:val="00CB6124"/>
    <w:rsid w:val="00CB72FD"/>
    <w:rsid w:val="00CB7CA0"/>
    <w:rsid w:val="00CC553C"/>
    <w:rsid w:val="00CC6D60"/>
    <w:rsid w:val="00CC756E"/>
    <w:rsid w:val="00CD1BB1"/>
    <w:rsid w:val="00CE309C"/>
    <w:rsid w:val="00CF0EA9"/>
    <w:rsid w:val="00CF5BEE"/>
    <w:rsid w:val="00CF6A29"/>
    <w:rsid w:val="00CF6B06"/>
    <w:rsid w:val="00D00B52"/>
    <w:rsid w:val="00D037F5"/>
    <w:rsid w:val="00D05FE6"/>
    <w:rsid w:val="00D107F8"/>
    <w:rsid w:val="00D121FA"/>
    <w:rsid w:val="00D16F0E"/>
    <w:rsid w:val="00D32D83"/>
    <w:rsid w:val="00D43EAB"/>
    <w:rsid w:val="00D476B6"/>
    <w:rsid w:val="00D51C57"/>
    <w:rsid w:val="00D52A07"/>
    <w:rsid w:val="00D53D11"/>
    <w:rsid w:val="00D6053A"/>
    <w:rsid w:val="00D75D0A"/>
    <w:rsid w:val="00D85AC2"/>
    <w:rsid w:val="00D87247"/>
    <w:rsid w:val="00D91E29"/>
    <w:rsid w:val="00DA2711"/>
    <w:rsid w:val="00DB65D6"/>
    <w:rsid w:val="00DC1C14"/>
    <w:rsid w:val="00DC788C"/>
    <w:rsid w:val="00DD3562"/>
    <w:rsid w:val="00DE252E"/>
    <w:rsid w:val="00DF122C"/>
    <w:rsid w:val="00DF367D"/>
    <w:rsid w:val="00E06165"/>
    <w:rsid w:val="00E065F0"/>
    <w:rsid w:val="00E125DB"/>
    <w:rsid w:val="00E143EE"/>
    <w:rsid w:val="00E17791"/>
    <w:rsid w:val="00E227BC"/>
    <w:rsid w:val="00E25845"/>
    <w:rsid w:val="00E261B5"/>
    <w:rsid w:val="00E30452"/>
    <w:rsid w:val="00E32CB3"/>
    <w:rsid w:val="00E37F3E"/>
    <w:rsid w:val="00E47407"/>
    <w:rsid w:val="00E52BC4"/>
    <w:rsid w:val="00E54F1B"/>
    <w:rsid w:val="00E62DC2"/>
    <w:rsid w:val="00E63C5D"/>
    <w:rsid w:val="00E729CF"/>
    <w:rsid w:val="00E85D38"/>
    <w:rsid w:val="00E86B1D"/>
    <w:rsid w:val="00E90B01"/>
    <w:rsid w:val="00EA46C8"/>
    <w:rsid w:val="00EA5441"/>
    <w:rsid w:val="00EA5897"/>
    <w:rsid w:val="00EA6B47"/>
    <w:rsid w:val="00EA6EF6"/>
    <w:rsid w:val="00EC250B"/>
    <w:rsid w:val="00EC3A78"/>
    <w:rsid w:val="00EC49A9"/>
    <w:rsid w:val="00EE10AD"/>
    <w:rsid w:val="00EE2378"/>
    <w:rsid w:val="00EE2610"/>
    <w:rsid w:val="00EF2896"/>
    <w:rsid w:val="00F0139B"/>
    <w:rsid w:val="00F01B11"/>
    <w:rsid w:val="00F023BA"/>
    <w:rsid w:val="00F02BF2"/>
    <w:rsid w:val="00F03EE7"/>
    <w:rsid w:val="00F04066"/>
    <w:rsid w:val="00F04689"/>
    <w:rsid w:val="00F06174"/>
    <w:rsid w:val="00F10917"/>
    <w:rsid w:val="00F10EF8"/>
    <w:rsid w:val="00F12554"/>
    <w:rsid w:val="00F145B5"/>
    <w:rsid w:val="00F17C5A"/>
    <w:rsid w:val="00F21EB8"/>
    <w:rsid w:val="00F23956"/>
    <w:rsid w:val="00F23BF9"/>
    <w:rsid w:val="00F24DCB"/>
    <w:rsid w:val="00F2531C"/>
    <w:rsid w:val="00F26DF6"/>
    <w:rsid w:val="00F2711E"/>
    <w:rsid w:val="00F31213"/>
    <w:rsid w:val="00F33A87"/>
    <w:rsid w:val="00F33DB4"/>
    <w:rsid w:val="00F3652B"/>
    <w:rsid w:val="00F40CE1"/>
    <w:rsid w:val="00F419E6"/>
    <w:rsid w:val="00F44AD8"/>
    <w:rsid w:val="00F463A3"/>
    <w:rsid w:val="00F47F07"/>
    <w:rsid w:val="00F57511"/>
    <w:rsid w:val="00F604EB"/>
    <w:rsid w:val="00F81396"/>
    <w:rsid w:val="00F841E2"/>
    <w:rsid w:val="00F943C0"/>
    <w:rsid w:val="00F97104"/>
    <w:rsid w:val="00FA1ED6"/>
    <w:rsid w:val="00FB0672"/>
    <w:rsid w:val="00FC4F74"/>
    <w:rsid w:val="00FD76B3"/>
    <w:rsid w:val="00FD7D19"/>
    <w:rsid w:val="00FE17AF"/>
    <w:rsid w:val="00FE21EA"/>
    <w:rsid w:val="00FF1B6F"/>
    <w:rsid w:val="00FF282C"/>
    <w:rsid w:val="00FF4817"/>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60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5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C71F47"/>
    <w:pPr>
      <w:spacing w:after="160" w:line="240" w:lineRule="exact"/>
    </w:pPr>
    <w:rPr>
      <w:rFonts w:ascii="Arial" w:hAnsi="Arial"/>
      <w:sz w:val="22"/>
      <w:szCs w:val="22"/>
    </w:rPr>
  </w:style>
  <w:style w:type="paragraph" w:customStyle="1" w:styleId="Char">
    <w:name w:val="Char"/>
    <w:next w:val="Normal"/>
    <w:autoRedefine/>
    <w:semiHidden/>
    <w:rsid w:val="007D5D44"/>
    <w:pPr>
      <w:spacing w:after="160" w:line="240" w:lineRule="exact"/>
      <w:jc w:val="both"/>
    </w:pPr>
    <w:rPr>
      <w:sz w:val="28"/>
      <w:szCs w:val="22"/>
    </w:rPr>
  </w:style>
  <w:style w:type="paragraph" w:styleId="Footer">
    <w:name w:val="footer"/>
    <w:basedOn w:val="Normal"/>
    <w:rsid w:val="009F2FF6"/>
    <w:pPr>
      <w:tabs>
        <w:tab w:val="center" w:pos="4320"/>
        <w:tab w:val="right" w:pos="8640"/>
      </w:tabs>
    </w:pPr>
  </w:style>
  <w:style w:type="character" w:styleId="PageNumber">
    <w:name w:val="page number"/>
    <w:basedOn w:val="DefaultParagraphFont"/>
    <w:rsid w:val="009F2FF6"/>
  </w:style>
  <w:style w:type="paragraph" w:styleId="BalloonText">
    <w:name w:val="Balloon Text"/>
    <w:basedOn w:val="Normal"/>
    <w:link w:val="BalloonTextChar"/>
    <w:rsid w:val="00DF122C"/>
    <w:rPr>
      <w:rFonts w:ascii="Tahoma" w:hAnsi="Tahoma" w:cs="Tahoma"/>
      <w:sz w:val="16"/>
      <w:szCs w:val="16"/>
    </w:rPr>
  </w:style>
  <w:style w:type="character" w:customStyle="1" w:styleId="BalloonTextChar">
    <w:name w:val="Balloon Text Char"/>
    <w:link w:val="BalloonText"/>
    <w:rsid w:val="00DF122C"/>
    <w:rPr>
      <w:rFonts w:ascii="Tahoma" w:hAnsi="Tahoma" w:cs="Tahoma"/>
      <w:sz w:val="16"/>
      <w:szCs w:val="16"/>
    </w:rPr>
  </w:style>
  <w:style w:type="paragraph" w:styleId="ListParagraph">
    <w:name w:val="List Paragraph"/>
    <w:basedOn w:val="Normal"/>
    <w:uiPriority w:val="34"/>
    <w:qFormat/>
    <w:rsid w:val="00F2711E"/>
    <w:pPr>
      <w:ind w:left="720"/>
      <w:contextualSpacing/>
    </w:pPr>
  </w:style>
  <w:style w:type="character" w:customStyle="1" w:styleId="apple-converted-space">
    <w:name w:val="apple-converted-space"/>
    <w:basedOn w:val="DefaultParagraphFont"/>
    <w:rsid w:val="00FF282C"/>
  </w:style>
  <w:style w:type="character" w:styleId="Hyperlink">
    <w:name w:val="Hyperlink"/>
    <w:uiPriority w:val="99"/>
    <w:unhideWhenUsed/>
    <w:rsid w:val="00A47A51"/>
    <w:rPr>
      <w:color w:val="0000FF"/>
      <w:u w:val="single"/>
    </w:rPr>
  </w:style>
  <w:style w:type="paragraph" w:styleId="Header">
    <w:name w:val="header"/>
    <w:basedOn w:val="Normal"/>
    <w:link w:val="HeaderChar"/>
    <w:rsid w:val="0006101F"/>
    <w:pPr>
      <w:tabs>
        <w:tab w:val="center" w:pos="4680"/>
        <w:tab w:val="right" w:pos="9360"/>
      </w:tabs>
    </w:pPr>
  </w:style>
  <w:style w:type="character" w:customStyle="1" w:styleId="HeaderChar">
    <w:name w:val="Header Char"/>
    <w:basedOn w:val="DefaultParagraphFont"/>
    <w:link w:val="Header"/>
    <w:rsid w:val="0006101F"/>
    <w:rPr>
      <w:sz w:val="28"/>
      <w:szCs w:val="28"/>
    </w:rPr>
  </w:style>
  <w:style w:type="paragraph" w:styleId="BodyText">
    <w:name w:val="Body Text"/>
    <w:basedOn w:val="Normal"/>
    <w:link w:val="BodyTextChar"/>
    <w:uiPriority w:val="99"/>
    <w:unhideWhenUsed/>
    <w:rsid w:val="005B4C8A"/>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5B4C8A"/>
    <w:rPr>
      <w:rFonts w:ascii="Calibri" w:eastAsia="Calibri" w:hAnsi="Calibri"/>
      <w:sz w:val="22"/>
      <w:szCs w:val="22"/>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uiPriority w:val="99"/>
    <w:unhideWhenUsed/>
    <w:qFormat/>
    <w:rsid w:val="005B4C8A"/>
    <w:rPr>
      <w:vertAlign w:val="superscript"/>
    </w:rPr>
  </w:style>
  <w:style w:type="paragraph" w:styleId="FootnoteText">
    <w:name w:val="footnote text"/>
    <w:basedOn w:val="Normal"/>
    <w:link w:val="FootnoteTextChar"/>
    <w:rsid w:val="005B4C8A"/>
    <w:rPr>
      <w:sz w:val="20"/>
      <w:szCs w:val="20"/>
    </w:rPr>
  </w:style>
  <w:style w:type="character" w:customStyle="1" w:styleId="FootnoteTextChar">
    <w:name w:val="Footnote Text Char"/>
    <w:basedOn w:val="DefaultParagraphFont"/>
    <w:link w:val="FootnoteText"/>
    <w:rsid w:val="005B4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60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5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C71F47"/>
    <w:pPr>
      <w:spacing w:after="160" w:line="240" w:lineRule="exact"/>
    </w:pPr>
    <w:rPr>
      <w:rFonts w:ascii="Arial" w:hAnsi="Arial"/>
      <w:sz w:val="22"/>
      <w:szCs w:val="22"/>
    </w:rPr>
  </w:style>
  <w:style w:type="paragraph" w:customStyle="1" w:styleId="Char">
    <w:name w:val="Char"/>
    <w:next w:val="Normal"/>
    <w:autoRedefine/>
    <w:semiHidden/>
    <w:rsid w:val="007D5D44"/>
    <w:pPr>
      <w:spacing w:after="160" w:line="240" w:lineRule="exact"/>
      <w:jc w:val="both"/>
    </w:pPr>
    <w:rPr>
      <w:sz w:val="28"/>
      <w:szCs w:val="22"/>
    </w:rPr>
  </w:style>
  <w:style w:type="paragraph" w:styleId="Footer">
    <w:name w:val="footer"/>
    <w:basedOn w:val="Normal"/>
    <w:rsid w:val="009F2FF6"/>
    <w:pPr>
      <w:tabs>
        <w:tab w:val="center" w:pos="4320"/>
        <w:tab w:val="right" w:pos="8640"/>
      </w:tabs>
    </w:pPr>
  </w:style>
  <w:style w:type="character" w:styleId="PageNumber">
    <w:name w:val="page number"/>
    <w:basedOn w:val="DefaultParagraphFont"/>
    <w:rsid w:val="009F2FF6"/>
  </w:style>
  <w:style w:type="paragraph" w:styleId="BalloonText">
    <w:name w:val="Balloon Text"/>
    <w:basedOn w:val="Normal"/>
    <w:link w:val="BalloonTextChar"/>
    <w:rsid w:val="00DF122C"/>
    <w:rPr>
      <w:rFonts w:ascii="Tahoma" w:hAnsi="Tahoma" w:cs="Tahoma"/>
      <w:sz w:val="16"/>
      <w:szCs w:val="16"/>
    </w:rPr>
  </w:style>
  <w:style w:type="character" w:customStyle="1" w:styleId="BalloonTextChar">
    <w:name w:val="Balloon Text Char"/>
    <w:link w:val="BalloonText"/>
    <w:rsid w:val="00DF122C"/>
    <w:rPr>
      <w:rFonts w:ascii="Tahoma" w:hAnsi="Tahoma" w:cs="Tahoma"/>
      <w:sz w:val="16"/>
      <w:szCs w:val="16"/>
    </w:rPr>
  </w:style>
  <w:style w:type="paragraph" w:styleId="ListParagraph">
    <w:name w:val="List Paragraph"/>
    <w:basedOn w:val="Normal"/>
    <w:uiPriority w:val="34"/>
    <w:qFormat/>
    <w:rsid w:val="00F2711E"/>
    <w:pPr>
      <w:ind w:left="720"/>
      <w:contextualSpacing/>
    </w:pPr>
  </w:style>
  <w:style w:type="character" w:customStyle="1" w:styleId="apple-converted-space">
    <w:name w:val="apple-converted-space"/>
    <w:basedOn w:val="DefaultParagraphFont"/>
    <w:rsid w:val="00FF282C"/>
  </w:style>
  <w:style w:type="character" w:styleId="Hyperlink">
    <w:name w:val="Hyperlink"/>
    <w:uiPriority w:val="99"/>
    <w:unhideWhenUsed/>
    <w:rsid w:val="00A47A51"/>
    <w:rPr>
      <w:color w:val="0000FF"/>
      <w:u w:val="single"/>
    </w:rPr>
  </w:style>
  <w:style w:type="paragraph" w:styleId="Header">
    <w:name w:val="header"/>
    <w:basedOn w:val="Normal"/>
    <w:link w:val="HeaderChar"/>
    <w:rsid w:val="0006101F"/>
    <w:pPr>
      <w:tabs>
        <w:tab w:val="center" w:pos="4680"/>
        <w:tab w:val="right" w:pos="9360"/>
      </w:tabs>
    </w:pPr>
  </w:style>
  <w:style w:type="character" w:customStyle="1" w:styleId="HeaderChar">
    <w:name w:val="Header Char"/>
    <w:basedOn w:val="DefaultParagraphFont"/>
    <w:link w:val="Header"/>
    <w:rsid w:val="0006101F"/>
    <w:rPr>
      <w:sz w:val="28"/>
      <w:szCs w:val="28"/>
    </w:rPr>
  </w:style>
  <w:style w:type="paragraph" w:styleId="BodyText">
    <w:name w:val="Body Text"/>
    <w:basedOn w:val="Normal"/>
    <w:link w:val="BodyTextChar"/>
    <w:uiPriority w:val="99"/>
    <w:unhideWhenUsed/>
    <w:rsid w:val="005B4C8A"/>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5B4C8A"/>
    <w:rPr>
      <w:rFonts w:ascii="Calibri" w:eastAsia="Calibri" w:hAnsi="Calibri"/>
      <w:sz w:val="22"/>
      <w:szCs w:val="22"/>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uiPriority w:val="99"/>
    <w:unhideWhenUsed/>
    <w:qFormat/>
    <w:rsid w:val="005B4C8A"/>
    <w:rPr>
      <w:vertAlign w:val="superscript"/>
    </w:rPr>
  </w:style>
  <w:style w:type="paragraph" w:styleId="FootnoteText">
    <w:name w:val="footnote text"/>
    <w:basedOn w:val="Normal"/>
    <w:link w:val="FootnoteTextChar"/>
    <w:rsid w:val="005B4C8A"/>
    <w:rPr>
      <w:sz w:val="20"/>
      <w:szCs w:val="20"/>
    </w:rPr>
  </w:style>
  <w:style w:type="character" w:customStyle="1" w:styleId="FootnoteTextChar">
    <w:name w:val="Footnote Text Char"/>
    <w:basedOn w:val="DefaultParagraphFont"/>
    <w:link w:val="FootnoteText"/>
    <w:rsid w:val="005B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7426">
      <w:bodyDiv w:val="1"/>
      <w:marLeft w:val="0"/>
      <w:marRight w:val="0"/>
      <w:marTop w:val="0"/>
      <w:marBottom w:val="0"/>
      <w:divBdr>
        <w:top w:val="none" w:sz="0" w:space="0" w:color="auto"/>
        <w:left w:val="none" w:sz="0" w:space="0" w:color="auto"/>
        <w:bottom w:val="none" w:sz="0" w:space="0" w:color="auto"/>
        <w:right w:val="none" w:sz="0" w:space="0" w:color="auto"/>
      </w:divBdr>
    </w:div>
    <w:div w:id="203375906">
      <w:bodyDiv w:val="1"/>
      <w:marLeft w:val="0"/>
      <w:marRight w:val="0"/>
      <w:marTop w:val="0"/>
      <w:marBottom w:val="0"/>
      <w:divBdr>
        <w:top w:val="none" w:sz="0" w:space="0" w:color="auto"/>
        <w:left w:val="none" w:sz="0" w:space="0" w:color="auto"/>
        <w:bottom w:val="none" w:sz="0" w:space="0" w:color="auto"/>
        <w:right w:val="none" w:sz="0" w:space="0" w:color="auto"/>
      </w:divBdr>
      <w:divsChild>
        <w:div w:id="477692381">
          <w:marLeft w:val="150"/>
          <w:marRight w:val="150"/>
          <w:marTop w:val="0"/>
          <w:marBottom w:val="150"/>
          <w:divBdr>
            <w:top w:val="none" w:sz="0" w:space="0" w:color="auto"/>
            <w:left w:val="none" w:sz="0" w:space="0" w:color="auto"/>
            <w:bottom w:val="none" w:sz="0" w:space="0" w:color="auto"/>
            <w:right w:val="none" w:sz="0" w:space="0" w:color="auto"/>
          </w:divBdr>
          <w:divsChild>
            <w:div w:id="1824811843">
              <w:marLeft w:val="0"/>
              <w:marRight w:val="0"/>
              <w:marTop w:val="0"/>
              <w:marBottom w:val="0"/>
              <w:divBdr>
                <w:top w:val="none" w:sz="0" w:space="0" w:color="auto"/>
                <w:left w:val="none" w:sz="0" w:space="0" w:color="auto"/>
                <w:bottom w:val="none" w:sz="0" w:space="0" w:color="auto"/>
                <w:right w:val="none" w:sz="0" w:space="0" w:color="auto"/>
              </w:divBdr>
              <w:divsChild>
                <w:div w:id="1080179372">
                  <w:marLeft w:val="0"/>
                  <w:marRight w:val="0"/>
                  <w:marTop w:val="0"/>
                  <w:marBottom w:val="0"/>
                  <w:divBdr>
                    <w:top w:val="none" w:sz="0" w:space="0" w:color="auto"/>
                    <w:left w:val="none" w:sz="0" w:space="0" w:color="auto"/>
                    <w:bottom w:val="none" w:sz="0" w:space="0" w:color="auto"/>
                    <w:right w:val="none" w:sz="0" w:space="0" w:color="auto"/>
                  </w:divBdr>
                  <w:divsChild>
                    <w:div w:id="1922719065">
                      <w:marLeft w:val="0"/>
                      <w:marRight w:val="0"/>
                      <w:marTop w:val="0"/>
                      <w:marBottom w:val="0"/>
                      <w:divBdr>
                        <w:top w:val="none" w:sz="0" w:space="0" w:color="auto"/>
                        <w:left w:val="none" w:sz="0" w:space="0" w:color="auto"/>
                        <w:bottom w:val="none" w:sz="0" w:space="0" w:color="auto"/>
                        <w:right w:val="none" w:sz="0" w:space="0" w:color="auto"/>
                      </w:divBdr>
                      <w:divsChild>
                        <w:div w:id="1132672707">
                          <w:marLeft w:val="0"/>
                          <w:marRight w:val="0"/>
                          <w:marTop w:val="0"/>
                          <w:marBottom w:val="0"/>
                          <w:divBdr>
                            <w:top w:val="none" w:sz="0" w:space="0" w:color="auto"/>
                            <w:left w:val="none" w:sz="0" w:space="0" w:color="auto"/>
                            <w:bottom w:val="none" w:sz="0" w:space="0" w:color="auto"/>
                            <w:right w:val="none" w:sz="0" w:space="0" w:color="auto"/>
                          </w:divBdr>
                          <w:divsChild>
                            <w:div w:id="2106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719307">
      <w:bodyDiv w:val="1"/>
      <w:marLeft w:val="0"/>
      <w:marRight w:val="0"/>
      <w:marTop w:val="0"/>
      <w:marBottom w:val="0"/>
      <w:divBdr>
        <w:top w:val="none" w:sz="0" w:space="0" w:color="auto"/>
        <w:left w:val="none" w:sz="0" w:space="0" w:color="auto"/>
        <w:bottom w:val="none" w:sz="0" w:space="0" w:color="auto"/>
        <w:right w:val="none" w:sz="0" w:space="0" w:color="auto"/>
      </w:divBdr>
    </w:div>
    <w:div w:id="263465410">
      <w:bodyDiv w:val="1"/>
      <w:marLeft w:val="0"/>
      <w:marRight w:val="0"/>
      <w:marTop w:val="0"/>
      <w:marBottom w:val="0"/>
      <w:divBdr>
        <w:top w:val="none" w:sz="0" w:space="0" w:color="auto"/>
        <w:left w:val="none" w:sz="0" w:space="0" w:color="auto"/>
        <w:bottom w:val="none" w:sz="0" w:space="0" w:color="auto"/>
        <w:right w:val="none" w:sz="0" w:space="0" w:color="auto"/>
      </w:divBdr>
    </w:div>
    <w:div w:id="567037887">
      <w:bodyDiv w:val="1"/>
      <w:marLeft w:val="0"/>
      <w:marRight w:val="0"/>
      <w:marTop w:val="0"/>
      <w:marBottom w:val="0"/>
      <w:divBdr>
        <w:top w:val="none" w:sz="0" w:space="0" w:color="auto"/>
        <w:left w:val="none" w:sz="0" w:space="0" w:color="auto"/>
        <w:bottom w:val="none" w:sz="0" w:space="0" w:color="auto"/>
        <w:right w:val="none" w:sz="0" w:space="0" w:color="auto"/>
      </w:divBdr>
    </w:div>
    <w:div w:id="1004866456">
      <w:bodyDiv w:val="1"/>
      <w:marLeft w:val="0"/>
      <w:marRight w:val="0"/>
      <w:marTop w:val="0"/>
      <w:marBottom w:val="0"/>
      <w:divBdr>
        <w:top w:val="none" w:sz="0" w:space="0" w:color="auto"/>
        <w:left w:val="none" w:sz="0" w:space="0" w:color="auto"/>
        <w:bottom w:val="none" w:sz="0" w:space="0" w:color="auto"/>
        <w:right w:val="none" w:sz="0" w:space="0" w:color="auto"/>
      </w:divBdr>
    </w:div>
    <w:div w:id="206054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29-2008-nd-cp-khu-cong-nghiep-khu-che-xuat-khu-kinh-te-64162.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ñy ban nh©n d©n</vt:lpstr>
    </vt:vector>
  </TitlesOfParts>
  <Company>HOME</Company>
  <LinksUpToDate>false</LinksUpToDate>
  <CharactersWithSpaces>21898</CharactersWithSpaces>
  <SharedDoc>false</SharedDoc>
  <HLinks>
    <vt:vector size="18" baseType="variant">
      <vt:variant>
        <vt:i4>6488162</vt:i4>
      </vt:variant>
      <vt:variant>
        <vt:i4>6</vt:i4>
      </vt:variant>
      <vt:variant>
        <vt:i4>0</vt:i4>
      </vt:variant>
      <vt:variant>
        <vt:i4>5</vt:i4>
      </vt:variant>
      <vt:variant>
        <vt:lpwstr>https://thuvienphapluat.vn/van-ban/doanh-nghiep/nghi-dinh-114-2015-nd-cp-sua-doi-29-2008-nd-cp-khu-cong-nghiep-khu-che-xuat-khu-kinh-te-295223.aspx</vt:lpwstr>
      </vt:variant>
      <vt:variant>
        <vt:lpwstr/>
      </vt:variant>
      <vt:variant>
        <vt:i4>6488182</vt:i4>
      </vt:variant>
      <vt:variant>
        <vt:i4>3</vt:i4>
      </vt:variant>
      <vt:variant>
        <vt:i4>0</vt:i4>
      </vt:variant>
      <vt:variant>
        <vt:i4>5</vt:i4>
      </vt:variant>
      <vt:variant>
        <vt:lpwstr>https://thuvienphapluat.vn/van-ban/doanh-nghiep/nghi-dinh-29-2008-nd-cp-khu-cong-nghiep-khu-che-xuat-khu-kinh-te-64162.aspx</vt:lpwstr>
      </vt:variant>
      <vt:variant>
        <vt:lpwstr/>
      </vt:variant>
      <vt:variant>
        <vt:i4>6488182</vt:i4>
      </vt:variant>
      <vt:variant>
        <vt:i4>0</vt:i4>
      </vt:variant>
      <vt:variant>
        <vt:i4>0</vt:i4>
      </vt:variant>
      <vt:variant>
        <vt:i4>5</vt:i4>
      </vt:variant>
      <vt:variant>
        <vt:lpwstr>https://thuvienphapluat.vn/van-ban/doanh-nghiep/nghi-dinh-29-2008-nd-cp-khu-cong-nghiep-khu-che-xuat-khu-kinh-te-64162.aspx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dc:title>
  <dc:creator>User</dc:creator>
  <cp:lastModifiedBy>Tien Ich May Tinh</cp:lastModifiedBy>
  <cp:revision>2</cp:revision>
  <cp:lastPrinted>2018-07-09T07:11:00Z</cp:lastPrinted>
  <dcterms:created xsi:type="dcterms:W3CDTF">2018-07-10T00:39:00Z</dcterms:created>
  <dcterms:modified xsi:type="dcterms:W3CDTF">2018-07-10T00:39:00Z</dcterms:modified>
</cp:coreProperties>
</file>