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B7099" w:rsidRPr="001B7099" w:rsidTr="007F2B33">
        <w:tc>
          <w:tcPr>
            <w:tcW w:w="3369" w:type="dxa"/>
          </w:tcPr>
          <w:p w:rsidR="007F2B33" w:rsidRPr="008D251B" w:rsidRDefault="007F2B33" w:rsidP="00B058FF">
            <w:pPr>
              <w:tabs>
                <w:tab w:val="left" w:pos="709"/>
              </w:tabs>
              <w:jc w:val="center"/>
              <w:rPr>
                <w:b/>
                <w:sz w:val="24"/>
                <w:szCs w:val="24"/>
              </w:rPr>
            </w:pPr>
            <w:r w:rsidRPr="001B7099">
              <w:rPr>
                <w:noProof/>
                <w:sz w:val="24"/>
                <w:szCs w:val="24"/>
              </w:rPr>
              <mc:AlternateContent>
                <mc:Choice Requires="wps">
                  <w:drawing>
                    <wp:anchor distT="0" distB="0" distL="114300" distR="114300" simplePos="0" relativeHeight="251659264" behindDoc="0" locked="0" layoutInCell="1" allowOverlap="1" wp14:anchorId="6FEEA579" wp14:editId="314F0021">
                      <wp:simplePos x="0" y="0"/>
                      <wp:positionH relativeFrom="column">
                        <wp:align>center</wp:align>
                      </wp:positionH>
                      <wp:positionV relativeFrom="paragraph">
                        <wp:posOffset>365760</wp:posOffset>
                      </wp:positionV>
                      <wp:extent cx="50472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04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tMtAEAALYDAAAOAAAAZHJzL2Uyb0RvYy54bWysU9uO0zAQfUfiHyy/06QVN0VN96EreEFQ&#10;sewHeJ1xY2F7rLFp2r9n7LZZBAih1b44vpwzM+fM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" strokecolor="black [3040]"/>
                  </w:pict>
                </mc:Fallback>
              </mc:AlternateContent>
            </w:r>
            <w:r w:rsidR="008D251B">
              <w:rPr>
                <w:b/>
                <w:sz w:val="24"/>
                <w:szCs w:val="24"/>
              </w:rPr>
              <w:t>ỦY BAN NHÂN DÂN</w:t>
            </w:r>
            <w:r w:rsidR="008D251B">
              <w:rPr>
                <w:b/>
                <w:sz w:val="24"/>
                <w:szCs w:val="24"/>
              </w:rPr>
              <w:br/>
              <w:t>TỈNH HÀ TĨNH</w:t>
            </w:r>
          </w:p>
        </w:tc>
        <w:tc>
          <w:tcPr>
            <w:tcW w:w="5919" w:type="dxa"/>
          </w:tcPr>
          <w:p w:rsidR="007F2B33" w:rsidRPr="001B7099" w:rsidRDefault="007F2B33" w:rsidP="00B058FF">
            <w:pPr>
              <w:tabs>
                <w:tab w:val="left" w:pos="709"/>
              </w:tabs>
              <w:spacing w:after="240"/>
              <w:jc w:val="center"/>
              <w:rPr>
                <w:b/>
                <w:sz w:val="24"/>
                <w:szCs w:val="24"/>
              </w:rPr>
            </w:pPr>
            <w:r w:rsidRPr="001B7099">
              <w:rPr>
                <w:b/>
                <w:noProof/>
                <w:sz w:val="24"/>
                <w:szCs w:val="24"/>
              </w:rPr>
              <mc:AlternateContent>
                <mc:Choice Requires="wps">
                  <w:drawing>
                    <wp:anchor distT="0" distB="0" distL="114300" distR="114300" simplePos="0" relativeHeight="251660288" behindDoc="0" locked="0" layoutInCell="1" allowOverlap="1" wp14:anchorId="0F325D05" wp14:editId="1A2745D0">
                      <wp:simplePos x="0" y="0"/>
                      <wp:positionH relativeFrom="column">
                        <wp:align>center</wp:align>
                      </wp:positionH>
                      <wp:positionV relativeFrom="paragraph">
                        <wp:posOffset>375285</wp:posOffset>
                      </wp:positionV>
                      <wp:extent cx="198108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98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LR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" strokecolor="black [3040]"/>
                  </w:pict>
                </mc:Fallback>
              </mc:AlternateContent>
            </w:r>
            <w:r w:rsidRPr="001B7099">
              <w:rPr>
                <w:b/>
                <w:sz w:val="24"/>
                <w:szCs w:val="24"/>
              </w:rPr>
              <w:t>CỘNG HÒA XÃ HỘI CHỦ NGHĨA VIỆT NAM</w:t>
            </w:r>
            <w:r w:rsidRPr="001B7099">
              <w:rPr>
                <w:b/>
                <w:sz w:val="24"/>
                <w:szCs w:val="24"/>
              </w:rPr>
              <w:br/>
            </w:r>
            <w:r w:rsidRPr="001B7099">
              <w:rPr>
                <w:b/>
                <w:sz w:val="26"/>
                <w:szCs w:val="26"/>
              </w:rPr>
              <w:t>Độc lập - Tự do - Hạnh phúc</w:t>
            </w:r>
          </w:p>
        </w:tc>
      </w:tr>
      <w:tr w:rsidR="007F2B33" w:rsidRPr="001B7099" w:rsidTr="007F2B33">
        <w:tc>
          <w:tcPr>
            <w:tcW w:w="3369" w:type="dxa"/>
          </w:tcPr>
          <w:p w:rsidR="007F2B33" w:rsidRPr="001B7099" w:rsidRDefault="007F2B33" w:rsidP="008D251B">
            <w:pPr>
              <w:tabs>
                <w:tab w:val="left" w:pos="709"/>
              </w:tabs>
              <w:jc w:val="center"/>
              <w:rPr>
                <w:sz w:val="26"/>
                <w:szCs w:val="26"/>
              </w:rPr>
            </w:pPr>
            <w:r w:rsidRPr="001B7099">
              <w:rPr>
                <w:sz w:val="26"/>
                <w:szCs w:val="26"/>
              </w:rPr>
              <w:t>Số:</w:t>
            </w:r>
            <w:r w:rsidR="00787516">
              <w:rPr>
                <w:sz w:val="26"/>
                <w:szCs w:val="26"/>
              </w:rPr>
              <w:t xml:space="preserve"> 437</w:t>
            </w:r>
            <w:r w:rsidRPr="001B7099">
              <w:rPr>
                <w:sz w:val="26"/>
                <w:szCs w:val="26"/>
              </w:rPr>
              <w:t>/TTr-</w:t>
            </w:r>
            <w:r w:rsidR="008D251B">
              <w:rPr>
                <w:sz w:val="26"/>
                <w:szCs w:val="26"/>
              </w:rPr>
              <w:t>UBND</w:t>
            </w:r>
          </w:p>
        </w:tc>
        <w:tc>
          <w:tcPr>
            <w:tcW w:w="5919" w:type="dxa"/>
          </w:tcPr>
          <w:p w:rsidR="007F2B33" w:rsidRPr="001B7099" w:rsidRDefault="00C3702B" w:rsidP="00B058FF">
            <w:pPr>
              <w:tabs>
                <w:tab w:val="left" w:pos="709"/>
              </w:tabs>
              <w:jc w:val="center"/>
              <w:rPr>
                <w:i/>
                <w:sz w:val="26"/>
                <w:szCs w:val="26"/>
              </w:rPr>
            </w:pPr>
            <w:r>
              <w:rPr>
                <w:i/>
                <w:sz w:val="26"/>
                <w:szCs w:val="26"/>
              </w:rPr>
              <w:t xml:space="preserve">                    </w:t>
            </w:r>
            <w:r w:rsidR="007F2B33" w:rsidRPr="001B7099">
              <w:rPr>
                <w:i/>
                <w:sz w:val="26"/>
                <w:szCs w:val="26"/>
              </w:rPr>
              <w:t>Hà Tĩnh, ngày</w:t>
            </w:r>
            <w:r w:rsidR="00787516">
              <w:rPr>
                <w:i/>
                <w:sz w:val="26"/>
                <w:szCs w:val="26"/>
              </w:rPr>
              <w:t xml:space="preserve">  08</w:t>
            </w:r>
            <w:r>
              <w:rPr>
                <w:i/>
                <w:sz w:val="26"/>
                <w:szCs w:val="26"/>
              </w:rPr>
              <w:t xml:space="preserve"> </w:t>
            </w:r>
            <w:r w:rsidR="00F33249" w:rsidRPr="001B7099">
              <w:rPr>
                <w:i/>
                <w:sz w:val="26"/>
                <w:szCs w:val="26"/>
              </w:rPr>
              <w:t xml:space="preserve"> </w:t>
            </w:r>
            <w:r w:rsidR="007F2B33" w:rsidRPr="001B7099">
              <w:rPr>
                <w:i/>
                <w:sz w:val="26"/>
                <w:szCs w:val="26"/>
              </w:rPr>
              <w:t xml:space="preserve">tháng </w:t>
            </w:r>
            <w:r>
              <w:rPr>
                <w:i/>
                <w:sz w:val="26"/>
                <w:szCs w:val="26"/>
              </w:rPr>
              <w:t xml:space="preserve"> </w:t>
            </w:r>
            <w:r w:rsidR="00C60C09">
              <w:rPr>
                <w:i/>
                <w:sz w:val="26"/>
                <w:szCs w:val="26"/>
              </w:rPr>
              <w:t>12</w:t>
            </w:r>
            <w:r>
              <w:rPr>
                <w:i/>
                <w:sz w:val="26"/>
                <w:szCs w:val="26"/>
              </w:rPr>
              <w:t xml:space="preserve"> </w:t>
            </w:r>
            <w:r w:rsidR="007F2B33" w:rsidRPr="001B7099">
              <w:rPr>
                <w:i/>
                <w:sz w:val="26"/>
                <w:szCs w:val="26"/>
              </w:rPr>
              <w:t xml:space="preserve"> năm 2016</w:t>
            </w:r>
          </w:p>
        </w:tc>
      </w:tr>
    </w:tbl>
    <w:p w:rsidR="00257B0C" w:rsidRPr="001B7099" w:rsidRDefault="00257B0C" w:rsidP="00B058FF">
      <w:pPr>
        <w:tabs>
          <w:tab w:val="left" w:pos="709"/>
        </w:tabs>
      </w:pPr>
    </w:p>
    <w:p w:rsidR="00DE52F3" w:rsidRPr="001B7099" w:rsidRDefault="00DE52F3" w:rsidP="00B058FF">
      <w:pPr>
        <w:tabs>
          <w:tab w:val="left" w:pos="709"/>
        </w:tabs>
        <w:jc w:val="center"/>
        <w:rPr>
          <w:b/>
        </w:rPr>
      </w:pPr>
      <w:r w:rsidRPr="001B7099">
        <w:rPr>
          <w:b/>
          <w:noProof/>
        </w:rPr>
        <mc:AlternateContent>
          <mc:Choice Requires="wps">
            <w:drawing>
              <wp:anchor distT="0" distB="0" distL="114300" distR="114300" simplePos="0" relativeHeight="251661312" behindDoc="0" locked="0" layoutInCell="1" allowOverlap="1" wp14:anchorId="3CB0CB7F" wp14:editId="657B9270">
                <wp:simplePos x="0" y="0"/>
                <wp:positionH relativeFrom="margin">
                  <wp:align>center</wp:align>
                </wp:positionH>
                <wp:positionV relativeFrom="paragraph">
                  <wp:posOffset>835025</wp:posOffset>
                </wp:positionV>
                <wp:extent cx="895320"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895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5.75pt" to="70.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" strokecolor="black [3040]">
                <w10:wrap anchorx="margin"/>
              </v:line>
            </w:pict>
          </mc:Fallback>
        </mc:AlternateContent>
      </w:r>
      <w:r w:rsidRPr="001B7099">
        <w:rPr>
          <w:b/>
        </w:rPr>
        <w:t>TỜ TRÌNH</w:t>
      </w:r>
      <w:r w:rsidRPr="001B7099">
        <w:rPr>
          <w:b/>
        </w:rPr>
        <w:br/>
        <w:t xml:space="preserve">Về việc quy định </w:t>
      </w:r>
      <w:r w:rsidR="00707A48" w:rsidRPr="001B7099">
        <w:rPr>
          <w:b/>
        </w:rPr>
        <w:t>mức thu, miễn, giảm, thu, nộp, quản lý và sử dụng</w:t>
      </w:r>
      <w:r w:rsidR="00707A48" w:rsidRPr="001B7099">
        <w:rPr>
          <w:b/>
        </w:rPr>
        <w:br/>
        <w:t>các khoản phí, lệ phí thuộc thẩm quyền của Hội đồng nhân dân tỉnh</w:t>
      </w:r>
      <w:r w:rsidR="00707A48" w:rsidRPr="001B7099">
        <w:rPr>
          <w:b/>
        </w:rPr>
        <w:br/>
        <w:t>trên địa bàn tỉnh Hà Tĩnh</w:t>
      </w:r>
    </w:p>
    <w:p w:rsidR="00DE52F3" w:rsidRPr="001B7099" w:rsidRDefault="00DE52F3" w:rsidP="00B058FF">
      <w:pPr>
        <w:tabs>
          <w:tab w:val="left" w:pos="709"/>
        </w:tabs>
      </w:pPr>
    </w:p>
    <w:p w:rsidR="00DE52F3" w:rsidRDefault="00DE52F3" w:rsidP="00B058FF">
      <w:pPr>
        <w:tabs>
          <w:tab w:val="left" w:pos="709"/>
        </w:tabs>
        <w:jc w:val="center"/>
      </w:pPr>
      <w:r w:rsidRPr="001B7099">
        <w:t xml:space="preserve">Kính gửi: </w:t>
      </w:r>
      <w:r w:rsidR="008D251B">
        <w:t>Hội đồng nhân dân tỉnh Hà Tĩnh</w:t>
      </w:r>
    </w:p>
    <w:p w:rsidR="00750556" w:rsidRPr="001B7099" w:rsidRDefault="00750556" w:rsidP="00B058FF">
      <w:pPr>
        <w:tabs>
          <w:tab w:val="left" w:pos="709"/>
        </w:tabs>
        <w:jc w:val="center"/>
      </w:pPr>
    </w:p>
    <w:p w:rsidR="009C7082" w:rsidRDefault="009C7082" w:rsidP="00B07D22">
      <w:pPr>
        <w:tabs>
          <w:tab w:val="left" w:pos="709"/>
        </w:tabs>
        <w:spacing w:before="120" w:after="0" w:line="240" w:lineRule="auto"/>
      </w:pPr>
      <w:r>
        <w:tab/>
        <w:t>Căn cứ Luật Tổ chức chính quyền địa phương ngày 19/6/2015;</w:t>
      </w:r>
    </w:p>
    <w:p w:rsidR="009C7082" w:rsidRDefault="009C7082" w:rsidP="00B07D22">
      <w:pPr>
        <w:tabs>
          <w:tab w:val="left" w:pos="709"/>
        </w:tabs>
        <w:spacing w:before="120" w:after="0" w:line="240" w:lineRule="auto"/>
      </w:pPr>
      <w:r>
        <w:tab/>
        <w:t>Căn cứ Luật Ban hành văn bản quy phạm pháp luật ngày 22/6/2015;</w:t>
      </w:r>
    </w:p>
    <w:p w:rsidR="009C7082" w:rsidRDefault="009C7082" w:rsidP="00B07D22">
      <w:pPr>
        <w:tabs>
          <w:tab w:val="left" w:pos="709"/>
        </w:tabs>
        <w:spacing w:before="120" w:after="0" w:line="240" w:lineRule="auto"/>
      </w:pPr>
      <w:r>
        <w:tab/>
        <w:t>Căn cứ Luật Phí và lệ phí ngày 25/11/2015;</w:t>
      </w:r>
    </w:p>
    <w:p w:rsidR="009C7082" w:rsidRDefault="009C7082" w:rsidP="00B07D22">
      <w:pPr>
        <w:tabs>
          <w:tab w:val="left" w:pos="709"/>
        </w:tabs>
        <w:spacing w:before="120" w:after="0" w:line="240" w:lineRule="auto"/>
      </w:pPr>
      <w:r>
        <w:tab/>
        <w:t>Căn cứ Nghị định số 120/2016/NĐ-CP ngày 23/8/2016 của Chính phủ quy định chi tiết và hướng dẫn thi hành một số điều của Luật Phí và lệ phí;</w:t>
      </w:r>
    </w:p>
    <w:p w:rsidR="00C60C09" w:rsidRDefault="00C60C09" w:rsidP="00B07D22">
      <w:pPr>
        <w:tabs>
          <w:tab w:val="left" w:pos="709"/>
        </w:tabs>
        <w:spacing w:before="120" w:after="0" w:line="240" w:lineRule="auto"/>
      </w:pPr>
      <w:r>
        <w:tab/>
      </w:r>
      <w:r w:rsidR="00A6581F">
        <w:t>Căn cứ Thông tư số 250/2016/TT-BTC ngày 11/11/2016 của Bộ Tài chính hướng dẫn về phí và lệ phí thuộc thẩm quyền quyết định của Hội đồng nhân dân tỉnh, thành phố trực thuộc Trung ương;</w:t>
      </w:r>
    </w:p>
    <w:p w:rsidR="009C7082" w:rsidRDefault="009C7082" w:rsidP="00B07D22">
      <w:pPr>
        <w:tabs>
          <w:tab w:val="left" w:pos="709"/>
        </w:tabs>
        <w:spacing w:before="120" w:after="0" w:line="240" w:lineRule="auto"/>
      </w:pPr>
      <w:r>
        <w:tab/>
        <w:t>Căn cứ Chỉ thị số 14/CT-TTg ngày 10/5/2016 của Thủ tướng Chính phủ về việc triển khai thi hành Luật Phí và lệ phí;</w:t>
      </w:r>
    </w:p>
    <w:p w:rsidR="00483DC4" w:rsidRPr="001B7099" w:rsidRDefault="009C7082" w:rsidP="00B07D22">
      <w:pPr>
        <w:tabs>
          <w:tab w:val="left" w:pos="709"/>
        </w:tabs>
        <w:spacing w:before="120" w:after="0" w:line="240" w:lineRule="auto"/>
      </w:pPr>
      <w:r>
        <w:tab/>
        <w:t>Căn cứ các Luật chuyên ngành; Nghị định của Chính phủ; Thông tư, Thông tư liên tịch hướng dẫn của các Bộ, ngành liên quan</w:t>
      </w:r>
      <w:r w:rsidR="00E405A5">
        <w:t>;</w:t>
      </w:r>
    </w:p>
    <w:p w:rsidR="009C7082" w:rsidRDefault="00A94A54" w:rsidP="00B07D22">
      <w:pPr>
        <w:tabs>
          <w:tab w:val="left" w:pos="709"/>
        </w:tabs>
        <w:spacing w:before="120" w:after="0" w:line="240" w:lineRule="auto"/>
      </w:pPr>
      <w:r w:rsidRPr="001B7099">
        <w:tab/>
      </w:r>
      <w:r w:rsidR="009C7082">
        <w:t>Xét đề nghị của Sở Tài chính tại Tờ trình số</w:t>
      </w:r>
      <w:r w:rsidR="00A12C56">
        <w:t xml:space="preserve"> 4056/TTr-STC ngày 18/11</w:t>
      </w:r>
      <w:r w:rsidR="009C7082">
        <w:t xml:space="preserve">/2016 </w:t>
      </w:r>
      <w:r w:rsidR="00A6581F">
        <w:t xml:space="preserve">và Tờ trình số 4302/TTr-STC ngày 07/12/2016 </w:t>
      </w:r>
      <w:r w:rsidR="00C3702B">
        <w:t xml:space="preserve">về việc </w:t>
      </w:r>
      <w:r w:rsidR="009C7082" w:rsidRPr="009C7082">
        <w:t>mức thu, miễn, giảm, thu, nộp, quản lý và sử dụng các khoản phí, lệ phí thuộc thẩm quyền của Hội đồng nhân dân tỉnh trên địa bàn tỉnh Hà Tĩnh</w:t>
      </w:r>
      <w:r w:rsidR="009C7082">
        <w:t xml:space="preserve"> (trên cơ sở đề nghị của các cơ quan, đơn vị</w:t>
      </w:r>
      <w:r w:rsidR="00C3702B">
        <w:t xml:space="preserve"> có liên quan</w:t>
      </w:r>
      <w:r w:rsidR="009C7082">
        <w:t>);</w:t>
      </w:r>
      <w:r w:rsidR="00A12C56">
        <w:t xml:space="preserve"> Báo cáo thẩm định của Sở Tư pháp tại Văn bản số </w:t>
      </w:r>
      <w:r w:rsidR="00A6581F">
        <w:t>440/BC-STP ngày 18/11/2016 và Văn bản số</w:t>
      </w:r>
      <w:r w:rsidR="00653755">
        <w:t xml:space="preserve"> 475/BC-STP ngày 06/12</w:t>
      </w:r>
      <w:bookmarkStart w:id="0" w:name="_GoBack"/>
      <w:bookmarkEnd w:id="0"/>
      <w:r w:rsidR="00A6581F">
        <w:t>/2016;</w:t>
      </w:r>
    </w:p>
    <w:p w:rsidR="00DD4028" w:rsidRPr="001B7099" w:rsidRDefault="009C7082" w:rsidP="00B07D22">
      <w:pPr>
        <w:tabs>
          <w:tab w:val="left" w:pos="709"/>
        </w:tabs>
        <w:spacing w:before="120" w:after="0" w:line="240" w:lineRule="auto"/>
      </w:pPr>
      <w:r>
        <w:tab/>
        <w:t>Ủy ban nhân dân tỉnh trình Hội đồng nhân dân tỉnh xem xét ban hành quy định mức thu, miễn, giảm, thu, nộp, quản lý và sử dụng các khoản phí, lệ phí thuộc thẩm quyền của Hội đồng nhân dân tỉnh trên địa bàn tỉnh Hà Tĩnh với</w:t>
      </w:r>
      <w:r w:rsidR="00DD4028" w:rsidRPr="001B7099">
        <w:t xml:space="preserve"> các nội dung chủ yếu như sau:</w:t>
      </w:r>
    </w:p>
    <w:p w:rsidR="00177C6F" w:rsidRPr="00A76BAC" w:rsidRDefault="002D6EED" w:rsidP="00B07D22">
      <w:pPr>
        <w:tabs>
          <w:tab w:val="left" w:pos="709"/>
        </w:tabs>
        <w:spacing w:before="120" w:after="0" w:line="240" w:lineRule="auto"/>
        <w:ind w:firstLine="720"/>
        <w:rPr>
          <w:b/>
        </w:rPr>
      </w:pPr>
      <w:r w:rsidRPr="001B7099">
        <w:rPr>
          <w:b/>
        </w:rPr>
        <w:t>1</w:t>
      </w:r>
      <w:r w:rsidR="00F40F98" w:rsidRPr="001B7099">
        <w:rPr>
          <w:b/>
        </w:rPr>
        <w:t xml:space="preserve">. Các loại phí đề nghị </w:t>
      </w:r>
      <w:r w:rsidR="00DD2C09" w:rsidRPr="001B7099">
        <w:rPr>
          <w:b/>
        </w:rPr>
        <w:t>ban hành</w:t>
      </w:r>
      <w:r w:rsidR="00F40F98" w:rsidRPr="001B7099">
        <w:rPr>
          <w:b/>
        </w:rPr>
        <w:t>:</w:t>
      </w:r>
      <w:r w:rsidR="00A76BAC">
        <w:rPr>
          <w:b/>
        </w:rPr>
        <w:t xml:space="preserve"> </w:t>
      </w:r>
      <w:r w:rsidR="00177C6F" w:rsidRPr="00A76BAC">
        <w:rPr>
          <w:i/>
        </w:rPr>
        <w:t>(</w:t>
      </w:r>
      <w:r w:rsidR="00A76BAC" w:rsidRPr="00A76BAC">
        <w:rPr>
          <w:i/>
        </w:rPr>
        <w:t>Chi tiết tại P</w:t>
      </w:r>
      <w:r w:rsidR="00177C6F" w:rsidRPr="00A76BAC">
        <w:rPr>
          <w:i/>
        </w:rPr>
        <w:t>hương án kèm theo)</w:t>
      </w:r>
    </w:p>
    <w:p w:rsidR="00B07D22" w:rsidRPr="001B7099" w:rsidRDefault="00B07D22" w:rsidP="00B07D22">
      <w:pPr>
        <w:tabs>
          <w:tab w:val="left" w:pos="709"/>
        </w:tabs>
        <w:spacing w:before="120" w:after="0" w:line="240" w:lineRule="auto"/>
      </w:pPr>
      <w:r>
        <w:tab/>
      </w:r>
      <w:r w:rsidRPr="001B7099">
        <w:t xml:space="preserve">1.1. </w:t>
      </w:r>
      <w:r w:rsidRPr="00D51AFB">
        <w:t>Phí bình tuyển, công nhận cây mẹ, cây đầu dòng, vườn giống cây lâm nghiệp, rừng giống (đối với hoạt động bình tuyển, công nhân do cơ quan địa phương thực hiện)</w:t>
      </w:r>
      <w:r w:rsidRPr="001B7099">
        <w:t>.</w:t>
      </w:r>
    </w:p>
    <w:p w:rsidR="00B07D22" w:rsidRPr="001B7099" w:rsidRDefault="00B07D22" w:rsidP="00B07D22">
      <w:pPr>
        <w:tabs>
          <w:tab w:val="left" w:pos="709"/>
        </w:tabs>
        <w:spacing w:before="120" w:after="0" w:line="240" w:lineRule="auto"/>
      </w:pPr>
      <w:r w:rsidRPr="001B7099">
        <w:lastRenderedPageBreak/>
        <w:tab/>
        <w:t xml:space="preserve">1.2. </w:t>
      </w:r>
      <w:r w:rsidRPr="00D51AFB">
        <w:t>Phí sử dụng công trình kết cấu hạ tầng trong khu vực Cửa khẩu quốc tế Cầu Treo</w:t>
      </w:r>
      <w:r w:rsidRPr="001B7099">
        <w:t>.</w:t>
      </w:r>
    </w:p>
    <w:p w:rsidR="00B07D22" w:rsidRPr="001B7099" w:rsidRDefault="00B07D22" w:rsidP="00B07D22">
      <w:pPr>
        <w:tabs>
          <w:tab w:val="left" w:pos="709"/>
        </w:tabs>
        <w:spacing w:before="120" w:after="0" w:line="240" w:lineRule="auto"/>
      </w:pPr>
      <w:r w:rsidRPr="001B7099">
        <w:tab/>
        <w:t xml:space="preserve">1.3. </w:t>
      </w:r>
      <w:r w:rsidRPr="00D51AFB">
        <w:t>Phí thăm quan danh lam thắng cảnh (đối với công trình thuộc địa phương quản lý)</w:t>
      </w:r>
      <w:r w:rsidRPr="001B7099">
        <w:t>.</w:t>
      </w:r>
    </w:p>
    <w:p w:rsidR="00B07D22" w:rsidRPr="001B7099" w:rsidRDefault="00B07D22" w:rsidP="00B07D22">
      <w:pPr>
        <w:tabs>
          <w:tab w:val="left" w:pos="709"/>
        </w:tabs>
        <w:spacing w:before="120" w:after="0" w:line="240" w:lineRule="auto"/>
        <w:ind w:firstLine="720"/>
      </w:pPr>
      <w:r w:rsidRPr="001B7099">
        <w:t xml:space="preserve">1.4. </w:t>
      </w:r>
      <w:r w:rsidRPr="00D51AFB">
        <w:t>Phí thăm quan di tích lịch sử (đối với công trình thuộc địa phương quản lý)</w:t>
      </w:r>
      <w:r w:rsidRPr="001B7099">
        <w:t>.</w:t>
      </w:r>
    </w:p>
    <w:p w:rsidR="00B07D22" w:rsidRPr="001B7099" w:rsidRDefault="00B07D22" w:rsidP="00B07D22">
      <w:pPr>
        <w:tabs>
          <w:tab w:val="left" w:pos="709"/>
        </w:tabs>
        <w:spacing w:before="120" w:after="0" w:line="240" w:lineRule="auto"/>
      </w:pPr>
      <w:r w:rsidRPr="001B7099">
        <w:tab/>
        <w:t xml:space="preserve">1.5. </w:t>
      </w:r>
      <w:r w:rsidRPr="00D51AFB">
        <w:t>Phí thư viện (đối với thư viện thuộc địa phương quản lý)</w:t>
      </w:r>
      <w:r w:rsidRPr="001B7099">
        <w:t>.</w:t>
      </w:r>
    </w:p>
    <w:p w:rsidR="00B07D22" w:rsidRPr="001B7099" w:rsidRDefault="00B07D22" w:rsidP="00B07D22">
      <w:pPr>
        <w:tabs>
          <w:tab w:val="left" w:pos="709"/>
        </w:tabs>
        <w:spacing w:before="120" w:after="0" w:line="240" w:lineRule="auto"/>
      </w:pPr>
      <w:r w:rsidRPr="001B7099">
        <w:tab/>
        <w:t xml:space="preserve">1.6. </w:t>
      </w:r>
      <w:r w:rsidRPr="00D51AFB">
        <w:t>Phí thẩm định báo cáo đánh giá tác động môi trường, đề án bảo vệ môi trường chi tiết (đối với hoạt động thẩm định do cơ quan địa phương thực hiện)</w:t>
      </w:r>
      <w:r w:rsidRPr="001B7099">
        <w:t>.</w:t>
      </w:r>
    </w:p>
    <w:p w:rsidR="00B07D22" w:rsidRPr="001B7099" w:rsidRDefault="00B07D22" w:rsidP="00B07D22">
      <w:pPr>
        <w:tabs>
          <w:tab w:val="left" w:pos="709"/>
        </w:tabs>
        <w:spacing w:before="120" w:after="0" w:line="240" w:lineRule="auto"/>
      </w:pPr>
      <w:r w:rsidRPr="001B7099">
        <w:tab/>
        <w:t xml:space="preserve">1.7. </w:t>
      </w:r>
      <w:r w:rsidRPr="00000070">
        <w:t>Phí thẩm định phương án cải tạo, phục hồi môi trường và phương án cải tạo, phục hồi môi trường bổ sung (đối với hoạt động thẩm định do cơ quan địa phương thực hiện)</w:t>
      </w:r>
      <w:r w:rsidRPr="001B7099">
        <w:t>.</w:t>
      </w:r>
    </w:p>
    <w:p w:rsidR="00B07D22" w:rsidRPr="001B7099" w:rsidRDefault="00B07D22" w:rsidP="00B07D22">
      <w:pPr>
        <w:tabs>
          <w:tab w:val="left" w:pos="709"/>
        </w:tabs>
        <w:spacing w:before="120" w:after="0" w:line="240" w:lineRule="auto"/>
      </w:pPr>
      <w:r w:rsidRPr="001B7099">
        <w:tab/>
        <w:t xml:space="preserve">1.8. </w:t>
      </w:r>
      <w:r w:rsidRPr="00000070">
        <w:t>Phí thẩm định hồ sơ cấp giấy chứng nhận quyền sử dụng đất</w:t>
      </w:r>
      <w:r w:rsidRPr="001B7099">
        <w:t>.</w:t>
      </w:r>
    </w:p>
    <w:p w:rsidR="00B07D22" w:rsidRPr="001B7099" w:rsidRDefault="00B07D22" w:rsidP="00B07D22">
      <w:pPr>
        <w:tabs>
          <w:tab w:val="left" w:pos="709"/>
        </w:tabs>
        <w:spacing w:before="120" w:after="0" w:line="240" w:lineRule="auto"/>
      </w:pPr>
      <w:r w:rsidRPr="001B7099">
        <w:tab/>
        <w:t xml:space="preserve">1.9. </w:t>
      </w:r>
      <w:r w:rsidRPr="00000070">
        <w:t>Phí thẩm định đề án, báo cáo thăm dò đánh giá trữ lượng khai thác, sử dụng nước dưới đất (đối với hoạt động thẩm định do cơ quan địa phương thực hiện)</w:t>
      </w:r>
      <w:r w:rsidRPr="001B7099">
        <w:t>.</w:t>
      </w:r>
    </w:p>
    <w:p w:rsidR="00B07D22" w:rsidRPr="001B7099" w:rsidRDefault="00B07D22" w:rsidP="00B07D22">
      <w:pPr>
        <w:tabs>
          <w:tab w:val="left" w:pos="709"/>
        </w:tabs>
        <w:spacing w:before="120" w:after="0" w:line="240" w:lineRule="auto"/>
      </w:pPr>
      <w:r w:rsidRPr="001B7099">
        <w:tab/>
        <w:t xml:space="preserve">1.10. </w:t>
      </w:r>
      <w:r w:rsidRPr="00000070">
        <w:t>Phí thẩm định hồ sơ, điều kiện hành nghề khoan nước dưới đất (đối với hoạt động thẩm định do cơ quan địa phương thực hiện)</w:t>
      </w:r>
      <w:r w:rsidRPr="001B7099">
        <w:t>.</w:t>
      </w:r>
    </w:p>
    <w:p w:rsidR="00B07D22" w:rsidRPr="001B7099" w:rsidRDefault="00B07D22" w:rsidP="00B07D22">
      <w:pPr>
        <w:tabs>
          <w:tab w:val="left" w:pos="709"/>
        </w:tabs>
        <w:spacing w:before="120" w:after="0" w:line="240" w:lineRule="auto"/>
      </w:pPr>
      <w:r w:rsidRPr="001B7099">
        <w:tab/>
        <w:t xml:space="preserve">1.11. </w:t>
      </w:r>
      <w:r w:rsidRPr="00000070">
        <w:t>Phí thẩm định đề án khai thác, sử dụng nước mặt, nước biển (đối với hoạt động thẩm định do cơ quan địa phương thực hiện)</w:t>
      </w:r>
      <w:r w:rsidRPr="001B7099">
        <w:t>.</w:t>
      </w:r>
    </w:p>
    <w:p w:rsidR="00B07D22" w:rsidRPr="001B7099" w:rsidRDefault="00B07D22" w:rsidP="00B07D22">
      <w:pPr>
        <w:tabs>
          <w:tab w:val="left" w:pos="709"/>
        </w:tabs>
        <w:spacing w:before="120" w:after="0" w:line="240" w:lineRule="auto"/>
      </w:pPr>
      <w:r w:rsidRPr="001B7099">
        <w:tab/>
        <w:t xml:space="preserve">1.12. </w:t>
      </w:r>
      <w:r w:rsidRPr="00000070">
        <w:t>Phí thẩm định đề án xả nước thải vào nguồn nước, công trình thủy lợi (đối với hoạt động thẩm định do cơ quan địa phương thực hiện)</w:t>
      </w:r>
      <w:r w:rsidRPr="001B7099">
        <w:t>.</w:t>
      </w:r>
    </w:p>
    <w:p w:rsidR="00B07D22" w:rsidRPr="001B7099" w:rsidRDefault="00B07D22" w:rsidP="00B07D22">
      <w:pPr>
        <w:tabs>
          <w:tab w:val="left" w:pos="709"/>
        </w:tabs>
        <w:spacing w:before="120" w:after="0" w:line="240" w:lineRule="auto"/>
      </w:pPr>
      <w:r w:rsidRPr="001B7099">
        <w:tab/>
        <w:t>1.13. Phí khai thác và sử dụng tài liệu đất đai.</w:t>
      </w:r>
    </w:p>
    <w:p w:rsidR="00B07D22" w:rsidRPr="001B7099" w:rsidRDefault="00B07D22" w:rsidP="00B07D22">
      <w:pPr>
        <w:tabs>
          <w:tab w:val="left" w:pos="709"/>
        </w:tabs>
        <w:spacing w:before="120" w:after="0" w:line="240" w:lineRule="auto"/>
      </w:pPr>
      <w:r w:rsidRPr="001B7099">
        <w:tab/>
        <w:t>1.14. Phí cung cấp thông tin về giao dịch bảo đảm bằng quyền sử dụng đất, tài sản gắn liền với đất.</w:t>
      </w:r>
    </w:p>
    <w:p w:rsidR="00B07D22" w:rsidRDefault="00B07D22" w:rsidP="00B07D22">
      <w:pPr>
        <w:tabs>
          <w:tab w:val="left" w:pos="709"/>
        </w:tabs>
        <w:spacing w:before="120" w:after="0" w:line="240" w:lineRule="auto"/>
      </w:pPr>
      <w:r w:rsidRPr="001B7099">
        <w:tab/>
        <w:t xml:space="preserve">1.15. </w:t>
      </w:r>
      <w:r w:rsidRPr="00000070">
        <w:t>Phí đăng ký giao dịch bảo đảm (đối với hoạt động đăng ký do cơ quan địa phương thực hiện)</w:t>
      </w:r>
      <w:r w:rsidRPr="001B7099">
        <w:t>.</w:t>
      </w:r>
    </w:p>
    <w:p w:rsidR="000230FC" w:rsidRPr="001B7099" w:rsidRDefault="00A835B5" w:rsidP="00B07D22">
      <w:pPr>
        <w:tabs>
          <w:tab w:val="left" w:pos="709"/>
        </w:tabs>
        <w:spacing w:before="120" w:after="0" w:line="240" w:lineRule="auto"/>
        <w:rPr>
          <w:b/>
        </w:rPr>
      </w:pPr>
      <w:r w:rsidRPr="001B7099">
        <w:rPr>
          <w:b/>
        </w:rPr>
        <w:tab/>
      </w:r>
      <w:r w:rsidR="00DD2C09" w:rsidRPr="001B7099">
        <w:rPr>
          <w:b/>
        </w:rPr>
        <w:t>2</w:t>
      </w:r>
      <w:r w:rsidR="000230FC" w:rsidRPr="001B7099">
        <w:rPr>
          <w:b/>
        </w:rPr>
        <w:t xml:space="preserve">. Các loại lệ phí đề nghị </w:t>
      </w:r>
      <w:r w:rsidR="00DD2C09" w:rsidRPr="001B7099">
        <w:rPr>
          <w:b/>
        </w:rPr>
        <w:t>ban hành</w:t>
      </w:r>
      <w:r w:rsidR="000230FC" w:rsidRPr="001B7099">
        <w:rPr>
          <w:b/>
        </w:rPr>
        <w:t>:</w:t>
      </w:r>
      <w:r w:rsidR="00A76BAC">
        <w:rPr>
          <w:b/>
        </w:rPr>
        <w:t xml:space="preserve"> </w:t>
      </w:r>
      <w:r w:rsidR="00A76BAC" w:rsidRPr="00A76BAC">
        <w:rPr>
          <w:i/>
        </w:rPr>
        <w:t>(Chi tiết tại Phương án kèm theo)</w:t>
      </w:r>
    </w:p>
    <w:p w:rsidR="00B07D22" w:rsidRPr="001B7099" w:rsidRDefault="00B07D22" w:rsidP="00B07D22">
      <w:pPr>
        <w:tabs>
          <w:tab w:val="left" w:pos="709"/>
        </w:tabs>
        <w:spacing w:before="120" w:after="0" w:line="240" w:lineRule="auto"/>
        <w:ind w:firstLine="720"/>
      </w:pPr>
      <w:r w:rsidRPr="001B7099">
        <w:t xml:space="preserve">2.1. </w:t>
      </w:r>
      <w:r w:rsidRPr="00DC6F67">
        <w:t>Lệ phí đăng ký cư trú (đối với hoạt động do cơ quan địa phương thực hiện)</w:t>
      </w:r>
      <w:r w:rsidRPr="001B7099">
        <w:t>.</w:t>
      </w:r>
    </w:p>
    <w:p w:rsidR="00B07D22" w:rsidRPr="001B7099" w:rsidRDefault="00B07D22" w:rsidP="00B07D22">
      <w:pPr>
        <w:tabs>
          <w:tab w:val="left" w:pos="709"/>
        </w:tabs>
        <w:spacing w:before="120" w:after="0" w:line="240" w:lineRule="auto"/>
      </w:pPr>
      <w:r w:rsidRPr="001B7099">
        <w:tab/>
        <w:t xml:space="preserve">2.2. </w:t>
      </w:r>
      <w:r w:rsidRPr="00DC6F67">
        <w:t>Lệ phí cấp chứng minh nhân dân (đối với hoạt động do cơ quan địa phương thực hiện)</w:t>
      </w:r>
      <w:r w:rsidRPr="001B7099">
        <w:t>.</w:t>
      </w:r>
    </w:p>
    <w:p w:rsidR="00B07D22" w:rsidRPr="001B7099" w:rsidRDefault="00B07D22" w:rsidP="00B07D22">
      <w:pPr>
        <w:tabs>
          <w:tab w:val="left" w:pos="709"/>
        </w:tabs>
        <w:spacing w:before="120" w:after="0" w:line="240" w:lineRule="auto"/>
      </w:pPr>
      <w:r w:rsidRPr="001B7099">
        <w:tab/>
        <w:t>2.3. Lệ phí hộ tịch.</w:t>
      </w:r>
    </w:p>
    <w:p w:rsidR="00B07D22" w:rsidRPr="001B7099" w:rsidRDefault="00B07D22" w:rsidP="00B07D22">
      <w:pPr>
        <w:tabs>
          <w:tab w:val="left" w:pos="709"/>
        </w:tabs>
        <w:spacing w:before="120" w:after="0" w:line="240" w:lineRule="auto"/>
      </w:pPr>
      <w:r w:rsidRPr="001B7099">
        <w:tab/>
        <w:t xml:space="preserve">2.4. </w:t>
      </w:r>
      <w:r w:rsidRPr="00336B0E">
        <w:t>Lệ phí cấp giấy phép lao động cho người nước ngoài làm việc trên địa bàn tỉnh Hà Tĩnh (đối với cấp phép do cơ quan địa phương thực hiện)</w:t>
      </w:r>
      <w:r w:rsidRPr="001B7099">
        <w:t>.</w:t>
      </w:r>
    </w:p>
    <w:p w:rsidR="00B07D22" w:rsidRPr="001B7099" w:rsidRDefault="00B07D22" w:rsidP="00B07D22">
      <w:pPr>
        <w:tabs>
          <w:tab w:val="left" w:pos="709"/>
        </w:tabs>
        <w:spacing w:before="120" w:after="0" w:line="240" w:lineRule="auto"/>
      </w:pPr>
      <w:r w:rsidRPr="001B7099">
        <w:tab/>
        <w:t>2.5. Lệ phí cấp giấy chứng nhận quyền sử dụng đất, quyền sở hữu nhà, tài sản gắn liền với đất.</w:t>
      </w:r>
    </w:p>
    <w:p w:rsidR="00B07D22" w:rsidRPr="001B7099" w:rsidRDefault="00B07D22" w:rsidP="00B07D22">
      <w:pPr>
        <w:tabs>
          <w:tab w:val="left" w:pos="709"/>
        </w:tabs>
        <w:spacing w:before="120" w:after="0" w:line="240" w:lineRule="auto"/>
      </w:pPr>
      <w:r w:rsidRPr="001B7099">
        <w:lastRenderedPageBreak/>
        <w:tab/>
        <w:t>2.6. Lệ phí cấp giấy phép xây dựng.</w:t>
      </w:r>
    </w:p>
    <w:p w:rsidR="00B07D22" w:rsidRPr="001B7099" w:rsidRDefault="00B07D22" w:rsidP="00B07D22">
      <w:pPr>
        <w:tabs>
          <w:tab w:val="left" w:pos="709"/>
        </w:tabs>
        <w:spacing w:before="120" w:after="0" w:line="240" w:lineRule="auto"/>
      </w:pPr>
      <w:r w:rsidRPr="001B7099">
        <w:tab/>
        <w:t>2.7. Lệ phí đăng ký kinh doanh.</w:t>
      </w:r>
    </w:p>
    <w:p w:rsidR="001F1A13" w:rsidRDefault="00225C4A" w:rsidP="00B07D22">
      <w:pPr>
        <w:tabs>
          <w:tab w:val="left" w:pos="709"/>
        </w:tabs>
        <w:spacing w:before="120" w:after="0" w:line="240" w:lineRule="auto"/>
        <w:rPr>
          <w:b/>
        </w:rPr>
      </w:pPr>
      <w:r w:rsidRPr="001B7099">
        <w:tab/>
      </w:r>
      <w:r w:rsidR="002517B2">
        <w:rPr>
          <w:b/>
        </w:rPr>
        <w:t>3</w:t>
      </w:r>
      <w:r w:rsidR="001F1A13" w:rsidRPr="001B7099">
        <w:rPr>
          <w:b/>
        </w:rPr>
        <w:t>. Các loại phí và lệ phí đề nghị bãi bỏ:</w:t>
      </w:r>
    </w:p>
    <w:p w:rsidR="00097F8C" w:rsidRPr="00097F8C" w:rsidRDefault="00097F8C" w:rsidP="00097F8C">
      <w:pPr>
        <w:tabs>
          <w:tab w:val="left" w:pos="709"/>
        </w:tabs>
        <w:spacing w:before="120" w:after="0" w:line="240" w:lineRule="auto"/>
        <w:rPr>
          <w:b/>
          <w:sz w:val="10"/>
        </w:rPr>
      </w:pPr>
    </w:p>
    <w:tbl>
      <w:tblPr>
        <w:tblStyle w:val="TableGrid"/>
        <w:tblW w:w="9198" w:type="dxa"/>
        <w:jc w:val="center"/>
        <w:tblLook w:val="04A0" w:firstRow="1" w:lastRow="0" w:firstColumn="1" w:lastColumn="0" w:noHBand="0" w:noVBand="1"/>
      </w:tblPr>
      <w:tblGrid>
        <w:gridCol w:w="708"/>
        <w:gridCol w:w="3750"/>
        <w:gridCol w:w="4740"/>
      </w:tblGrid>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b/>
                <w:sz w:val="24"/>
                <w:szCs w:val="24"/>
              </w:rPr>
            </w:pPr>
            <w:r w:rsidRPr="00097F8C">
              <w:rPr>
                <w:rFonts w:cs="Times New Roman"/>
                <w:b/>
                <w:sz w:val="24"/>
                <w:szCs w:val="24"/>
              </w:rPr>
              <w:t>STT</w:t>
            </w:r>
          </w:p>
        </w:tc>
        <w:tc>
          <w:tcPr>
            <w:tcW w:w="3750" w:type="dxa"/>
            <w:vAlign w:val="center"/>
          </w:tcPr>
          <w:p w:rsidR="00C3702B" w:rsidRPr="00097F8C" w:rsidRDefault="00C3702B" w:rsidP="00097F8C">
            <w:pPr>
              <w:tabs>
                <w:tab w:val="left" w:pos="709"/>
              </w:tabs>
              <w:spacing w:before="60" w:after="60"/>
              <w:jc w:val="center"/>
              <w:rPr>
                <w:rFonts w:cs="Times New Roman"/>
                <w:b/>
                <w:sz w:val="24"/>
                <w:szCs w:val="24"/>
              </w:rPr>
            </w:pPr>
            <w:r w:rsidRPr="00097F8C">
              <w:rPr>
                <w:rFonts w:cs="Times New Roman"/>
                <w:b/>
                <w:sz w:val="24"/>
                <w:szCs w:val="24"/>
              </w:rPr>
              <w:t>Loại phí, lệ phí</w:t>
            </w:r>
          </w:p>
        </w:tc>
        <w:tc>
          <w:tcPr>
            <w:tcW w:w="4740" w:type="dxa"/>
            <w:vAlign w:val="center"/>
          </w:tcPr>
          <w:p w:rsidR="00C3702B" w:rsidRPr="00097F8C" w:rsidRDefault="00C3702B" w:rsidP="00097F8C">
            <w:pPr>
              <w:tabs>
                <w:tab w:val="left" w:pos="709"/>
              </w:tabs>
              <w:spacing w:before="60" w:after="60"/>
              <w:jc w:val="center"/>
              <w:rPr>
                <w:rFonts w:cs="Times New Roman"/>
                <w:b/>
                <w:sz w:val="24"/>
                <w:szCs w:val="24"/>
              </w:rPr>
            </w:pPr>
            <w:r w:rsidRPr="00097F8C">
              <w:rPr>
                <w:rFonts w:cs="Times New Roman"/>
                <w:b/>
                <w:sz w:val="24"/>
                <w:szCs w:val="24"/>
              </w:rPr>
              <w:t>Lý do bãi bỏ</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b/>
                <w:sz w:val="24"/>
                <w:szCs w:val="24"/>
              </w:rPr>
            </w:pPr>
            <w:r w:rsidRPr="00097F8C">
              <w:rPr>
                <w:rFonts w:cs="Times New Roman"/>
                <w:b/>
                <w:sz w:val="24"/>
                <w:szCs w:val="24"/>
              </w:rPr>
              <w:t>I</w:t>
            </w:r>
          </w:p>
        </w:tc>
        <w:tc>
          <w:tcPr>
            <w:tcW w:w="3750" w:type="dxa"/>
            <w:vAlign w:val="center"/>
          </w:tcPr>
          <w:p w:rsidR="00C3702B" w:rsidRPr="00097F8C" w:rsidRDefault="00C3702B" w:rsidP="00097F8C">
            <w:pPr>
              <w:tabs>
                <w:tab w:val="left" w:pos="709"/>
              </w:tabs>
              <w:spacing w:before="60" w:after="60"/>
              <w:rPr>
                <w:rFonts w:cs="Times New Roman"/>
                <w:b/>
                <w:sz w:val="24"/>
                <w:szCs w:val="24"/>
              </w:rPr>
            </w:pPr>
            <w:r w:rsidRPr="00097F8C">
              <w:rPr>
                <w:rFonts w:cs="Times New Roman"/>
                <w:b/>
                <w:sz w:val="24"/>
                <w:szCs w:val="24"/>
              </w:rPr>
              <w:t>Phí:</w:t>
            </w:r>
          </w:p>
        </w:tc>
        <w:tc>
          <w:tcPr>
            <w:tcW w:w="4740" w:type="dxa"/>
            <w:vAlign w:val="center"/>
          </w:tcPr>
          <w:p w:rsidR="00C3702B" w:rsidRPr="00097F8C" w:rsidRDefault="00C3702B" w:rsidP="00097F8C">
            <w:pPr>
              <w:tabs>
                <w:tab w:val="left" w:pos="709"/>
              </w:tabs>
              <w:spacing w:before="60" w:after="60"/>
              <w:rPr>
                <w:rFonts w:cs="Times New Roman"/>
                <w:b/>
                <w:sz w:val="24"/>
                <w:szCs w:val="24"/>
              </w:rPr>
            </w:pP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1</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qua cầu</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2</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sử dụng cảng cá</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3</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dự thi, dự tuyển</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4</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đấu giá</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5</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đo đạc, lập bản đồ địa chính</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Chuyển sang giá dịch vụ do Nhà nước định giá</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6</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vệ sinh</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Chuyển sang giá dịch vụ do Nhà nước định giá</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7</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qua đò</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Chuyển sang giá dịch vụ do Nhà nước định giá</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8</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qua phà</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Chuyển sang giá dịch vụ do Nhà nước định giá</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9</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bảo vệ môi trường đối với chất thải rắn</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Chuyển sang giá dịch vụ do Nhà nước định giá</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10</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chợ</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Chuyển sang giá dịch vụ do Nhà nước định giá</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11</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Phí trông giữ xe</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Chuyển sang giá dịch vụ do Nhà nước định giá</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b/>
                <w:sz w:val="24"/>
                <w:szCs w:val="24"/>
              </w:rPr>
            </w:pPr>
            <w:r w:rsidRPr="00097F8C">
              <w:rPr>
                <w:rFonts w:cs="Times New Roman"/>
                <w:b/>
                <w:sz w:val="24"/>
                <w:szCs w:val="24"/>
              </w:rPr>
              <w:t>II</w:t>
            </w:r>
          </w:p>
        </w:tc>
        <w:tc>
          <w:tcPr>
            <w:tcW w:w="3750" w:type="dxa"/>
            <w:vAlign w:val="center"/>
          </w:tcPr>
          <w:p w:rsidR="00C3702B" w:rsidRPr="00097F8C" w:rsidRDefault="00C3702B" w:rsidP="00097F8C">
            <w:pPr>
              <w:tabs>
                <w:tab w:val="left" w:pos="709"/>
              </w:tabs>
              <w:spacing w:before="60" w:after="60"/>
              <w:rPr>
                <w:rFonts w:cs="Times New Roman"/>
                <w:b/>
                <w:sz w:val="24"/>
                <w:szCs w:val="24"/>
              </w:rPr>
            </w:pPr>
            <w:r w:rsidRPr="00097F8C">
              <w:rPr>
                <w:rFonts w:cs="Times New Roman"/>
                <w:b/>
                <w:sz w:val="24"/>
                <w:szCs w:val="24"/>
              </w:rPr>
              <w:t>Lệ phí:</w:t>
            </w:r>
          </w:p>
        </w:tc>
        <w:tc>
          <w:tcPr>
            <w:tcW w:w="4740" w:type="dxa"/>
            <w:vAlign w:val="center"/>
          </w:tcPr>
          <w:p w:rsidR="00C3702B" w:rsidRPr="00097F8C" w:rsidRDefault="00C3702B" w:rsidP="00097F8C">
            <w:pPr>
              <w:tabs>
                <w:tab w:val="left" w:pos="709"/>
              </w:tabs>
              <w:spacing w:before="60" w:after="60"/>
              <w:rPr>
                <w:rFonts w:cs="Times New Roman"/>
                <w:b/>
                <w:sz w:val="24"/>
                <w:szCs w:val="24"/>
              </w:rPr>
            </w:pP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1</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Lệ phí cấp giấy phép thăm dò, khai thác và sử dụng nước dưới đất</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2</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Lệ phí cấp giấy phép khai thác, sử dụng mặt nước</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3</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Lệ phí cấp giấy phép xả thải vào nguồn nước</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4</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Lệ phí cấp giấy phép xả thải vào công trình thủy lợi</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5</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Lệ phí cấp biển số nhà</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6</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Lệ phí cấp giấy phép kinh doanh bằng xe ô tô</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r w:rsidR="00C3702B" w:rsidRPr="001B7099" w:rsidTr="00097F8C">
        <w:trPr>
          <w:jc w:val="center"/>
        </w:trPr>
        <w:tc>
          <w:tcPr>
            <w:tcW w:w="708" w:type="dxa"/>
            <w:vAlign w:val="center"/>
          </w:tcPr>
          <w:p w:rsidR="00C3702B" w:rsidRPr="00097F8C" w:rsidRDefault="00C3702B" w:rsidP="00097F8C">
            <w:pPr>
              <w:tabs>
                <w:tab w:val="left" w:pos="709"/>
              </w:tabs>
              <w:spacing w:before="60" w:after="60"/>
              <w:jc w:val="center"/>
              <w:rPr>
                <w:rFonts w:cs="Times New Roman"/>
                <w:sz w:val="24"/>
                <w:szCs w:val="24"/>
              </w:rPr>
            </w:pPr>
            <w:r w:rsidRPr="00097F8C">
              <w:rPr>
                <w:rFonts w:cs="Times New Roman"/>
                <w:sz w:val="24"/>
                <w:szCs w:val="24"/>
              </w:rPr>
              <w:t>7</w:t>
            </w:r>
          </w:p>
        </w:tc>
        <w:tc>
          <w:tcPr>
            <w:tcW w:w="375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Lệ phí cung cấp thông tin về đăng ký kinh doanh</w:t>
            </w:r>
          </w:p>
        </w:tc>
        <w:tc>
          <w:tcPr>
            <w:tcW w:w="4740" w:type="dxa"/>
            <w:vAlign w:val="center"/>
          </w:tcPr>
          <w:p w:rsidR="00C3702B" w:rsidRPr="00097F8C" w:rsidRDefault="00C3702B" w:rsidP="00097F8C">
            <w:pPr>
              <w:tabs>
                <w:tab w:val="left" w:pos="709"/>
              </w:tabs>
              <w:spacing w:before="60" w:after="60"/>
              <w:rPr>
                <w:rFonts w:cs="Times New Roman"/>
                <w:sz w:val="24"/>
                <w:szCs w:val="24"/>
              </w:rPr>
            </w:pPr>
            <w:r w:rsidRPr="00097F8C">
              <w:rPr>
                <w:rFonts w:cs="Times New Roman"/>
                <w:sz w:val="24"/>
                <w:szCs w:val="24"/>
              </w:rPr>
              <w:t>Không có trong Danh mục kèm theo Luật Phí và lệ phí</w:t>
            </w:r>
          </w:p>
        </w:tc>
      </w:tr>
    </w:tbl>
    <w:p w:rsidR="002265D9" w:rsidRDefault="0035312D" w:rsidP="00097F8C">
      <w:pPr>
        <w:tabs>
          <w:tab w:val="left" w:pos="709"/>
        </w:tabs>
        <w:spacing w:before="120" w:after="0" w:line="240" w:lineRule="auto"/>
        <w:ind w:firstLine="720"/>
        <w:rPr>
          <w:b/>
        </w:rPr>
      </w:pPr>
      <w:r>
        <w:rPr>
          <w:b/>
        </w:rPr>
        <w:t>4</w:t>
      </w:r>
      <w:r w:rsidR="002265D9">
        <w:rPr>
          <w:b/>
        </w:rPr>
        <w:t>. Đối với các khoản phí, lệ phí chưa trình tại Kỳ họp thứ 3 Hội đồng nhân dân tỉnh khóa XVII:</w:t>
      </w:r>
    </w:p>
    <w:p w:rsidR="002265D9" w:rsidRPr="004D3422" w:rsidRDefault="00B648EA" w:rsidP="00097F8C">
      <w:pPr>
        <w:tabs>
          <w:tab w:val="left" w:pos="709"/>
        </w:tabs>
        <w:spacing w:before="120" w:after="0" w:line="240" w:lineRule="auto"/>
        <w:ind w:firstLine="720"/>
      </w:pPr>
      <w:r w:rsidRPr="00B648EA">
        <w:lastRenderedPageBreak/>
        <w:t>Đối với các khoản phí, lệ phí nằm trong Danh mục Phí và lệ phí thuộc thẩm quyền của Hội đồng nhân dân tỉnh, thành phố trực thuộc Trung ương theo Phụ lục số 01 ban hành kèm theo Luật Phí và lệ phí nhưng chưa trình tại Kỳ họp thứ 3 Hội đồng nhân dân tỉnh khóa XVII, khi có văn bản quy định, hướng dẫn của Trung ương và căn cứ tình hình thực tế tại địa phương, UBND tỉnh sẽ chỉ đạo các cơ quan, đơn vị liên quan xây dựng, thẩm định phương án phí, lệ phí, trình HĐND tỉnh tạ</w:t>
      </w:r>
      <w:r w:rsidR="00A76BAC">
        <w:t>i K</w:t>
      </w:r>
      <w:r w:rsidRPr="00B648EA">
        <w:t>ỳ họp gần nhất</w:t>
      </w:r>
      <w:r w:rsidR="002265D9">
        <w:t>.</w:t>
      </w:r>
    </w:p>
    <w:p w:rsidR="002265D9" w:rsidRDefault="00E54C5F" w:rsidP="00097F8C">
      <w:pPr>
        <w:tabs>
          <w:tab w:val="left" w:pos="709"/>
        </w:tabs>
        <w:spacing w:before="120" w:after="0" w:line="240" w:lineRule="auto"/>
        <w:ind w:firstLine="720"/>
      </w:pPr>
      <w:r>
        <w:rPr>
          <w:b/>
        </w:rPr>
        <w:t>5</w:t>
      </w:r>
      <w:r w:rsidR="002265D9" w:rsidRPr="009947BC">
        <w:rPr>
          <w:b/>
        </w:rPr>
        <w:t>. Thời gian thực hiện:</w:t>
      </w:r>
      <w:r w:rsidR="002265D9">
        <w:t xml:space="preserve"> Từ ngày 01 tháng 01 năm 2017.</w:t>
      </w:r>
    </w:p>
    <w:p w:rsidR="002265D9" w:rsidRPr="009947BC" w:rsidRDefault="00E54C5F" w:rsidP="00097F8C">
      <w:pPr>
        <w:tabs>
          <w:tab w:val="left" w:pos="709"/>
        </w:tabs>
        <w:spacing w:before="120" w:after="0" w:line="240" w:lineRule="auto"/>
        <w:ind w:firstLine="720"/>
        <w:rPr>
          <w:b/>
        </w:rPr>
      </w:pPr>
      <w:r>
        <w:rPr>
          <w:b/>
        </w:rPr>
        <w:t>6</w:t>
      </w:r>
      <w:r w:rsidR="00A76BAC">
        <w:rPr>
          <w:b/>
        </w:rPr>
        <w:t>. Các V</w:t>
      </w:r>
      <w:r w:rsidR="002265D9" w:rsidRPr="009947BC">
        <w:rPr>
          <w:b/>
        </w:rPr>
        <w:t>ăn bản bị thay thế khi Nghị quyết có hiệu lực thi hành:</w:t>
      </w:r>
    </w:p>
    <w:p w:rsidR="00154447" w:rsidRDefault="002265D9" w:rsidP="00097F8C">
      <w:pPr>
        <w:tabs>
          <w:tab w:val="left" w:pos="709"/>
        </w:tabs>
        <w:spacing w:before="120" w:after="0" w:line="240" w:lineRule="auto"/>
      </w:pPr>
      <w:r>
        <w:tab/>
      </w:r>
      <w:r w:rsidRPr="00332716">
        <w:t>Các Nghị quyết của Hội đồng nhân dân tỉnh và các Quyết định của Ủy ban nhân dân tỉnh quy định chi tiết các khoản phí, lệ phí thuộc thẩm quyền của Hội đồng nhân dân tỉnh căn cứ theo Pháp lệnh Phí và lệ phí số 38/2001/PL-UBTVQH10 ngày 28 tháng 8 năm 2001; Thông tư số 02/2014/TT-BTC ngày 02 tháng 01 năm 2014 của Bộ Tài chính hướng dẫn về phí và lệ phí thuộc thẩm quyền quyết định của Hội đồng nhân dân tỉnh, thành phố Trung ương hết hiệu lực kể từ ngày Nghị quyết này có hiệu lực thi hành</w:t>
      </w:r>
      <w:r w:rsidR="00530E82">
        <w:t>.</w:t>
      </w:r>
    </w:p>
    <w:p w:rsidR="00DE7451" w:rsidRDefault="00154447" w:rsidP="00097F8C">
      <w:pPr>
        <w:tabs>
          <w:tab w:val="left" w:pos="709"/>
        </w:tabs>
        <w:spacing w:before="120" w:after="0" w:line="240" w:lineRule="auto"/>
      </w:pPr>
      <w:r>
        <w:tab/>
      </w:r>
      <w:r w:rsidRPr="00154447">
        <w:t>Uỷ ban nhân dân tỉnh trình Hội đồng nhân dân tỉnh xem xét, quyết định</w:t>
      </w:r>
      <w:r>
        <w:t>.</w:t>
      </w:r>
      <w:r w:rsidR="00DE7451" w:rsidRPr="001B7099">
        <w:t>/.</w:t>
      </w:r>
    </w:p>
    <w:p w:rsidR="00154447" w:rsidRPr="001B7099" w:rsidRDefault="00154447" w:rsidP="002265D9">
      <w:pPr>
        <w:tabs>
          <w:tab w:val="left" w:pos="70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rsidTr="00C46FA5">
        <w:tc>
          <w:tcPr>
            <w:tcW w:w="4644" w:type="dxa"/>
          </w:tcPr>
          <w:p w:rsidR="00C46FA5" w:rsidRPr="001B7099" w:rsidRDefault="00C46FA5" w:rsidP="00B058FF">
            <w:pPr>
              <w:tabs>
                <w:tab w:val="left" w:pos="709"/>
              </w:tabs>
              <w:rPr>
                <w:b/>
                <w:i/>
                <w:sz w:val="24"/>
                <w:szCs w:val="24"/>
              </w:rPr>
            </w:pPr>
            <w:r w:rsidRPr="001B7099">
              <w:rPr>
                <w:b/>
                <w:i/>
                <w:sz w:val="24"/>
                <w:szCs w:val="24"/>
              </w:rPr>
              <w:t>Nơi nhận:</w:t>
            </w:r>
          </w:p>
          <w:p w:rsidR="00C46FA5" w:rsidRPr="001B7099" w:rsidRDefault="00C46FA5" w:rsidP="00B058FF">
            <w:pPr>
              <w:tabs>
                <w:tab w:val="left" w:pos="709"/>
              </w:tabs>
              <w:rPr>
                <w:sz w:val="22"/>
              </w:rPr>
            </w:pPr>
            <w:r w:rsidRPr="001B7099">
              <w:rPr>
                <w:sz w:val="22"/>
              </w:rPr>
              <w:t xml:space="preserve">- </w:t>
            </w:r>
            <w:r w:rsidR="00A76BAC">
              <w:rPr>
                <w:sz w:val="22"/>
              </w:rPr>
              <w:t xml:space="preserve">Thường trực </w:t>
            </w:r>
            <w:r w:rsidR="002265D9">
              <w:rPr>
                <w:sz w:val="22"/>
              </w:rPr>
              <w:t>HĐND tỉnh</w:t>
            </w:r>
            <w:r w:rsidRPr="001B7099">
              <w:rPr>
                <w:sz w:val="22"/>
              </w:rPr>
              <w:t>;</w:t>
            </w:r>
          </w:p>
          <w:p w:rsidR="00C46FA5" w:rsidRPr="001B7099" w:rsidRDefault="00C46FA5" w:rsidP="00B058FF">
            <w:pPr>
              <w:tabs>
                <w:tab w:val="left" w:pos="709"/>
              </w:tabs>
              <w:rPr>
                <w:sz w:val="22"/>
              </w:rPr>
            </w:pPr>
            <w:r w:rsidRPr="001B7099">
              <w:rPr>
                <w:sz w:val="22"/>
              </w:rPr>
              <w:t xml:space="preserve">- </w:t>
            </w:r>
            <w:r w:rsidR="002265D9">
              <w:rPr>
                <w:sz w:val="22"/>
              </w:rPr>
              <w:t>Chủ tịch, các PCT UBND tỉnh</w:t>
            </w:r>
            <w:r w:rsidRPr="001B7099">
              <w:rPr>
                <w:sz w:val="22"/>
              </w:rPr>
              <w:t>;</w:t>
            </w:r>
          </w:p>
          <w:p w:rsidR="00C46FA5" w:rsidRDefault="00C46FA5" w:rsidP="00B058FF">
            <w:pPr>
              <w:tabs>
                <w:tab w:val="left" w:pos="709"/>
              </w:tabs>
              <w:rPr>
                <w:sz w:val="22"/>
              </w:rPr>
            </w:pPr>
            <w:r w:rsidRPr="001B7099">
              <w:rPr>
                <w:sz w:val="22"/>
              </w:rPr>
              <w:t xml:space="preserve">- </w:t>
            </w:r>
            <w:r w:rsidR="002265D9">
              <w:rPr>
                <w:sz w:val="22"/>
              </w:rPr>
              <w:t>Các đại biểu HĐND tỉnh</w:t>
            </w:r>
            <w:r w:rsidRPr="001B7099">
              <w:rPr>
                <w:sz w:val="22"/>
              </w:rPr>
              <w:t>;</w:t>
            </w:r>
          </w:p>
          <w:p w:rsidR="002265D9" w:rsidRPr="001B7099" w:rsidRDefault="002265D9" w:rsidP="00B058FF">
            <w:pPr>
              <w:tabs>
                <w:tab w:val="left" w:pos="709"/>
              </w:tabs>
              <w:rPr>
                <w:sz w:val="22"/>
              </w:rPr>
            </w:pPr>
            <w:r>
              <w:rPr>
                <w:sz w:val="22"/>
              </w:rPr>
              <w:t>- Chánh, các PVP UBND tỉnh;</w:t>
            </w:r>
          </w:p>
          <w:p w:rsidR="00C46FA5" w:rsidRPr="001B7099" w:rsidRDefault="002265D9" w:rsidP="002265D9">
            <w:pPr>
              <w:tabs>
                <w:tab w:val="left" w:pos="709"/>
              </w:tabs>
            </w:pPr>
            <w:r>
              <w:rPr>
                <w:sz w:val="22"/>
              </w:rPr>
              <w:t>- Lưu: VT</w:t>
            </w:r>
            <w:r w:rsidR="00A76BAC">
              <w:rPr>
                <w:sz w:val="22"/>
              </w:rPr>
              <w:t>, TKCT.</w:t>
            </w:r>
          </w:p>
        </w:tc>
        <w:tc>
          <w:tcPr>
            <w:tcW w:w="4644" w:type="dxa"/>
          </w:tcPr>
          <w:p w:rsidR="00C46FA5" w:rsidRDefault="002265D9" w:rsidP="00B058FF">
            <w:pPr>
              <w:tabs>
                <w:tab w:val="left" w:pos="709"/>
              </w:tabs>
              <w:jc w:val="center"/>
              <w:rPr>
                <w:b/>
              </w:rPr>
            </w:pPr>
            <w:r>
              <w:rPr>
                <w:b/>
              </w:rPr>
              <w:t>TM. ỦY BAN NHÂN DÂN</w:t>
            </w:r>
          </w:p>
          <w:p w:rsidR="002265D9" w:rsidRPr="001B7099" w:rsidRDefault="002265D9" w:rsidP="00B058FF">
            <w:pPr>
              <w:tabs>
                <w:tab w:val="left" w:pos="709"/>
              </w:tabs>
              <w:jc w:val="center"/>
              <w:rPr>
                <w:b/>
              </w:rPr>
            </w:pPr>
            <w:r>
              <w:rPr>
                <w:b/>
              </w:rPr>
              <w:t>CHỦ TỊCH</w:t>
            </w:r>
          </w:p>
          <w:p w:rsidR="00C46FA5" w:rsidRPr="001B7099" w:rsidRDefault="00C46FA5" w:rsidP="00B058FF">
            <w:pPr>
              <w:tabs>
                <w:tab w:val="left" w:pos="709"/>
              </w:tabs>
              <w:jc w:val="center"/>
              <w:rPr>
                <w:b/>
              </w:rPr>
            </w:pPr>
          </w:p>
          <w:p w:rsidR="00C46FA5" w:rsidRPr="001B7099" w:rsidRDefault="00C46FA5" w:rsidP="00B058FF">
            <w:pPr>
              <w:tabs>
                <w:tab w:val="left" w:pos="709"/>
              </w:tabs>
              <w:jc w:val="center"/>
              <w:rPr>
                <w:b/>
              </w:rPr>
            </w:pPr>
          </w:p>
          <w:p w:rsidR="00C46FA5" w:rsidRPr="001B7099" w:rsidRDefault="00C46FA5" w:rsidP="00B058FF">
            <w:pPr>
              <w:tabs>
                <w:tab w:val="left" w:pos="709"/>
              </w:tabs>
              <w:jc w:val="center"/>
              <w:rPr>
                <w:b/>
              </w:rPr>
            </w:pPr>
          </w:p>
          <w:p w:rsidR="00C46FA5" w:rsidRPr="001B7099" w:rsidRDefault="00C46FA5" w:rsidP="00B058FF">
            <w:pPr>
              <w:tabs>
                <w:tab w:val="left" w:pos="709"/>
              </w:tabs>
              <w:jc w:val="center"/>
              <w:rPr>
                <w:b/>
              </w:rPr>
            </w:pPr>
          </w:p>
          <w:p w:rsidR="00C46FA5" w:rsidRPr="00A76BAC" w:rsidRDefault="00C46FA5" w:rsidP="00A76BAC">
            <w:pPr>
              <w:tabs>
                <w:tab w:val="left" w:pos="709"/>
              </w:tabs>
              <w:rPr>
                <w:b/>
                <w:sz w:val="42"/>
              </w:rPr>
            </w:pPr>
          </w:p>
          <w:p w:rsidR="00C46FA5" w:rsidRPr="001B7099" w:rsidRDefault="002265D9" w:rsidP="00B058FF">
            <w:pPr>
              <w:tabs>
                <w:tab w:val="left" w:pos="709"/>
              </w:tabs>
              <w:jc w:val="center"/>
            </w:pPr>
            <w:r>
              <w:rPr>
                <w:b/>
              </w:rPr>
              <w:t>Đặng Quốc Khánh</w:t>
            </w:r>
          </w:p>
        </w:tc>
      </w:tr>
    </w:tbl>
    <w:p w:rsidR="009A6D04" w:rsidRPr="001B7099" w:rsidRDefault="009A6D04" w:rsidP="00B058FF">
      <w:pPr>
        <w:tabs>
          <w:tab w:val="left" w:pos="709"/>
        </w:tabs>
      </w:pPr>
    </w:p>
    <w:p w:rsidR="00A76BAC" w:rsidRPr="001B7099" w:rsidRDefault="00A76BAC" w:rsidP="00B058FF">
      <w:pPr>
        <w:tabs>
          <w:tab w:val="left" w:pos="709"/>
        </w:tabs>
      </w:pPr>
    </w:p>
    <w:sectPr w:rsidR="00A76BAC" w:rsidRPr="001B7099" w:rsidSect="00A64428">
      <w:footerReference w:type="default" r:id="rId8"/>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95" w:rsidRDefault="00033695" w:rsidP="00413CF3">
      <w:pPr>
        <w:spacing w:after="0" w:line="240" w:lineRule="auto"/>
      </w:pPr>
      <w:r>
        <w:separator/>
      </w:r>
    </w:p>
  </w:endnote>
  <w:endnote w:type="continuationSeparator" w:id="0">
    <w:p w:rsidR="00033695" w:rsidRDefault="00033695"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3828"/>
      <w:docPartObj>
        <w:docPartGallery w:val="Page Numbers (Bottom of Page)"/>
        <w:docPartUnique/>
      </w:docPartObj>
    </w:sdtPr>
    <w:sdtEndPr>
      <w:rPr>
        <w:noProof/>
      </w:rPr>
    </w:sdtEndPr>
    <w:sdtContent>
      <w:p w:rsidR="00097F8C" w:rsidRDefault="00097F8C">
        <w:pPr>
          <w:pStyle w:val="Footer"/>
          <w:jc w:val="right"/>
        </w:pPr>
        <w:r>
          <w:fldChar w:fldCharType="begin"/>
        </w:r>
        <w:r>
          <w:instrText xml:space="preserve"> PAGE   \* MERGEFORMAT </w:instrText>
        </w:r>
        <w:r>
          <w:fldChar w:fldCharType="separate"/>
        </w:r>
        <w:r w:rsidR="00653755">
          <w:rPr>
            <w:noProof/>
          </w:rPr>
          <w:t>1</w:t>
        </w:r>
        <w:r>
          <w:rPr>
            <w:noProof/>
          </w:rPr>
          <w:fldChar w:fldCharType="end"/>
        </w:r>
      </w:p>
    </w:sdtContent>
  </w:sdt>
  <w:p w:rsidR="00097F8C" w:rsidRDefault="0009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95" w:rsidRDefault="00033695" w:rsidP="00413CF3">
      <w:pPr>
        <w:spacing w:after="0" w:line="240" w:lineRule="auto"/>
      </w:pPr>
      <w:r>
        <w:separator/>
      </w:r>
    </w:p>
  </w:footnote>
  <w:footnote w:type="continuationSeparator" w:id="0">
    <w:p w:rsidR="00033695" w:rsidRDefault="00033695"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4E6E"/>
    <w:rsid w:val="00015300"/>
    <w:rsid w:val="000230FC"/>
    <w:rsid w:val="000234A9"/>
    <w:rsid w:val="00024B9D"/>
    <w:rsid w:val="00025F3F"/>
    <w:rsid w:val="00026C64"/>
    <w:rsid w:val="000276F4"/>
    <w:rsid w:val="000305CD"/>
    <w:rsid w:val="00033695"/>
    <w:rsid w:val="00034FA4"/>
    <w:rsid w:val="00037F51"/>
    <w:rsid w:val="000419B2"/>
    <w:rsid w:val="0004206F"/>
    <w:rsid w:val="0004439E"/>
    <w:rsid w:val="00052E5E"/>
    <w:rsid w:val="00057404"/>
    <w:rsid w:val="0006107B"/>
    <w:rsid w:val="000644CE"/>
    <w:rsid w:val="000647A5"/>
    <w:rsid w:val="000669B3"/>
    <w:rsid w:val="00073319"/>
    <w:rsid w:val="00076143"/>
    <w:rsid w:val="00080AB7"/>
    <w:rsid w:val="00081CF3"/>
    <w:rsid w:val="00081F95"/>
    <w:rsid w:val="0009491E"/>
    <w:rsid w:val="0009528D"/>
    <w:rsid w:val="0009776C"/>
    <w:rsid w:val="00097F8C"/>
    <w:rsid w:val="000A32F9"/>
    <w:rsid w:val="000A54BA"/>
    <w:rsid w:val="000A5780"/>
    <w:rsid w:val="000B1FDF"/>
    <w:rsid w:val="000B2CB8"/>
    <w:rsid w:val="000B3B3C"/>
    <w:rsid w:val="000B5B32"/>
    <w:rsid w:val="000B604E"/>
    <w:rsid w:val="000B7677"/>
    <w:rsid w:val="000B7A05"/>
    <w:rsid w:val="000C50EE"/>
    <w:rsid w:val="000C5494"/>
    <w:rsid w:val="000D1377"/>
    <w:rsid w:val="000D1FB4"/>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23DDA"/>
    <w:rsid w:val="00123F80"/>
    <w:rsid w:val="0012542F"/>
    <w:rsid w:val="00127F93"/>
    <w:rsid w:val="001301F5"/>
    <w:rsid w:val="00136BD6"/>
    <w:rsid w:val="00137B1D"/>
    <w:rsid w:val="00137FE9"/>
    <w:rsid w:val="0014045D"/>
    <w:rsid w:val="00142792"/>
    <w:rsid w:val="001458A4"/>
    <w:rsid w:val="00146EF1"/>
    <w:rsid w:val="00151188"/>
    <w:rsid w:val="001528D2"/>
    <w:rsid w:val="00154447"/>
    <w:rsid w:val="001548C1"/>
    <w:rsid w:val="00157C87"/>
    <w:rsid w:val="00165649"/>
    <w:rsid w:val="00172B90"/>
    <w:rsid w:val="00176C94"/>
    <w:rsid w:val="00177C6F"/>
    <w:rsid w:val="001811D0"/>
    <w:rsid w:val="00184DE5"/>
    <w:rsid w:val="00184EDA"/>
    <w:rsid w:val="001900DB"/>
    <w:rsid w:val="00191A0D"/>
    <w:rsid w:val="00193097"/>
    <w:rsid w:val="00194E69"/>
    <w:rsid w:val="001B13C1"/>
    <w:rsid w:val="001B1B3A"/>
    <w:rsid w:val="001B3EDD"/>
    <w:rsid w:val="001B4EC6"/>
    <w:rsid w:val="001B7099"/>
    <w:rsid w:val="001C2E2F"/>
    <w:rsid w:val="001C364E"/>
    <w:rsid w:val="001D02A9"/>
    <w:rsid w:val="001D0BAB"/>
    <w:rsid w:val="001D0BCE"/>
    <w:rsid w:val="001D23A1"/>
    <w:rsid w:val="001D6F93"/>
    <w:rsid w:val="001E3E86"/>
    <w:rsid w:val="001E5299"/>
    <w:rsid w:val="001E642D"/>
    <w:rsid w:val="001F1A13"/>
    <w:rsid w:val="001F41A9"/>
    <w:rsid w:val="001F49E6"/>
    <w:rsid w:val="001F4F20"/>
    <w:rsid w:val="001F5655"/>
    <w:rsid w:val="002004C0"/>
    <w:rsid w:val="002023A7"/>
    <w:rsid w:val="00225C4A"/>
    <w:rsid w:val="00225DDF"/>
    <w:rsid w:val="002265D9"/>
    <w:rsid w:val="00230940"/>
    <w:rsid w:val="002325D6"/>
    <w:rsid w:val="0023706E"/>
    <w:rsid w:val="00240037"/>
    <w:rsid w:val="00243371"/>
    <w:rsid w:val="0024796B"/>
    <w:rsid w:val="002517B2"/>
    <w:rsid w:val="00251C47"/>
    <w:rsid w:val="0025375E"/>
    <w:rsid w:val="00255179"/>
    <w:rsid w:val="00256244"/>
    <w:rsid w:val="00257B0C"/>
    <w:rsid w:val="00261122"/>
    <w:rsid w:val="00261A7A"/>
    <w:rsid w:val="0027339B"/>
    <w:rsid w:val="00277E88"/>
    <w:rsid w:val="0028069C"/>
    <w:rsid w:val="002839FF"/>
    <w:rsid w:val="00284C49"/>
    <w:rsid w:val="00286922"/>
    <w:rsid w:val="00291EC7"/>
    <w:rsid w:val="00291F14"/>
    <w:rsid w:val="00295542"/>
    <w:rsid w:val="00296AEE"/>
    <w:rsid w:val="002A0FFB"/>
    <w:rsid w:val="002A395A"/>
    <w:rsid w:val="002A7939"/>
    <w:rsid w:val="002B0881"/>
    <w:rsid w:val="002B216A"/>
    <w:rsid w:val="002B5A9F"/>
    <w:rsid w:val="002B5DE3"/>
    <w:rsid w:val="002C02AF"/>
    <w:rsid w:val="002C725F"/>
    <w:rsid w:val="002D1235"/>
    <w:rsid w:val="002D1ED8"/>
    <w:rsid w:val="002D4997"/>
    <w:rsid w:val="002D6EED"/>
    <w:rsid w:val="002E11BC"/>
    <w:rsid w:val="002E746F"/>
    <w:rsid w:val="002E7621"/>
    <w:rsid w:val="002F51D4"/>
    <w:rsid w:val="002F5205"/>
    <w:rsid w:val="00300739"/>
    <w:rsid w:val="00301B6E"/>
    <w:rsid w:val="00304F9E"/>
    <w:rsid w:val="0031023F"/>
    <w:rsid w:val="003136FB"/>
    <w:rsid w:val="00327DF5"/>
    <w:rsid w:val="00332716"/>
    <w:rsid w:val="00350163"/>
    <w:rsid w:val="003522FE"/>
    <w:rsid w:val="0035312D"/>
    <w:rsid w:val="003540F1"/>
    <w:rsid w:val="003556AB"/>
    <w:rsid w:val="00355BD8"/>
    <w:rsid w:val="003607B6"/>
    <w:rsid w:val="0036308E"/>
    <w:rsid w:val="00363773"/>
    <w:rsid w:val="0036482D"/>
    <w:rsid w:val="00367C22"/>
    <w:rsid w:val="00372D20"/>
    <w:rsid w:val="00377B5B"/>
    <w:rsid w:val="00380D5A"/>
    <w:rsid w:val="00381B6D"/>
    <w:rsid w:val="00382039"/>
    <w:rsid w:val="003831A8"/>
    <w:rsid w:val="00384B33"/>
    <w:rsid w:val="00384BD3"/>
    <w:rsid w:val="003906BB"/>
    <w:rsid w:val="0039086E"/>
    <w:rsid w:val="00390C95"/>
    <w:rsid w:val="00391492"/>
    <w:rsid w:val="003924DF"/>
    <w:rsid w:val="00393DE4"/>
    <w:rsid w:val="003A357E"/>
    <w:rsid w:val="003A4477"/>
    <w:rsid w:val="003A74C5"/>
    <w:rsid w:val="003A78EF"/>
    <w:rsid w:val="003B0749"/>
    <w:rsid w:val="003B1858"/>
    <w:rsid w:val="003B58AD"/>
    <w:rsid w:val="003B5ABC"/>
    <w:rsid w:val="003C11F1"/>
    <w:rsid w:val="003C2EFF"/>
    <w:rsid w:val="003C4C71"/>
    <w:rsid w:val="003D48A8"/>
    <w:rsid w:val="003D59E9"/>
    <w:rsid w:val="003D6049"/>
    <w:rsid w:val="003D6502"/>
    <w:rsid w:val="003D6AA9"/>
    <w:rsid w:val="003D795A"/>
    <w:rsid w:val="003E02CE"/>
    <w:rsid w:val="003E056E"/>
    <w:rsid w:val="003E6E94"/>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395C"/>
    <w:rsid w:val="00425038"/>
    <w:rsid w:val="0042532A"/>
    <w:rsid w:val="0043308C"/>
    <w:rsid w:val="00433941"/>
    <w:rsid w:val="00436DAD"/>
    <w:rsid w:val="00444791"/>
    <w:rsid w:val="00445D64"/>
    <w:rsid w:val="00446084"/>
    <w:rsid w:val="00450445"/>
    <w:rsid w:val="00450C53"/>
    <w:rsid w:val="00451A4F"/>
    <w:rsid w:val="004552EB"/>
    <w:rsid w:val="00461F68"/>
    <w:rsid w:val="00462734"/>
    <w:rsid w:val="00464EB5"/>
    <w:rsid w:val="00483DC4"/>
    <w:rsid w:val="004852F5"/>
    <w:rsid w:val="00485743"/>
    <w:rsid w:val="0048588D"/>
    <w:rsid w:val="00486815"/>
    <w:rsid w:val="00486BE7"/>
    <w:rsid w:val="00491E46"/>
    <w:rsid w:val="00492674"/>
    <w:rsid w:val="00492E10"/>
    <w:rsid w:val="004A0948"/>
    <w:rsid w:val="004A6068"/>
    <w:rsid w:val="004A64BE"/>
    <w:rsid w:val="004A7FAD"/>
    <w:rsid w:val="004B34A9"/>
    <w:rsid w:val="004B3B41"/>
    <w:rsid w:val="004B4F90"/>
    <w:rsid w:val="004B502D"/>
    <w:rsid w:val="004B71C7"/>
    <w:rsid w:val="004C1299"/>
    <w:rsid w:val="004C211E"/>
    <w:rsid w:val="004C7A33"/>
    <w:rsid w:val="004C7C3B"/>
    <w:rsid w:val="004D207B"/>
    <w:rsid w:val="004D4DFC"/>
    <w:rsid w:val="004D6831"/>
    <w:rsid w:val="004E04A1"/>
    <w:rsid w:val="004E3101"/>
    <w:rsid w:val="004E43C8"/>
    <w:rsid w:val="004F1E9D"/>
    <w:rsid w:val="004F214A"/>
    <w:rsid w:val="004F47F7"/>
    <w:rsid w:val="00501F52"/>
    <w:rsid w:val="0050267D"/>
    <w:rsid w:val="005034CD"/>
    <w:rsid w:val="005041B4"/>
    <w:rsid w:val="00505CD5"/>
    <w:rsid w:val="00507E6B"/>
    <w:rsid w:val="00510E49"/>
    <w:rsid w:val="0051307E"/>
    <w:rsid w:val="00513FCC"/>
    <w:rsid w:val="0051464E"/>
    <w:rsid w:val="005154AF"/>
    <w:rsid w:val="0051633B"/>
    <w:rsid w:val="0052001A"/>
    <w:rsid w:val="00530360"/>
    <w:rsid w:val="00530E82"/>
    <w:rsid w:val="005326AD"/>
    <w:rsid w:val="005448AC"/>
    <w:rsid w:val="00546741"/>
    <w:rsid w:val="00547819"/>
    <w:rsid w:val="00551FF5"/>
    <w:rsid w:val="00552A06"/>
    <w:rsid w:val="00552BEE"/>
    <w:rsid w:val="0055404A"/>
    <w:rsid w:val="00555248"/>
    <w:rsid w:val="0056182E"/>
    <w:rsid w:val="005636DB"/>
    <w:rsid w:val="00563C0D"/>
    <w:rsid w:val="00564DAD"/>
    <w:rsid w:val="00567AF1"/>
    <w:rsid w:val="00567C93"/>
    <w:rsid w:val="0057237F"/>
    <w:rsid w:val="0057544F"/>
    <w:rsid w:val="00584B81"/>
    <w:rsid w:val="00585FFF"/>
    <w:rsid w:val="00594150"/>
    <w:rsid w:val="00596456"/>
    <w:rsid w:val="0059645F"/>
    <w:rsid w:val="00596CA0"/>
    <w:rsid w:val="005A035C"/>
    <w:rsid w:val="005A1926"/>
    <w:rsid w:val="005A3BCE"/>
    <w:rsid w:val="005A3C8B"/>
    <w:rsid w:val="005B1FD2"/>
    <w:rsid w:val="005B7D2F"/>
    <w:rsid w:val="005C056D"/>
    <w:rsid w:val="005C4652"/>
    <w:rsid w:val="005D180E"/>
    <w:rsid w:val="005D58C8"/>
    <w:rsid w:val="005D6294"/>
    <w:rsid w:val="005D7895"/>
    <w:rsid w:val="005E47B8"/>
    <w:rsid w:val="005E4AB1"/>
    <w:rsid w:val="005E65F5"/>
    <w:rsid w:val="005E753F"/>
    <w:rsid w:val="006017C7"/>
    <w:rsid w:val="00602920"/>
    <w:rsid w:val="00602F67"/>
    <w:rsid w:val="0060720B"/>
    <w:rsid w:val="00614F4D"/>
    <w:rsid w:val="00632714"/>
    <w:rsid w:val="00633653"/>
    <w:rsid w:val="00634FCE"/>
    <w:rsid w:val="006353C7"/>
    <w:rsid w:val="006363F3"/>
    <w:rsid w:val="006378DF"/>
    <w:rsid w:val="00644440"/>
    <w:rsid w:val="00644A09"/>
    <w:rsid w:val="00653755"/>
    <w:rsid w:val="00655372"/>
    <w:rsid w:val="0065795D"/>
    <w:rsid w:val="0066702D"/>
    <w:rsid w:val="00672278"/>
    <w:rsid w:val="00672743"/>
    <w:rsid w:val="006811E2"/>
    <w:rsid w:val="006830A6"/>
    <w:rsid w:val="00692586"/>
    <w:rsid w:val="006B0B20"/>
    <w:rsid w:val="006B505B"/>
    <w:rsid w:val="006C3087"/>
    <w:rsid w:val="006C6565"/>
    <w:rsid w:val="006C67E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590A"/>
    <w:rsid w:val="00702CC2"/>
    <w:rsid w:val="00707A48"/>
    <w:rsid w:val="00710822"/>
    <w:rsid w:val="007113A8"/>
    <w:rsid w:val="00713E26"/>
    <w:rsid w:val="007213B9"/>
    <w:rsid w:val="007225AC"/>
    <w:rsid w:val="00727A94"/>
    <w:rsid w:val="00727D9D"/>
    <w:rsid w:val="00730A6C"/>
    <w:rsid w:val="0073187A"/>
    <w:rsid w:val="00737937"/>
    <w:rsid w:val="00741B43"/>
    <w:rsid w:val="00742F51"/>
    <w:rsid w:val="00743EDC"/>
    <w:rsid w:val="00750556"/>
    <w:rsid w:val="00752E14"/>
    <w:rsid w:val="007531C6"/>
    <w:rsid w:val="00757152"/>
    <w:rsid w:val="00760CA8"/>
    <w:rsid w:val="0076535F"/>
    <w:rsid w:val="00766932"/>
    <w:rsid w:val="00766C81"/>
    <w:rsid w:val="007708F4"/>
    <w:rsid w:val="007735E3"/>
    <w:rsid w:val="007817B6"/>
    <w:rsid w:val="0078357C"/>
    <w:rsid w:val="00787516"/>
    <w:rsid w:val="00795C12"/>
    <w:rsid w:val="00795FBA"/>
    <w:rsid w:val="007A0796"/>
    <w:rsid w:val="007A42F4"/>
    <w:rsid w:val="007A46D2"/>
    <w:rsid w:val="007A7A9B"/>
    <w:rsid w:val="007B11EF"/>
    <w:rsid w:val="007B1D58"/>
    <w:rsid w:val="007B1ECA"/>
    <w:rsid w:val="007B1EFB"/>
    <w:rsid w:val="007B4A00"/>
    <w:rsid w:val="007B6FC8"/>
    <w:rsid w:val="007B70E7"/>
    <w:rsid w:val="007B79AE"/>
    <w:rsid w:val="007C3181"/>
    <w:rsid w:val="007C403C"/>
    <w:rsid w:val="007C554A"/>
    <w:rsid w:val="007C6F85"/>
    <w:rsid w:val="007C7273"/>
    <w:rsid w:val="007C73AE"/>
    <w:rsid w:val="007D1FCD"/>
    <w:rsid w:val="007D2DF1"/>
    <w:rsid w:val="007D480C"/>
    <w:rsid w:val="007E192B"/>
    <w:rsid w:val="007E5FA3"/>
    <w:rsid w:val="007F00C9"/>
    <w:rsid w:val="007F1946"/>
    <w:rsid w:val="007F1BAC"/>
    <w:rsid w:val="007F2391"/>
    <w:rsid w:val="007F2B33"/>
    <w:rsid w:val="007F6CF4"/>
    <w:rsid w:val="00803E8B"/>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1D53"/>
    <w:rsid w:val="00843BF4"/>
    <w:rsid w:val="008443B9"/>
    <w:rsid w:val="00845E08"/>
    <w:rsid w:val="008504EE"/>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116F"/>
    <w:rsid w:val="00881ED8"/>
    <w:rsid w:val="00883C5B"/>
    <w:rsid w:val="0088495A"/>
    <w:rsid w:val="00890BEC"/>
    <w:rsid w:val="008937A3"/>
    <w:rsid w:val="00895623"/>
    <w:rsid w:val="00897223"/>
    <w:rsid w:val="00897F0C"/>
    <w:rsid w:val="008A33F9"/>
    <w:rsid w:val="008A3950"/>
    <w:rsid w:val="008A4474"/>
    <w:rsid w:val="008B0130"/>
    <w:rsid w:val="008B4F5B"/>
    <w:rsid w:val="008B5106"/>
    <w:rsid w:val="008C00B1"/>
    <w:rsid w:val="008C0616"/>
    <w:rsid w:val="008C2854"/>
    <w:rsid w:val="008D251B"/>
    <w:rsid w:val="008D4109"/>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40EF6"/>
    <w:rsid w:val="00947B9F"/>
    <w:rsid w:val="00947FA5"/>
    <w:rsid w:val="00951D91"/>
    <w:rsid w:val="00953CD9"/>
    <w:rsid w:val="00955388"/>
    <w:rsid w:val="00955FE0"/>
    <w:rsid w:val="00964674"/>
    <w:rsid w:val="00966561"/>
    <w:rsid w:val="00972DFA"/>
    <w:rsid w:val="0097426A"/>
    <w:rsid w:val="00976410"/>
    <w:rsid w:val="0098254F"/>
    <w:rsid w:val="00982BB8"/>
    <w:rsid w:val="00983310"/>
    <w:rsid w:val="0099121A"/>
    <w:rsid w:val="009929C6"/>
    <w:rsid w:val="009947BC"/>
    <w:rsid w:val="009977FB"/>
    <w:rsid w:val="009A4CEC"/>
    <w:rsid w:val="009A6501"/>
    <w:rsid w:val="009A6D04"/>
    <w:rsid w:val="009B26FA"/>
    <w:rsid w:val="009B2BC2"/>
    <w:rsid w:val="009B4423"/>
    <w:rsid w:val="009B74F2"/>
    <w:rsid w:val="009C4088"/>
    <w:rsid w:val="009C7082"/>
    <w:rsid w:val="009D2957"/>
    <w:rsid w:val="009D5F5B"/>
    <w:rsid w:val="009E1018"/>
    <w:rsid w:val="009E32C0"/>
    <w:rsid w:val="009E3F78"/>
    <w:rsid w:val="009E6C80"/>
    <w:rsid w:val="009F0144"/>
    <w:rsid w:val="009F3648"/>
    <w:rsid w:val="009F3F9D"/>
    <w:rsid w:val="009F5E4B"/>
    <w:rsid w:val="00A023D3"/>
    <w:rsid w:val="00A048A2"/>
    <w:rsid w:val="00A06607"/>
    <w:rsid w:val="00A112B0"/>
    <w:rsid w:val="00A12C56"/>
    <w:rsid w:val="00A13083"/>
    <w:rsid w:val="00A16C9E"/>
    <w:rsid w:val="00A219C4"/>
    <w:rsid w:val="00A24FD5"/>
    <w:rsid w:val="00A25BB8"/>
    <w:rsid w:val="00A351C7"/>
    <w:rsid w:val="00A36FFD"/>
    <w:rsid w:val="00A3796B"/>
    <w:rsid w:val="00A40AF7"/>
    <w:rsid w:val="00A42FC7"/>
    <w:rsid w:val="00A47EC2"/>
    <w:rsid w:val="00A50198"/>
    <w:rsid w:val="00A547CF"/>
    <w:rsid w:val="00A608A6"/>
    <w:rsid w:val="00A63402"/>
    <w:rsid w:val="00A64428"/>
    <w:rsid w:val="00A6581F"/>
    <w:rsid w:val="00A709A9"/>
    <w:rsid w:val="00A70B07"/>
    <w:rsid w:val="00A72210"/>
    <w:rsid w:val="00A73470"/>
    <w:rsid w:val="00A74EF5"/>
    <w:rsid w:val="00A76BAC"/>
    <w:rsid w:val="00A80300"/>
    <w:rsid w:val="00A808DC"/>
    <w:rsid w:val="00A831B8"/>
    <w:rsid w:val="00A835B5"/>
    <w:rsid w:val="00A869A1"/>
    <w:rsid w:val="00A86C85"/>
    <w:rsid w:val="00A91464"/>
    <w:rsid w:val="00A94A54"/>
    <w:rsid w:val="00A97D3F"/>
    <w:rsid w:val="00AA0473"/>
    <w:rsid w:val="00AB45C5"/>
    <w:rsid w:val="00AB750E"/>
    <w:rsid w:val="00AC1BAD"/>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07D22"/>
    <w:rsid w:val="00B1419C"/>
    <w:rsid w:val="00B1479E"/>
    <w:rsid w:val="00B1566E"/>
    <w:rsid w:val="00B17E5D"/>
    <w:rsid w:val="00B269AC"/>
    <w:rsid w:val="00B3056D"/>
    <w:rsid w:val="00B35360"/>
    <w:rsid w:val="00B3559E"/>
    <w:rsid w:val="00B43095"/>
    <w:rsid w:val="00B46DDD"/>
    <w:rsid w:val="00B47F4C"/>
    <w:rsid w:val="00B50F1D"/>
    <w:rsid w:val="00B545F5"/>
    <w:rsid w:val="00B55062"/>
    <w:rsid w:val="00B57C07"/>
    <w:rsid w:val="00B648EA"/>
    <w:rsid w:val="00B65060"/>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E267F"/>
    <w:rsid w:val="00BE29AE"/>
    <w:rsid w:val="00BE31DF"/>
    <w:rsid w:val="00BE48B9"/>
    <w:rsid w:val="00BE4CDB"/>
    <w:rsid w:val="00BE714C"/>
    <w:rsid w:val="00BF0578"/>
    <w:rsid w:val="00BF0632"/>
    <w:rsid w:val="00BF11F2"/>
    <w:rsid w:val="00BF6A0F"/>
    <w:rsid w:val="00C0177F"/>
    <w:rsid w:val="00C01895"/>
    <w:rsid w:val="00C04CA0"/>
    <w:rsid w:val="00C05D64"/>
    <w:rsid w:val="00C135CF"/>
    <w:rsid w:val="00C1715E"/>
    <w:rsid w:val="00C2015B"/>
    <w:rsid w:val="00C261C2"/>
    <w:rsid w:val="00C30236"/>
    <w:rsid w:val="00C304AA"/>
    <w:rsid w:val="00C30F90"/>
    <w:rsid w:val="00C32415"/>
    <w:rsid w:val="00C3702B"/>
    <w:rsid w:val="00C40349"/>
    <w:rsid w:val="00C42526"/>
    <w:rsid w:val="00C44B8E"/>
    <w:rsid w:val="00C46FA5"/>
    <w:rsid w:val="00C53C75"/>
    <w:rsid w:val="00C570EE"/>
    <w:rsid w:val="00C60C09"/>
    <w:rsid w:val="00C624FB"/>
    <w:rsid w:val="00C650D4"/>
    <w:rsid w:val="00C662E9"/>
    <w:rsid w:val="00C70182"/>
    <w:rsid w:val="00C721F0"/>
    <w:rsid w:val="00C81643"/>
    <w:rsid w:val="00C817E5"/>
    <w:rsid w:val="00C82BF2"/>
    <w:rsid w:val="00C84ABD"/>
    <w:rsid w:val="00C96F15"/>
    <w:rsid w:val="00CA1020"/>
    <w:rsid w:val="00CA2F18"/>
    <w:rsid w:val="00CA60E8"/>
    <w:rsid w:val="00CB0CA8"/>
    <w:rsid w:val="00CB7FB9"/>
    <w:rsid w:val="00CC18AD"/>
    <w:rsid w:val="00CC41BF"/>
    <w:rsid w:val="00CC5E70"/>
    <w:rsid w:val="00CD0B0D"/>
    <w:rsid w:val="00CD116B"/>
    <w:rsid w:val="00CD1C7E"/>
    <w:rsid w:val="00CD2C97"/>
    <w:rsid w:val="00CD4302"/>
    <w:rsid w:val="00CD53A3"/>
    <w:rsid w:val="00CD557C"/>
    <w:rsid w:val="00CE0AB3"/>
    <w:rsid w:val="00CE149B"/>
    <w:rsid w:val="00CE17F5"/>
    <w:rsid w:val="00CE289C"/>
    <w:rsid w:val="00CE2B42"/>
    <w:rsid w:val="00CF09F2"/>
    <w:rsid w:val="00CF4DCF"/>
    <w:rsid w:val="00CF5708"/>
    <w:rsid w:val="00D061E8"/>
    <w:rsid w:val="00D07E4E"/>
    <w:rsid w:val="00D14395"/>
    <w:rsid w:val="00D3283A"/>
    <w:rsid w:val="00D357E7"/>
    <w:rsid w:val="00D35A93"/>
    <w:rsid w:val="00D35F77"/>
    <w:rsid w:val="00D37E2C"/>
    <w:rsid w:val="00D40269"/>
    <w:rsid w:val="00D43408"/>
    <w:rsid w:val="00D44854"/>
    <w:rsid w:val="00D530B5"/>
    <w:rsid w:val="00D54BED"/>
    <w:rsid w:val="00D5658D"/>
    <w:rsid w:val="00D5723A"/>
    <w:rsid w:val="00D678BC"/>
    <w:rsid w:val="00D67B7C"/>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623E"/>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7D7D"/>
    <w:rsid w:val="00E128E1"/>
    <w:rsid w:val="00E14406"/>
    <w:rsid w:val="00E14A25"/>
    <w:rsid w:val="00E22950"/>
    <w:rsid w:val="00E27F54"/>
    <w:rsid w:val="00E33048"/>
    <w:rsid w:val="00E332E6"/>
    <w:rsid w:val="00E34D47"/>
    <w:rsid w:val="00E405A5"/>
    <w:rsid w:val="00E43C25"/>
    <w:rsid w:val="00E47B40"/>
    <w:rsid w:val="00E52D83"/>
    <w:rsid w:val="00E54C5F"/>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2B18"/>
    <w:rsid w:val="00EB315D"/>
    <w:rsid w:val="00EB428F"/>
    <w:rsid w:val="00EB675B"/>
    <w:rsid w:val="00EC1AD1"/>
    <w:rsid w:val="00EC20CB"/>
    <w:rsid w:val="00EC22D0"/>
    <w:rsid w:val="00EC68DB"/>
    <w:rsid w:val="00EC7910"/>
    <w:rsid w:val="00ED3AED"/>
    <w:rsid w:val="00EE0FFA"/>
    <w:rsid w:val="00EE3119"/>
    <w:rsid w:val="00EE41B4"/>
    <w:rsid w:val="00EE4BF2"/>
    <w:rsid w:val="00EE59A6"/>
    <w:rsid w:val="00EE6313"/>
    <w:rsid w:val="00EF0EEA"/>
    <w:rsid w:val="00EF13BC"/>
    <w:rsid w:val="00EF1502"/>
    <w:rsid w:val="00EF4FEB"/>
    <w:rsid w:val="00F019E2"/>
    <w:rsid w:val="00F0496A"/>
    <w:rsid w:val="00F114B0"/>
    <w:rsid w:val="00F118C0"/>
    <w:rsid w:val="00F12048"/>
    <w:rsid w:val="00F165A9"/>
    <w:rsid w:val="00F20603"/>
    <w:rsid w:val="00F2490E"/>
    <w:rsid w:val="00F31F12"/>
    <w:rsid w:val="00F3204A"/>
    <w:rsid w:val="00F33249"/>
    <w:rsid w:val="00F35E4B"/>
    <w:rsid w:val="00F40971"/>
    <w:rsid w:val="00F40F98"/>
    <w:rsid w:val="00F42B84"/>
    <w:rsid w:val="00F43CC2"/>
    <w:rsid w:val="00F471EA"/>
    <w:rsid w:val="00F47304"/>
    <w:rsid w:val="00F54AEE"/>
    <w:rsid w:val="00F57841"/>
    <w:rsid w:val="00F6320E"/>
    <w:rsid w:val="00F661B9"/>
    <w:rsid w:val="00F72E34"/>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834"/>
    <w:rsid w:val="00FC2447"/>
    <w:rsid w:val="00FC26DF"/>
    <w:rsid w:val="00FC4B33"/>
    <w:rsid w:val="00FC79C8"/>
    <w:rsid w:val="00FD0594"/>
    <w:rsid w:val="00FD5AFE"/>
    <w:rsid w:val="00FD7DED"/>
    <w:rsid w:val="00FE0C60"/>
    <w:rsid w:val="00FE71B4"/>
    <w:rsid w:val="00FF208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F74C-CD9C-4676-9D11-46475A4D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5</cp:revision>
  <cp:lastPrinted>2016-12-08T07:12:00Z</cp:lastPrinted>
  <dcterms:created xsi:type="dcterms:W3CDTF">2016-12-08T01:05:00Z</dcterms:created>
  <dcterms:modified xsi:type="dcterms:W3CDTF">2016-12-08T07:12:00Z</dcterms:modified>
</cp:coreProperties>
</file>