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0" w:type="dxa"/>
        <w:tblInd w:w="-312" w:type="dxa"/>
        <w:tblLayout w:type="fixed"/>
        <w:tblLook w:val="0000" w:firstRow="0" w:lastRow="0" w:firstColumn="0" w:lastColumn="0" w:noHBand="0" w:noVBand="0"/>
      </w:tblPr>
      <w:tblGrid>
        <w:gridCol w:w="3640"/>
        <w:gridCol w:w="6300"/>
      </w:tblGrid>
      <w:tr w:rsidR="00B42C18">
        <w:tblPrEx>
          <w:tblCellMar>
            <w:top w:w="0" w:type="dxa"/>
            <w:bottom w:w="0" w:type="dxa"/>
          </w:tblCellMar>
        </w:tblPrEx>
        <w:trPr>
          <w:trHeight w:val="1531"/>
        </w:trPr>
        <w:tc>
          <w:tcPr>
            <w:tcW w:w="3640" w:type="dxa"/>
            <w:tcBorders>
              <w:top w:val="nil"/>
              <w:left w:val="nil"/>
              <w:bottom w:val="nil"/>
              <w:right w:val="nil"/>
            </w:tcBorders>
          </w:tcPr>
          <w:p w:rsidR="00B42C18" w:rsidRDefault="00B42C18">
            <w:pPr>
              <w:jc w:val="center"/>
              <w:rPr>
                <w:b/>
                <w:bCs/>
                <w:lang w:val="pt-BR"/>
              </w:rPr>
            </w:pPr>
            <w:r>
              <w:rPr>
                <w:b/>
                <w:bCs/>
                <w:lang w:val="pt-BR"/>
              </w:rPr>
              <w:t>HỘI ĐỒNG NHÂN DÂN</w:t>
            </w:r>
          </w:p>
          <w:p w:rsidR="00B42C18" w:rsidRDefault="00B42C18">
            <w:pPr>
              <w:jc w:val="center"/>
              <w:rPr>
                <w:vertAlign w:val="superscript"/>
                <w:lang w:val="pt-BR"/>
              </w:rPr>
            </w:pPr>
            <w:r>
              <w:rPr>
                <w:b/>
                <w:bCs/>
                <w:lang w:val="pt-BR"/>
              </w:rPr>
              <w:t>TỈNH HÀ TĨNH</w:t>
            </w:r>
          </w:p>
          <w:p w:rsidR="00B42C18" w:rsidRDefault="001B770F">
            <w:pPr>
              <w:pStyle w:val="Heading6"/>
              <w:ind w:right="81"/>
              <w:rPr>
                <w:b w:val="0"/>
                <w:bCs w:val="0"/>
                <w:sz w:val="28"/>
                <w:szCs w:val="28"/>
                <w:lang w:val="pt-BR"/>
              </w:rPr>
            </w:pPr>
            <w:r>
              <w:rPr>
                <w:noProof/>
              </w:rPr>
              <mc:AlternateContent>
                <mc:Choice Requires="wps">
                  <w:drawing>
                    <wp:anchor distT="0" distB="0" distL="114300" distR="114300" simplePos="0" relativeHeight="251656192" behindDoc="0" locked="0" layoutInCell="1" allowOverlap="1">
                      <wp:simplePos x="0" y="0"/>
                      <wp:positionH relativeFrom="column">
                        <wp:posOffset>617220</wp:posOffset>
                      </wp:positionH>
                      <wp:positionV relativeFrom="paragraph">
                        <wp:posOffset>6350</wp:posOffset>
                      </wp:positionV>
                      <wp:extent cx="864235" cy="0"/>
                      <wp:effectExtent l="7620" t="6350" r="1397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pt" to="11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cP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sWuRPE4zo4EpIOeQZ6/wnrjsUjApLoBxxyWnrfOBByiEkXKP0RkgZ&#10;tZYK9RWeT/JJTHBaChacIczZw34lLTqRMC3xi0WB5zHM6qNiEazlhK1vtidCXm24XKqAB5UAnZt1&#10;HYcf83S+nq1nxajIp+tRkdb16ONmVYymm+zDpH6qV6s6+xmoZUXZCsa4CuyG0cyKv5P+9kiuQ3Uf&#10;znsbkrfosV9AdvhH0lHKoN51DvaaXXZ2kBimMQbfXk4Y98c92I/ve/kLAAD//wMAUEsDBBQABgAI&#10;AAAAIQBMxiu42gAAAAYBAAAPAAAAZHJzL2Rvd25yZXYueG1sTI/NTsMwEITvSH0HaytxqahDIvET&#10;4lQIyI0LBcR1G2+TqPE6jd028PQsXOA4O6PZb4rV5Hp1pDF0ng1cLhNQxLW3HTcG3l6rixtQISJb&#10;7D2TgU8KsCpnZwXm1p/4hY7r2Cgp4ZCjgTbGIdc61C05DEs/EIu39aPDKHJstB3xJOWu12mSXGmH&#10;HcuHFgd6aKnerQ/OQKjeaV99LepF8pE1ntL94/MTGnM+n+7vQEWa4l8YfvAFHUph2vgD26B6A7fX&#10;qSTlLovETrMsA7X51bos9H/88hsAAP//AwBQSwECLQAUAAYACAAAACEAtoM4kv4AAADhAQAAEwAA&#10;AAAAAAAAAAAAAAAAAAAAW0NvbnRlbnRfVHlwZXNdLnhtbFBLAQItABQABgAIAAAAIQA4/SH/1gAA&#10;AJQBAAALAAAAAAAAAAAAAAAAAC8BAABfcmVscy8ucmVsc1BLAQItABQABgAIAAAAIQAt7LcPEQIA&#10;ACcEAAAOAAAAAAAAAAAAAAAAAC4CAABkcnMvZTJvRG9jLnhtbFBLAQItABQABgAIAAAAIQBMxiu4&#10;2gAAAAYBAAAPAAAAAAAAAAAAAAAAAGsEAABkcnMvZG93bnJldi54bWxQSwUGAAAAAAQABADzAAAA&#10;cgUAAAAA&#10;"/>
                  </w:pict>
                </mc:Fallback>
              </mc:AlternateContent>
            </w:r>
          </w:p>
          <w:p w:rsidR="00B42C18" w:rsidRDefault="00B42C18">
            <w:pPr>
              <w:pStyle w:val="Heading6"/>
              <w:ind w:right="81"/>
              <w:rPr>
                <w:b w:val="0"/>
                <w:bCs w:val="0"/>
                <w:sz w:val="28"/>
                <w:szCs w:val="28"/>
                <w:lang w:val="pt-BR"/>
              </w:rPr>
            </w:pPr>
            <w:r>
              <w:rPr>
                <w:b w:val="0"/>
                <w:bCs w:val="0"/>
                <w:sz w:val="28"/>
                <w:szCs w:val="28"/>
                <w:lang w:val="pt-BR"/>
              </w:rPr>
              <w:t>Số:        /2016/NQ-HĐND</w:t>
            </w:r>
          </w:p>
          <w:p w:rsidR="00B42C18" w:rsidRDefault="001B770F">
            <w:pPr>
              <w:jc w:val="center"/>
              <w:rPr>
                <w:sz w:val="20"/>
                <w:lang w:val="pt-BR"/>
              </w:rPr>
            </w:pPr>
            <w:r>
              <w:rPr>
                <w:rFonts w:ascii=".VnTimeH" w:hAnsi=".VnTimeH"/>
                <w:b/>
                <w:noProof/>
              </w:rPr>
              <mc:AlternateContent>
                <mc:Choice Requires="wps">
                  <w:drawing>
                    <wp:anchor distT="0" distB="0" distL="114300" distR="114300" simplePos="0" relativeHeight="251659264" behindDoc="0" locked="0" layoutInCell="1" allowOverlap="1">
                      <wp:simplePos x="0" y="0"/>
                      <wp:positionH relativeFrom="column">
                        <wp:posOffset>668020</wp:posOffset>
                      </wp:positionH>
                      <wp:positionV relativeFrom="paragraph">
                        <wp:posOffset>135255</wp:posOffset>
                      </wp:positionV>
                      <wp:extent cx="1066800" cy="321945"/>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1945"/>
                              </a:xfrm>
                              <a:prstGeom prst="rect">
                                <a:avLst/>
                              </a:prstGeom>
                              <a:solidFill>
                                <a:srgbClr val="FFFFFF"/>
                              </a:solidFill>
                              <a:ln w="9525">
                                <a:solidFill>
                                  <a:srgbClr val="000000"/>
                                </a:solidFill>
                                <a:miter lim="800000"/>
                                <a:headEnd/>
                                <a:tailEnd/>
                              </a:ln>
                            </wps:spPr>
                            <wps:txbx>
                              <w:txbxContent>
                                <w:p w:rsidR="00B42C18" w:rsidRDefault="00B42C18">
                                  <w:pPr>
                                    <w:jc w:val="center"/>
                                    <w:rPr>
                                      <w:b/>
                                    </w:rPr>
                                  </w:pPr>
                                  <w:r>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6pt;margin-top:10.65pt;width:84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UYKgIAAFAEAAAOAAAAZHJzL2Uyb0RvYy54bWysVM1u2zAMvg/YOwi6L3bSJGuMOEWXLsOA&#10;7gdo9wCyLNvCJFGTlNjZ04+S0zTotsswHQTSpD6SH0mvbwatyEE4L8GUdDrJKRGGQy1NW9Jvj7s3&#10;15T4wEzNFBhR0qPw9Gbz+tW6t4WYQQeqFo4giPFFb0vahWCLLPO8E5r5CVhh0NiA0yyg6tqsdqxH&#10;dK2yWZ4vsx5cbR1w4T1+vRuNdJPwm0bw8KVpvAhElRRzC+l26a7inW3WrGgds53kpzTYP2ShmTQY&#10;9Ax1xwIjeyd/g9KSO/DQhAkHnUHTSC5SDVjNNH9RzUPHrEi1IDnenmny/w+Wfz58dUTWJb2ixDCN&#10;LXoUQyDvYCCLyE5vfYFODxbdwoCfscupUm/vgX/3xMC2Y6YVt85B3wlWY3bT+DK7eDri+AhS9Z+g&#10;xjBsHyABDY3TkTokgyA6dul47kxMhceQ+XJ5naOJo+1qNl3NU3IZK55eW+fDBwGaRKGkDjuf0Nnh&#10;3oeYDSueXGIwD0rWO6lUUlxbbZUjB4ZTsksnFfDCTRnSl3S1mC1GAv4KkafzJwgtA467krqkWA6e&#10;6MSKSNt7Uyc5MKlGGVNW5sRjpG4kMQzVgI6R3ArqIzLqYBxrXEMUOnA/KelxpEvqf+yZE5Sojwa7&#10;sprO53EHkjJfvJ2h4i4t1aWFGY5QJQ2UjOI2jHuzt062HUYa58DALXaykYnk56xOeePYJu5PKxb3&#10;4lJPXs8/gs0vAAAA//8DAFBLAwQUAAYACAAAACEAKzLJ7d8AAAAJAQAADwAAAGRycy9kb3ducmV2&#10;LnhtbEyPwU7DMAyG70i8Q2QkLmhLlsI6StMJIYHYDTYE16zJ2orGKUnWlbfHnOD4259+fy7Xk+vZ&#10;aEPsPCpYzAUwi7U3HTYK3naPsxWwmDQa3Xu0Cr5thHV1flbqwvgTvtpxmxpGJRgLraBNaSg4j3Vr&#10;nY5zP1ik3cEHpxPF0HAT9InKXc+lEEvudId0odWDfWht/bk9OgWr6+fxI26yl/d6eehv01U+Pn0F&#10;pS4vpvs7YMlO6Q+GX31Sh4qc9v6IJrKesriRhCqQiwwYATLPaLBXkEsBvCr5/w+qHwAAAP//AwBQ&#10;SwECLQAUAAYACAAAACEAtoM4kv4AAADhAQAAEwAAAAAAAAAAAAAAAAAAAAAAW0NvbnRlbnRfVHlw&#10;ZXNdLnhtbFBLAQItABQABgAIAAAAIQA4/SH/1gAAAJQBAAALAAAAAAAAAAAAAAAAAC8BAABfcmVs&#10;cy8ucmVsc1BLAQItABQABgAIAAAAIQAuCbUYKgIAAFAEAAAOAAAAAAAAAAAAAAAAAC4CAABkcnMv&#10;ZTJvRG9jLnhtbFBLAQItABQABgAIAAAAIQArMsnt3wAAAAkBAAAPAAAAAAAAAAAAAAAAAIQEAABk&#10;cnMvZG93bnJldi54bWxQSwUGAAAAAAQABADzAAAAkAUAAAAA&#10;">
                      <v:textbox>
                        <w:txbxContent>
                          <w:p w:rsidR="00B42C18" w:rsidRDefault="00B42C18">
                            <w:pPr>
                              <w:jc w:val="center"/>
                              <w:rPr>
                                <w:b/>
                              </w:rPr>
                            </w:pPr>
                            <w:r>
                              <w:rPr>
                                <w:b/>
                              </w:rPr>
                              <w:t>DỰ THẢO</w:t>
                            </w:r>
                          </w:p>
                        </w:txbxContent>
                      </v:textbox>
                    </v:shape>
                  </w:pict>
                </mc:Fallback>
              </mc:AlternateContent>
            </w:r>
          </w:p>
        </w:tc>
        <w:tc>
          <w:tcPr>
            <w:tcW w:w="6300" w:type="dxa"/>
            <w:tcBorders>
              <w:top w:val="nil"/>
              <w:left w:val="nil"/>
              <w:bottom w:val="nil"/>
              <w:right w:val="nil"/>
            </w:tcBorders>
          </w:tcPr>
          <w:p w:rsidR="00B42C18" w:rsidRDefault="00B42C18">
            <w:pPr>
              <w:pStyle w:val="Heading7"/>
              <w:jc w:val="both"/>
              <w:rPr>
                <w:sz w:val="28"/>
                <w:szCs w:val="28"/>
                <w:lang w:val="pt-BR"/>
              </w:rPr>
            </w:pPr>
            <w:r>
              <w:rPr>
                <w:sz w:val="28"/>
                <w:szCs w:val="28"/>
                <w:lang w:val="pt-BR"/>
              </w:rPr>
              <w:t>CỘNG HOÀ XÃ HỘI CHỦ NGHĨA VIỆT NAM</w:t>
            </w:r>
          </w:p>
          <w:p w:rsidR="00B42C18" w:rsidRDefault="00B42C18">
            <w:pPr>
              <w:jc w:val="center"/>
              <w:rPr>
                <w:b/>
                <w:bCs/>
                <w:lang w:val="pt-BR"/>
              </w:rPr>
            </w:pPr>
            <w:r>
              <w:rPr>
                <w:b/>
                <w:bCs/>
                <w:lang w:val="pt-BR"/>
              </w:rPr>
              <w:t>Độc lập - Tự do - Hạnh phúc</w:t>
            </w:r>
          </w:p>
          <w:p w:rsidR="00B42C18" w:rsidRDefault="001B770F">
            <w:pPr>
              <w:jc w:val="center"/>
              <w:rPr>
                <w:lang w:val="pt-BR"/>
              </w:rPr>
            </w:pPr>
            <w:r>
              <w:rPr>
                <w:noProof/>
              </w:rPr>
              <mc:AlternateContent>
                <mc:Choice Requires="wps">
                  <w:drawing>
                    <wp:anchor distT="0" distB="0" distL="114300" distR="114300" simplePos="0" relativeHeight="251657216" behindDoc="0" locked="0" layoutInCell="1" allowOverlap="1">
                      <wp:simplePos x="0" y="0"/>
                      <wp:positionH relativeFrom="column">
                        <wp:posOffset>951230</wp:posOffset>
                      </wp:positionH>
                      <wp:positionV relativeFrom="paragraph">
                        <wp:posOffset>15240</wp:posOffset>
                      </wp:positionV>
                      <wp:extent cx="1866900" cy="0"/>
                      <wp:effectExtent l="8255" t="5715" r="1079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1.2pt" to="22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b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Ppst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NtM9kAAAAHAQAADwAAAGRycy9kb3ducmV2LnhtbEyOwU7DMBBE70j8g7VIXKrWIY1Q&#10;CXEqBOTGhQLiuo2XJCJep7HbBr6epRc4Ps1o5hXryfXqQGPoPBu4WiSgiGtvO24MvL5U8xWoEJEt&#10;9p7JwBcFWJfnZwXm1h/5mQ6b2CgZ4ZCjgTbGIdc61C05DAs/EEv24UeHUXBstB3xKOOu12mSXGuH&#10;HctDiwPdt1R/bvbOQKjeaFd9z+pZ8r5sPKW7h6dHNObyYrq7BRVpin9l+NUXdSjFaev3bIPqhbMb&#10;UY8G0gyU5Fm2FN6eWJeF/u9f/gAAAP//AwBQSwECLQAUAAYACAAAACEAtoM4kv4AAADhAQAAEwAA&#10;AAAAAAAAAAAAAAAAAAAAW0NvbnRlbnRfVHlwZXNdLnhtbFBLAQItABQABgAIAAAAIQA4/SH/1gAA&#10;AJQBAAALAAAAAAAAAAAAAAAAAC8BAABfcmVscy8ucmVsc1BLAQItABQABgAIAAAAIQB5BXbHEgIA&#10;ACgEAAAOAAAAAAAAAAAAAAAAAC4CAABkcnMvZTJvRG9jLnhtbFBLAQItABQABgAIAAAAIQBb420z&#10;2QAAAAcBAAAPAAAAAAAAAAAAAAAAAGwEAABkcnMvZG93bnJldi54bWxQSwUGAAAAAAQABADzAAAA&#10;cgUAAAAA&#10;"/>
                  </w:pict>
                </mc:Fallback>
              </mc:AlternateContent>
            </w:r>
          </w:p>
          <w:p w:rsidR="00B42C18" w:rsidRDefault="00B42C18">
            <w:pPr>
              <w:jc w:val="left"/>
              <w:rPr>
                <w:lang w:val="pt-BR"/>
              </w:rPr>
            </w:pPr>
            <w:r>
              <w:rPr>
                <w:i/>
                <w:iCs/>
                <w:lang w:val="pt-BR"/>
              </w:rPr>
              <w:t xml:space="preserve">             </w:t>
            </w:r>
            <w:r w:rsidR="00CC1D5B">
              <w:rPr>
                <w:i/>
                <w:iCs/>
                <w:lang w:val="pt-BR"/>
              </w:rPr>
              <w:t xml:space="preserve">       </w:t>
            </w:r>
            <w:r>
              <w:rPr>
                <w:i/>
                <w:iCs/>
                <w:lang w:val="pt-BR"/>
              </w:rPr>
              <w:t xml:space="preserve">  Hà Tĩnh, ngày      tháng 12 năm 2016</w:t>
            </w:r>
          </w:p>
        </w:tc>
      </w:tr>
    </w:tbl>
    <w:p w:rsidR="00B42C18" w:rsidRDefault="00B42C18">
      <w:pPr>
        <w:jc w:val="center"/>
        <w:rPr>
          <w:rFonts w:ascii=".VnTimeH" w:hAnsi=".VnTimeH"/>
          <w:b/>
          <w:lang w:val="pt-BR"/>
        </w:rPr>
      </w:pPr>
      <w:r>
        <w:rPr>
          <w:rFonts w:ascii=".VnTimeH" w:hAnsi=".VnTimeH"/>
          <w:b/>
          <w:lang w:val="pt-BR"/>
        </w:rPr>
        <w:t xml:space="preserve"> </w:t>
      </w:r>
    </w:p>
    <w:p w:rsidR="00B42C18" w:rsidRDefault="00B42C18">
      <w:pPr>
        <w:jc w:val="center"/>
        <w:rPr>
          <w:b/>
          <w:bCs/>
          <w:lang w:val="pt-BR"/>
        </w:rPr>
      </w:pPr>
      <w:r>
        <w:rPr>
          <w:rFonts w:ascii=".VnTimeH" w:hAnsi=".VnTimeH"/>
          <w:b/>
          <w:lang w:val="pt-BR"/>
        </w:rPr>
        <w:t xml:space="preserve">   </w:t>
      </w:r>
      <w:r>
        <w:rPr>
          <w:b/>
          <w:bCs/>
          <w:sz w:val="30"/>
          <w:szCs w:val="30"/>
          <w:lang w:val="pt-BR"/>
        </w:rPr>
        <w:t xml:space="preserve">NGHỊ QUYẾT </w:t>
      </w:r>
      <w:r>
        <w:rPr>
          <w:b/>
          <w:bCs/>
          <w:lang w:val="pt-BR"/>
        </w:rPr>
        <w:br/>
        <w:t>Về việc điều chỉnh, bổ sung Nghị quyết số 115/2014/NQ-HĐND ngày 20 tháng 12 năm 2014 của HĐND tỉnh</w:t>
      </w:r>
    </w:p>
    <w:p w:rsidR="00B42C18" w:rsidRDefault="001B770F">
      <w:pPr>
        <w:jc w:val="center"/>
        <w:rPr>
          <w:b/>
          <w:bCs/>
          <w:sz w:val="26"/>
          <w:szCs w:val="26"/>
          <w:u w:val="single"/>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2254885</wp:posOffset>
                </wp:positionH>
                <wp:positionV relativeFrom="paragraph">
                  <wp:posOffset>82550</wp:posOffset>
                </wp:positionV>
                <wp:extent cx="1244600" cy="0"/>
                <wp:effectExtent l="6985" t="6350" r="571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5pt,6.5pt" to="275.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f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kz2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DpUsjZ2QAAAAkBAAAPAAAAZHJzL2Rvd25yZXYueG1sTE9LT8JAEL6b8B82Y+KFyBYajKnd&#10;EqL25kWQcB26Y9vYnS3dBaq/3jEe9Pg98j3y1eg6daYhtJ4NzGcJKOLK25ZrA2/b8vYeVIjIFjvP&#10;ZOCTAqyKyVWOmfUXfqXzJtZKQjhkaKCJsc+0DlVDDsPM98SivfvBYRQ41NoOeJFw1+lFktxphy1L&#10;Q4M9PTZUfWxOzkAod3Qsv6bVNNmntafF8enlGY25uR7XD6AijfHPDD/zZToUsungT2yD6gyky+Vc&#10;rCKk8kkMgoU4/BK6yPX/B8U3AAAA//8DAFBLAQItABQABgAIAAAAIQC2gziS/gAAAOEBAAATAAAA&#10;AAAAAAAAAAAAAAAAAABbQ29udGVudF9UeXBlc10ueG1sUEsBAi0AFAAGAAgAAAAhADj9If/WAAAA&#10;lAEAAAsAAAAAAAAAAAAAAAAALwEAAF9yZWxzLy5yZWxzUEsBAi0AFAAGAAgAAAAhAKjwd98RAgAA&#10;KAQAAA4AAAAAAAAAAAAAAAAALgIAAGRycy9lMm9Eb2MueG1sUEsBAi0AFAAGAAgAAAAhAOlSyNnZ&#10;AAAACQEAAA8AAAAAAAAAAAAAAAAAawQAAGRycy9kb3ducmV2LnhtbFBLBQYAAAAABAAEAPMAAABx&#10;BQAAAAA=&#10;"/>
            </w:pict>
          </mc:Fallback>
        </mc:AlternateContent>
      </w:r>
    </w:p>
    <w:p w:rsidR="00B42C18" w:rsidRDefault="00B42C18">
      <w:pPr>
        <w:jc w:val="center"/>
        <w:rPr>
          <w:b/>
          <w:bCs/>
          <w:sz w:val="26"/>
          <w:szCs w:val="26"/>
          <w:u w:val="single"/>
          <w:lang w:val="pt-BR"/>
        </w:rPr>
      </w:pPr>
    </w:p>
    <w:p w:rsidR="00B42C18" w:rsidRDefault="00B42C18">
      <w:pPr>
        <w:jc w:val="center"/>
        <w:rPr>
          <w:rFonts w:ascii="Arial" w:hAnsi="Arial" w:cs="Arial"/>
          <w:b/>
          <w:sz w:val="12"/>
          <w:u w:val="single"/>
          <w:lang w:val="vi-VN"/>
        </w:rPr>
      </w:pPr>
    </w:p>
    <w:p w:rsidR="00B42C18" w:rsidRDefault="00B42C18">
      <w:pPr>
        <w:jc w:val="center"/>
        <w:rPr>
          <w:lang w:val="pt-BR"/>
        </w:rPr>
      </w:pPr>
      <w:r>
        <w:rPr>
          <w:b/>
          <w:bCs/>
          <w:lang w:val="pt-BR"/>
        </w:rPr>
        <w:t>HỘI  ĐỒNG NHÂN DÂN TỈNH HÀ TĨNH</w:t>
      </w:r>
    </w:p>
    <w:p w:rsidR="00B42C18" w:rsidRDefault="00B42C18">
      <w:pPr>
        <w:jc w:val="center"/>
        <w:rPr>
          <w:b/>
          <w:bCs/>
          <w:lang w:val="pt-BR"/>
        </w:rPr>
      </w:pPr>
      <w:r>
        <w:rPr>
          <w:b/>
          <w:bCs/>
          <w:lang w:val="pt-BR"/>
        </w:rPr>
        <w:t>KHOÁ XVII - KỲ HỌP THỨ 3</w:t>
      </w:r>
    </w:p>
    <w:p w:rsidR="00B42C18" w:rsidRDefault="00B42C18">
      <w:pPr>
        <w:pStyle w:val="BodyText"/>
        <w:spacing w:after="0" w:line="440" w:lineRule="exact"/>
        <w:ind w:firstLine="720"/>
        <w:rPr>
          <w:i/>
          <w:spacing w:val="4"/>
          <w:lang w:val="pt-BR"/>
        </w:rPr>
      </w:pPr>
    </w:p>
    <w:p w:rsidR="00B42C18" w:rsidRDefault="00B42C18">
      <w:pPr>
        <w:pStyle w:val="BodyText"/>
        <w:spacing w:after="0" w:line="360" w:lineRule="exact"/>
        <w:ind w:firstLine="720"/>
        <w:rPr>
          <w:i/>
          <w:spacing w:val="4"/>
          <w:lang w:val="pt-BR"/>
        </w:rPr>
      </w:pPr>
      <w:r>
        <w:rPr>
          <w:i/>
          <w:spacing w:val="4"/>
          <w:lang w:val="pt-BR"/>
        </w:rPr>
        <w:t>Căn cứ Điều 114, Hiến pháp Nước Cộng hòa xã hội chủ nghĩa Việt Nam năm 2013;</w:t>
      </w:r>
    </w:p>
    <w:p w:rsidR="00B42C18" w:rsidRDefault="00B42C18">
      <w:pPr>
        <w:pStyle w:val="BodyText"/>
        <w:spacing w:after="0" w:line="360" w:lineRule="exact"/>
        <w:ind w:firstLine="720"/>
        <w:rPr>
          <w:i/>
          <w:spacing w:val="4"/>
          <w:lang w:val="pt-BR"/>
        </w:rPr>
      </w:pPr>
      <w:r>
        <w:rPr>
          <w:i/>
          <w:spacing w:val="4"/>
          <w:lang w:val="pt-BR"/>
        </w:rPr>
        <w:t>Căn cứ Luật Tổ chức chính quyền địa phương ngày 19/6/2015;</w:t>
      </w:r>
    </w:p>
    <w:p w:rsidR="00B42C18" w:rsidRDefault="00B42C18">
      <w:pPr>
        <w:pStyle w:val="BodyText"/>
        <w:spacing w:after="0" w:line="360" w:lineRule="exact"/>
        <w:ind w:firstLine="720"/>
        <w:rPr>
          <w:i/>
          <w:spacing w:val="4"/>
          <w:lang w:val="pt-BR"/>
        </w:rPr>
      </w:pPr>
      <w:r>
        <w:rPr>
          <w:i/>
          <w:spacing w:val="4"/>
          <w:lang w:val="pt-BR"/>
        </w:rPr>
        <w:t>Căn cứ Luật Đất đai ngày 29 tháng 11 năm 2013;</w:t>
      </w:r>
    </w:p>
    <w:p w:rsidR="00B42C18" w:rsidRDefault="00B42C18">
      <w:pPr>
        <w:pStyle w:val="BodyText"/>
        <w:spacing w:after="0" w:line="360" w:lineRule="exact"/>
        <w:ind w:firstLine="720"/>
        <w:rPr>
          <w:i/>
          <w:spacing w:val="4"/>
          <w:lang w:val="pt-BR"/>
        </w:rPr>
      </w:pPr>
      <w:r>
        <w:rPr>
          <w:i/>
          <w:spacing w:val="4"/>
          <w:lang w:val="pt-BR"/>
        </w:rPr>
        <w:t>Căn cứ Luật Ban hành văn bản quy phạm pháp luật năm 2015;</w:t>
      </w:r>
    </w:p>
    <w:p w:rsidR="00B42C18" w:rsidRDefault="00B42C18">
      <w:pPr>
        <w:pStyle w:val="BodyText"/>
        <w:spacing w:after="0" w:line="360" w:lineRule="exact"/>
        <w:ind w:firstLine="720"/>
        <w:rPr>
          <w:i/>
          <w:spacing w:val="4"/>
          <w:lang w:val="pt-BR"/>
        </w:rPr>
      </w:pPr>
      <w:r>
        <w:rPr>
          <w:i/>
          <w:spacing w:val="4"/>
          <w:lang w:val="pt-BR"/>
        </w:rPr>
        <w:t>Căn cứ Nghị định số 43/2014/NĐ-CP ngày 15/5/2014 của Chính phủ quy định chi tiết thi hành một số điều của Luật Đất đai; Nghị định số 44/2014/NĐ-CP ngày 15/5/2014 của Chính phủ quy định về giá đất; Nghị định số 104/2014/NĐ-CP ngày 14/11/2014 của Chính phủ quy định về khung giá đất</w:t>
      </w:r>
      <w:r>
        <w:rPr>
          <w:i/>
          <w:spacing w:val="-2"/>
          <w:lang w:val="pt-BR"/>
        </w:rPr>
        <w:t>;</w:t>
      </w:r>
    </w:p>
    <w:p w:rsidR="00B42C18" w:rsidRDefault="00B42C18">
      <w:pPr>
        <w:spacing w:line="360" w:lineRule="exact"/>
        <w:ind w:firstLine="720"/>
        <w:rPr>
          <w:i/>
          <w:iCs/>
          <w:lang w:val="pt-BR"/>
        </w:rPr>
      </w:pPr>
      <w:r>
        <w:rPr>
          <w:i/>
          <w:lang w:val="pt-BR"/>
        </w:rPr>
        <w:t>Căn cứ Thông tư số 36/2014/TT-BTNMT ngày 30/6/2014 của Bộ Tài nguyên và Môi trường quy định chi tiết về phương pháp định giá đất; xây dựng, điều chỉnh bảng giá đất; định giá đất cụ thể và tư vấn xác định giá đất</w:t>
      </w:r>
      <w:r>
        <w:rPr>
          <w:i/>
          <w:iCs/>
          <w:lang w:val="pt-BR"/>
        </w:rPr>
        <w:t>.</w:t>
      </w:r>
    </w:p>
    <w:p w:rsidR="00B42C18" w:rsidRDefault="00CC1D5B">
      <w:pPr>
        <w:spacing w:before="60" w:line="360" w:lineRule="exact"/>
        <w:ind w:left="57" w:right="57" w:firstLine="720"/>
        <w:rPr>
          <w:lang w:val="pt-BR"/>
        </w:rPr>
      </w:pPr>
      <w:r>
        <w:rPr>
          <w:lang w:val="pt-BR"/>
        </w:rPr>
        <w:t>Sau khi xem xét T</w:t>
      </w:r>
      <w:r w:rsidR="00B42C18">
        <w:rPr>
          <w:lang w:val="pt-BR"/>
        </w:rPr>
        <w:t xml:space="preserve">ờ trình số:......./TTr-UBND ngày......tháng 12 năm 2016 của Ủy ban nhân dân tỉnh về việc đề nghị phê chuẩn </w:t>
      </w:r>
      <w:r w:rsidR="00B42C18">
        <w:rPr>
          <w:bCs/>
          <w:lang w:val="pt-BR"/>
        </w:rPr>
        <w:t>điều chỉnh, bổ sung Nghị quyết số 115/2014/NQ-HĐND ngày 20 tháng 12 năm 2014 về việc thông qua Bảng giá đất 2015 trên địa bàn tỉnh Hà Tĩnh của HĐND tỉnh;</w:t>
      </w:r>
      <w:r w:rsidR="00B42C18">
        <w:rPr>
          <w:lang w:val="pt-BR"/>
        </w:rPr>
        <w:t xml:space="preserve"> Báo cáo thẩm tra của các ban Hội đồng nhân dân tỉnh và ý kiến của các Đại biểu Hội đồng nhân dân tỉnh.</w:t>
      </w:r>
    </w:p>
    <w:p w:rsidR="00B42C18" w:rsidRDefault="00B42C18">
      <w:pPr>
        <w:pStyle w:val="BodyText"/>
        <w:spacing w:before="60" w:after="60" w:line="360" w:lineRule="exact"/>
        <w:ind w:firstLine="720"/>
        <w:jc w:val="center"/>
        <w:rPr>
          <w:b/>
          <w:bCs/>
          <w:lang w:val="pt-BR"/>
        </w:rPr>
      </w:pPr>
      <w:r>
        <w:rPr>
          <w:b/>
          <w:bCs/>
          <w:lang w:val="pt-BR"/>
        </w:rPr>
        <w:t>QUYẾT NGHỊ:</w:t>
      </w:r>
    </w:p>
    <w:p w:rsidR="00B42C18" w:rsidRDefault="00B42C18">
      <w:pPr>
        <w:spacing w:before="60" w:after="60" w:line="360" w:lineRule="exact"/>
        <w:rPr>
          <w:lang w:val="pt-BR"/>
        </w:rPr>
      </w:pPr>
      <w:r>
        <w:rPr>
          <w:b/>
          <w:bCs/>
          <w:lang w:val="pt-BR"/>
        </w:rPr>
        <w:tab/>
        <w:t xml:space="preserve">Điều 1. </w:t>
      </w:r>
      <w:r w:rsidR="00FC2B1B">
        <w:rPr>
          <w:lang w:val="pt-BR"/>
        </w:rPr>
        <w:t>Đ</w:t>
      </w:r>
      <w:r>
        <w:rPr>
          <w:bCs/>
          <w:lang w:val="pt-BR"/>
        </w:rPr>
        <w:t>iều chỉnh, bổ sung Nghị quyết số 115/2014/NQ-</w:t>
      </w:r>
      <w:r>
        <w:rPr>
          <w:lang w:val="pt-BR"/>
        </w:rPr>
        <w:t>HĐND ngày 20 tháng 12 năm 2014 của HĐND tỉnh, gồm có các nội dung sau:</w:t>
      </w:r>
    </w:p>
    <w:p w:rsidR="00B42C18" w:rsidRPr="00E361E1" w:rsidRDefault="00B42C18">
      <w:pPr>
        <w:spacing w:line="360" w:lineRule="exact"/>
        <w:rPr>
          <w:lang w:val="pt-BR"/>
        </w:rPr>
      </w:pPr>
      <w:r w:rsidRPr="00E361E1">
        <w:rPr>
          <w:lang w:val="nl-NL"/>
        </w:rPr>
        <w:tab/>
        <w:t>1</w:t>
      </w:r>
      <w:r w:rsidRPr="00E361E1">
        <w:rPr>
          <w:lang w:val="pt-BR"/>
        </w:rPr>
        <w:t>. Điều chỉnh Điểm c, d Mục 2.2 Khoản 2 Điều 1 như sau:</w:t>
      </w:r>
    </w:p>
    <w:p w:rsidR="00B42C18" w:rsidRDefault="00B42C18">
      <w:pPr>
        <w:autoSpaceDE/>
        <w:autoSpaceDN/>
        <w:spacing w:line="360" w:lineRule="exact"/>
        <w:ind w:firstLine="720"/>
        <w:rPr>
          <w:spacing w:val="-4"/>
          <w:lang w:val="pt-BR"/>
        </w:rPr>
      </w:pPr>
      <w:r>
        <w:rPr>
          <w:spacing w:val="-4"/>
          <w:lang w:val="pt-BR"/>
        </w:rPr>
        <w:t>c) Giá đất sử dụng cho hoạt động khoáng sản và đất sản xuất vật liệu xây dựng, làm đồ gốm:</w:t>
      </w:r>
    </w:p>
    <w:p w:rsidR="00B42C18" w:rsidRDefault="00B42C18">
      <w:pPr>
        <w:widowControl w:val="0"/>
        <w:tabs>
          <w:tab w:val="right" w:pos="8160"/>
        </w:tabs>
        <w:spacing w:line="360" w:lineRule="exact"/>
        <w:ind w:firstLine="720"/>
        <w:rPr>
          <w:lang w:val="pt-BR"/>
        </w:rPr>
      </w:pPr>
      <w:r>
        <w:rPr>
          <w:lang w:val="pt-BR"/>
        </w:rPr>
        <w:tab/>
        <w:t xml:space="preserve">- Tại 9 xã, phường thuộc Khu kinh tế Vũng Áng (Kỳ Nam, Kỳ Phương, </w:t>
      </w:r>
      <w:r>
        <w:rPr>
          <w:lang w:val="pt-BR"/>
        </w:rPr>
        <w:lastRenderedPageBreak/>
        <w:t>Kỳ Lợi, Kỳ Long, Kỳ Liên, Kỳ Thịnh, Kỳ Trinh, Kỳ Hà và Kỳ Ninh) và các khu vực thuộc thị xã Hồng Lĩnh: giá 200.000 đ/m</w:t>
      </w:r>
      <w:r>
        <w:rPr>
          <w:vertAlign w:val="superscript"/>
          <w:lang w:val="pt-BR"/>
        </w:rPr>
        <w:t>2</w:t>
      </w:r>
      <w:r>
        <w:rPr>
          <w:lang w:val="pt-BR"/>
        </w:rPr>
        <w:t>;</w:t>
      </w:r>
    </w:p>
    <w:p w:rsidR="00B42C18" w:rsidRDefault="00B42C18">
      <w:pPr>
        <w:spacing w:line="360" w:lineRule="exact"/>
        <w:rPr>
          <w:lang w:val="pt-BR"/>
        </w:rPr>
      </w:pPr>
      <w:r>
        <w:rPr>
          <w:lang w:val="pt-BR"/>
        </w:rPr>
        <w:tab/>
        <w:t>d. Giá đất xây dựng trụ sở cơ quan; đất quốc phòng, đất an ninh; đất xây dựng công trình sự nghiệp; đất cơ sở tôn giáo, đất cơ sở tín ngưỡng; đất nghĩa trang, nghĩa địa, nhà tang lễ, nhà hỏa táng; đất</w:t>
      </w:r>
      <w:r>
        <w:rPr>
          <w:lang w:val="nl-NL"/>
        </w:rPr>
        <w:t xml:space="preserve"> công cộng không phục vụ cho sản xuất kinh doanh</w:t>
      </w:r>
      <w:r>
        <w:rPr>
          <w:lang w:val="pt-BR"/>
        </w:rPr>
        <w:t xml:space="preserve"> tính bằng giá đất ở có cùng vị trí;</w:t>
      </w:r>
    </w:p>
    <w:p w:rsidR="00B42C18" w:rsidRDefault="00B42C18">
      <w:pPr>
        <w:spacing w:line="360" w:lineRule="exact"/>
        <w:rPr>
          <w:lang w:val="nl-NL"/>
        </w:rPr>
      </w:pPr>
      <w:r>
        <w:rPr>
          <w:lang w:val="pt-BR"/>
        </w:rPr>
        <w:tab/>
        <w:t>Riêng giá đất</w:t>
      </w:r>
      <w:r>
        <w:rPr>
          <w:lang w:val="nl-NL"/>
        </w:rPr>
        <w:t xml:space="preserve"> công cộng phục vụ cho sản xuất kinh doanh:</w:t>
      </w:r>
      <w:r w:rsidR="002F66B6">
        <w:rPr>
          <w:lang w:val="nl-NL"/>
        </w:rPr>
        <w:t xml:space="preserve"> </w:t>
      </w:r>
      <w:r>
        <w:rPr>
          <w:lang w:val="nl-NL"/>
        </w:rPr>
        <w:t>đô thị và nông thôn tính bằng 50% giá đất ở cùng vị trí, riêng thành phố Hà Tĩnh bằng 60% giá đất ở cùng vị trí.</w:t>
      </w:r>
    </w:p>
    <w:p w:rsidR="00B42C18" w:rsidRPr="00005F9B" w:rsidRDefault="00B42C18">
      <w:pPr>
        <w:spacing w:line="360" w:lineRule="exact"/>
        <w:ind w:firstLine="720"/>
        <w:rPr>
          <w:lang w:val="nl-NL"/>
        </w:rPr>
      </w:pPr>
      <w:r w:rsidRPr="00005F9B">
        <w:rPr>
          <w:lang w:val="nl-NL"/>
        </w:rPr>
        <w:t>2. Điều chỉnh, bổ sung Điểm c Mục 2.4 Khoản 2 Điều 1:</w:t>
      </w:r>
    </w:p>
    <w:p w:rsidR="00B42C18" w:rsidRDefault="00B42C18">
      <w:pPr>
        <w:spacing w:line="360" w:lineRule="exact"/>
        <w:ind w:firstLine="720"/>
        <w:rPr>
          <w:lang w:val="nl-NL"/>
        </w:rPr>
      </w:pPr>
      <w:r>
        <w:rPr>
          <w:lang w:val="nl-NL"/>
        </w:rPr>
        <w:t>c. Những thửa đất có chiều dài cạnh trên 25 m (đối với đất ở nông thôn), trên 20 m (đối với đất ở đô thị) và trên 50 m (đối với đất phi nông nghiệp không phải là đất ở tại nông thôn), trên 40 m (đối với đất phi nông nghiệp không phải là đất ở tại đô thị) tính từ ranh giới sử dụng đất hợp pháp thì áp dụng việc tính giá phân lớp theo chiều dài thửa đất để xác định giá bình quân gia quyền của thửa đất và thực hiện theo nguyên tắc sau:</w:t>
      </w:r>
    </w:p>
    <w:p w:rsidR="00B42C18" w:rsidRDefault="00B42C18">
      <w:pPr>
        <w:widowControl w:val="0"/>
        <w:spacing w:line="360" w:lineRule="exact"/>
        <w:ind w:firstLine="720"/>
        <w:rPr>
          <w:spacing w:val="-2"/>
          <w:lang w:val="nl-NL"/>
        </w:rPr>
      </w:pPr>
      <w:r>
        <w:rPr>
          <w:lang w:val="nl-NL"/>
        </w:rPr>
        <w:t xml:space="preserve">- Phần diện tích đất lớp 1 tính giá đất bám mặt đường (đã có quy định tại Bảng giá), phần diện tích đất lớp 2 tính bằng 40% mức giá lớp 1, phần diện tích đất còn lại tính bằng 30% mức giá bám đường. Trường hợp giá đất các lớp tiếp theo lớp 1 (thuộc khu vực nông thôn) nếu có mức giá thấp hơn mức giá thấp nhất của xã thì giá đất lớp đó được tính theo mức giá thấp nhất của xã đó; trường hợp giá đất các lớp tiếp theo lớp 1 (thuộc khu vực thành phố Hà Tĩnh, các thị xã và các thị trấn) nếu có mức giá thấp hơn mức giá đất của thửa đất liền kề tiếp </w:t>
      </w:r>
      <w:r>
        <w:rPr>
          <w:spacing w:val="-2"/>
          <w:lang w:val="nl-NL"/>
        </w:rPr>
        <w:t>sau thì lấy theo mức giá của thửa đất liền kề đó nhưng không cao hơn giá lớp 1.</w:t>
      </w:r>
    </w:p>
    <w:p w:rsidR="00B42C18" w:rsidRDefault="00B42C18">
      <w:pPr>
        <w:widowControl w:val="0"/>
        <w:spacing w:line="360" w:lineRule="exact"/>
        <w:ind w:firstLine="720"/>
        <w:rPr>
          <w:lang w:val="nl-NL"/>
        </w:rPr>
      </w:pPr>
      <w:r>
        <w:rPr>
          <w:lang w:val="nl-NL"/>
        </w:rPr>
        <w:t xml:space="preserve">- Đối với những thửa đất bám nhiều mặt đường thì việc phân lớp được cắt theo các chiều bám đường, nhưng lựa chọn cách phân lớp có mức giá cao nhất. Trường hợp cách phân lớp theo các chiều bám đường cho mức giá thấp hơn phân lớp theo một chiều bám đường thì lựa chọn cách phân lớp theo một chiều bám </w:t>
      </w:r>
      <w:r w:rsidRPr="002749FC">
        <w:rPr>
          <w:lang w:val="nl-NL"/>
        </w:rPr>
        <w:t xml:space="preserve">đường đó. Việc tính hệ số quy định tại </w:t>
      </w:r>
      <w:r w:rsidR="000F52F5" w:rsidRPr="002749FC">
        <w:rPr>
          <w:lang w:val="nl-NL"/>
        </w:rPr>
        <w:t>Đ</w:t>
      </w:r>
      <w:r w:rsidR="00C00D11" w:rsidRPr="002749FC">
        <w:rPr>
          <w:lang w:val="nl-NL"/>
        </w:rPr>
        <w:t>iểm a Mục 2.4 K</w:t>
      </w:r>
      <w:r w:rsidR="000F52F5" w:rsidRPr="002749FC">
        <w:rPr>
          <w:lang w:val="nl-NL"/>
        </w:rPr>
        <w:t xml:space="preserve">hoản 2 </w:t>
      </w:r>
      <w:r w:rsidR="00C00D11" w:rsidRPr="002749FC">
        <w:rPr>
          <w:lang w:val="nl-NL"/>
        </w:rPr>
        <w:t>Đ</w:t>
      </w:r>
      <w:r w:rsidR="000F52F5" w:rsidRPr="002749FC">
        <w:rPr>
          <w:lang w:val="nl-NL"/>
        </w:rPr>
        <w:t xml:space="preserve">iều 1 Nghị quyết 115/2014/NQ-HĐND </w:t>
      </w:r>
      <w:r w:rsidRPr="002749FC">
        <w:rPr>
          <w:lang w:val="nl-NL"/>
        </w:rPr>
        <w:t>chỉ áp dụng cho phần diện tích lớp 1.</w:t>
      </w:r>
      <w:r>
        <w:rPr>
          <w:lang w:val="nl-NL"/>
        </w:rPr>
        <w:t xml:space="preserve"> </w:t>
      </w:r>
    </w:p>
    <w:p w:rsidR="00B42C18" w:rsidRDefault="00B42C18">
      <w:pPr>
        <w:widowControl w:val="0"/>
        <w:spacing w:line="360" w:lineRule="exact"/>
        <w:ind w:firstLine="720"/>
        <w:rPr>
          <w:spacing w:val="-4"/>
          <w:lang w:val="nl-NL"/>
        </w:rPr>
      </w:pPr>
      <w:r>
        <w:rPr>
          <w:spacing w:val="-4"/>
          <w:lang w:val="nl-NL"/>
        </w:rPr>
        <w:t>- Khoảng cách tính mỗi lớp (lớp 1, lớp 2) đối với đất ở là 20 m (tại khu vực đô thị) và 25 m (tại khu vực nông thôn); đối với đất phi nông nghiệp nhưng không phải là đất ở là 40 m (tại khu vực đô thị) và 50 m (tại khu vực nông thôn) theo chiều vuông góc với mặt đường (tính từ ranh giới sử dụng đất hợp pháp). Riêng đối với những thửa đất ở đã được cơ quan nhà nước có thẩm quyền phê duyệt quy hoạch thì khoảng cách tính mỗi lớp được tí</w:t>
      </w:r>
      <w:r w:rsidR="00E361E1">
        <w:rPr>
          <w:spacing w:val="-4"/>
          <w:lang w:val="nl-NL"/>
        </w:rPr>
        <w:t>nh theo quy hoạch đã được duyệt</w:t>
      </w:r>
      <w:r>
        <w:rPr>
          <w:spacing w:val="-4"/>
          <w:lang w:val="nl-NL"/>
        </w:rPr>
        <w:t>.</w:t>
      </w:r>
    </w:p>
    <w:p w:rsidR="00B42C18" w:rsidRPr="00005F9B" w:rsidRDefault="00B42C18">
      <w:pPr>
        <w:spacing w:line="360" w:lineRule="exact"/>
        <w:rPr>
          <w:lang w:val="pt-BR"/>
        </w:rPr>
      </w:pPr>
      <w:r w:rsidRPr="00005F9B">
        <w:rPr>
          <w:lang w:val="pt-BR"/>
        </w:rPr>
        <w:tab/>
        <w:t>3. Bổ sung Điểm f, g vào Mục 2.2 Khoản 2 Điều 1 như sau:</w:t>
      </w:r>
    </w:p>
    <w:p w:rsidR="00B42C18" w:rsidRDefault="00B42C18">
      <w:pPr>
        <w:widowControl w:val="0"/>
        <w:spacing w:line="360" w:lineRule="exact"/>
        <w:rPr>
          <w:bCs/>
          <w:lang w:val="nl-NL"/>
        </w:rPr>
      </w:pPr>
      <w:r>
        <w:rPr>
          <w:rFonts w:cs=".VnTime"/>
          <w:lang w:val="nl-NL"/>
        </w:rPr>
        <w:tab/>
        <w:t xml:space="preserve">f) </w:t>
      </w:r>
      <w:r>
        <w:rPr>
          <w:bCs/>
          <w:lang w:val="nl-NL"/>
        </w:rPr>
        <w:t>Điều chỉnh, bổ sung giá</w:t>
      </w:r>
      <w:r>
        <w:rPr>
          <w:rFonts w:cs=".VnTime"/>
          <w:lang w:val="nl-NL"/>
        </w:rPr>
        <w:t xml:space="preserve"> đất ở, đất thương mại, dịch vụ và đất sản xuất </w:t>
      </w:r>
      <w:r>
        <w:rPr>
          <w:rFonts w:cs=".VnTime"/>
          <w:lang w:val="nl-NL"/>
        </w:rPr>
        <w:lastRenderedPageBreak/>
        <w:t xml:space="preserve">kinh doanh phi nông nghiệp không phải là đất thương mại dịch vụ tại đô thị </w:t>
      </w:r>
      <w:r>
        <w:rPr>
          <w:rFonts w:cs=".VnTime"/>
          <w:i/>
          <w:lang w:val="nl-NL"/>
        </w:rPr>
        <w:t>(Bảng 1);</w:t>
      </w:r>
    </w:p>
    <w:p w:rsidR="00B42C18" w:rsidRPr="00E11E02" w:rsidRDefault="00B42C18">
      <w:pPr>
        <w:pStyle w:val="BodyTextIndent"/>
        <w:widowControl w:val="0"/>
        <w:spacing w:before="0" w:after="0" w:line="360" w:lineRule="exact"/>
        <w:ind w:firstLine="720"/>
        <w:rPr>
          <w:rFonts w:cs=".VnTime"/>
          <w:lang w:val="nl-NL"/>
        </w:rPr>
      </w:pPr>
      <w:r w:rsidRPr="00E11E02">
        <w:rPr>
          <w:bCs/>
          <w:lang w:val="nl-NL"/>
        </w:rPr>
        <w:t>g) Điều chỉnh, bổ sung giá</w:t>
      </w:r>
      <w:r w:rsidRPr="00E11E02">
        <w:rPr>
          <w:rFonts w:cs=".VnTime"/>
          <w:lang w:val="nl-NL"/>
        </w:rPr>
        <w:t xml:space="preserve"> đất ở, đất thương mại, dịch vụ và đất sản xuất kinh doanh phi nông nghiệp không phải là đất thương mại dịch vụ tại nông thôn (</w:t>
      </w:r>
      <w:r w:rsidRPr="00E11E02">
        <w:rPr>
          <w:rFonts w:cs=".VnTime"/>
          <w:i/>
          <w:lang w:val="nl-NL"/>
        </w:rPr>
        <w:t>Bảng 2</w:t>
      </w:r>
      <w:r w:rsidRPr="00E11E02">
        <w:rPr>
          <w:rFonts w:cs=".VnTime"/>
          <w:lang w:val="nl-NL"/>
        </w:rPr>
        <w:t>);</w:t>
      </w:r>
    </w:p>
    <w:p w:rsidR="00B42C18" w:rsidRPr="00005F9B" w:rsidRDefault="00B42C18">
      <w:pPr>
        <w:spacing w:line="360" w:lineRule="exact"/>
        <w:rPr>
          <w:lang w:val="pt-BR"/>
        </w:rPr>
      </w:pPr>
      <w:r w:rsidRPr="00005F9B">
        <w:rPr>
          <w:lang w:val="pt-BR"/>
        </w:rPr>
        <w:tab/>
        <w:t>4. Bổ sung Mục 2.6 Khoản 2 Điều 1:</w:t>
      </w:r>
    </w:p>
    <w:p w:rsidR="00B42C18" w:rsidRDefault="00B42C18">
      <w:pPr>
        <w:spacing w:line="360" w:lineRule="exact"/>
        <w:rPr>
          <w:lang w:val="pt-BR"/>
        </w:rPr>
      </w:pPr>
      <w:r>
        <w:rPr>
          <w:lang w:val="pt-BR"/>
        </w:rPr>
        <w:tab/>
        <w:t>2.6. Về thời hạn sử dụng để làm cơ sở xác định thời gian tính giá đối với nhóm đất nông nghiệp (đất trồng cây hàng năm, đất trồng cây lâu năm, đất rừng sản xuất, đất rừng phòng hộ, đất rừng đặc dụng, đất nuôi trồng thủy sản, đất làm muối và đất nông nghiệp khác) là tương ứng với thời hạn sử dụng đất nông nghiệp khi Nhà nước cho thuê đất theo phương thức trả tiền một lần cho cả thời gian thuê là 70 (bảy mươi) năm.</w:t>
      </w:r>
    </w:p>
    <w:p w:rsidR="00B42C18" w:rsidRDefault="00B42C18">
      <w:pPr>
        <w:autoSpaceDE/>
        <w:autoSpaceDN/>
        <w:spacing w:line="360" w:lineRule="exact"/>
        <w:ind w:firstLine="720"/>
        <w:rPr>
          <w:lang w:val="nl-NL"/>
        </w:rPr>
      </w:pPr>
      <w:r>
        <w:rPr>
          <w:b/>
          <w:bCs/>
          <w:lang w:val="nl-NL"/>
        </w:rPr>
        <w:t>Điều 2.</w:t>
      </w:r>
      <w:r>
        <w:rPr>
          <w:lang w:val="nl-NL"/>
        </w:rPr>
        <w:t xml:space="preserve"> Giao Ủy ban nhân dân tỉnh tổ chức thực hiện Nghị quyết.</w:t>
      </w:r>
    </w:p>
    <w:p w:rsidR="00B42C18" w:rsidRDefault="00B42C18">
      <w:pPr>
        <w:autoSpaceDE/>
        <w:autoSpaceDN/>
        <w:spacing w:line="360" w:lineRule="exact"/>
        <w:ind w:firstLine="720"/>
        <w:rPr>
          <w:lang w:val="nl-NL"/>
        </w:rPr>
      </w:pPr>
      <w:r>
        <w:rPr>
          <w:lang w:val="nl-NL"/>
        </w:rPr>
        <w:t>Trường hợp cần thiết phải điều chỉnh, bổ sung Bảng giá đất trong kỳ ban hành, Ủy ban nhân dân tỉnh xây dựng phương án trình Thường trực Hội đồng nhân dân tỉnh thống nhất trước khi quyết định và báo cáo  Hội đồng nhân dân  tỉnh tại kỳ họp gần nhất.</w:t>
      </w:r>
    </w:p>
    <w:p w:rsidR="00B42C18" w:rsidRDefault="00B42C18">
      <w:pPr>
        <w:autoSpaceDE/>
        <w:autoSpaceDN/>
        <w:spacing w:line="360" w:lineRule="exact"/>
        <w:ind w:firstLine="720"/>
        <w:rPr>
          <w:lang w:val="nl-NL"/>
        </w:rPr>
      </w:pPr>
      <w:r>
        <w:rPr>
          <w:b/>
          <w:lang w:val="nl-NL"/>
        </w:rPr>
        <w:t>Điều 3.</w:t>
      </w:r>
      <w:r>
        <w:rPr>
          <w:lang w:val="nl-NL"/>
        </w:rPr>
        <w:t xml:space="preserve"> Giao Thường trực Hội đồng nhân dân, các Ban Hội đồng nhân dân và các Đại biểu Hội đồng nhân dân tỉnh giám sát việc thực hiện Nghị quyết. </w:t>
      </w:r>
    </w:p>
    <w:p w:rsidR="00B42C18" w:rsidRDefault="00B42C18">
      <w:pPr>
        <w:autoSpaceDE/>
        <w:autoSpaceDN/>
        <w:spacing w:line="360" w:lineRule="exact"/>
        <w:ind w:firstLine="720"/>
        <w:rPr>
          <w:lang w:val="nl-NL"/>
        </w:rPr>
      </w:pPr>
      <w:r>
        <w:rPr>
          <w:lang w:val="nl-NL"/>
        </w:rPr>
        <w:t>Nghị quyết đã được Hội đồng nhân dân tỉnh Khóa XVII kỳ họp thứ 3  thông qua</w:t>
      </w:r>
      <w:r w:rsidR="00A43BE2">
        <w:rPr>
          <w:lang w:val="nl-NL"/>
        </w:rPr>
        <w:t xml:space="preserve"> và có hiệu lực</w:t>
      </w:r>
      <w:r w:rsidR="006113CE">
        <w:rPr>
          <w:lang w:val="nl-NL"/>
        </w:rPr>
        <w:t xml:space="preserve"> từ ngày     tháng 12 năm 2016</w:t>
      </w:r>
      <w:r>
        <w:rPr>
          <w:lang w:val="nl-NL"/>
        </w:rPr>
        <w:t>./.</w:t>
      </w:r>
    </w:p>
    <w:p w:rsidR="00B42C18" w:rsidRDefault="00B42C18">
      <w:pPr>
        <w:ind w:firstLine="720"/>
        <w:rPr>
          <w:rFonts w:ascii=".VnTime" w:hAnsi=".VnTime"/>
          <w:sz w:val="18"/>
          <w:lang w:val="nl-NL"/>
        </w:rPr>
      </w:pPr>
    </w:p>
    <w:tbl>
      <w:tblPr>
        <w:tblW w:w="9637" w:type="dxa"/>
        <w:tblBorders>
          <w:insideH w:val="single" w:sz="4" w:space="0" w:color="auto"/>
        </w:tblBorders>
        <w:tblLayout w:type="fixed"/>
        <w:tblLook w:val="0000" w:firstRow="0" w:lastRow="0" w:firstColumn="0" w:lastColumn="0" w:noHBand="0" w:noVBand="0"/>
      </w:tblPr>
      <w:tblGrid>
        <w:gridCol w:w="5322"/>
        <w:gridCol w:w="4315"/>
      </w:tblGrid>
      <w:tr w:rsidR="00B42C18">
        <w:tblPrEx>
          <w:tblCellMar>
            <w:top w:w="0" w:type="dxa"/>
            <w:bottom w:w="0" w:type="dxa"/>
          </w:tblCellMar>
        </w:tblPrEx>
        <w:trPr>
          <w:trHeight w:val="20"/>
        </w:trPr>
        <w:tc>
          <w:tcPr>
            <w:tcW w:w="5322" w:type="dxa"/>
            <w:tcBorders>
              <w:top w:val="nil"/>
              <w:left w:val="nil"/>
              <w:bottom w:val="nil"/>
              <w:right w:val="nil"/>
            </w:tcBorders>
          </w:tcPr>
          <w:p w:rsidR="00B42C18" w:rsidRDefault="00B42C18">
            <w:pPr>
              <w:rPr>
                <w:b/>
                <w:bCs/>
                <w:i/>
                <w:iCs/>
                <w:sz w:val="22"/>
                <w:szCs w:val="22"/>
                <w:lang w:val="vi-VN"/>
              </w:rPr>
            </w:pPr>
            <w:r>
              <w:rPr>
                <w:b/>
                <w:bCs/>
                <w:i/>
                <w:iCs/>
                <w:sz w:val="22"/>
                <w:szCs w:val="22"/>
                <w:lang w:val="vi-VN"/>
              </w:rPr>
              <w:t xml:space="preserve">Nơi nhận </w:t>
            </w:r>
          </w:p>
          <w:p w:rsidR="00B42C18" w:rsidRPr="000F52F5" w:rsidRDefault="00B42C18">
            <w:pPr>
              <w:rPr>
                <w:noProof/>
                <w:sz w:val="22"/>
                <w:lang w:val="nl-NL" w:eastAsia="en-GB"/>
              </w:rPr>
            </w:pPr>
            <w:r>
              <w:rPr>
                <w:noProof/>
                <w:sz w:val="22"/>
                <w:lang w:val="vi-VN" w:eastAsia="en-GB"/>
              </w:rPr>
              <w:t>- Ủy ban Thường vụ Quốc hội;</w:t>
            </w:r>
          </w:p>
          <w:p w:rsidR="00B42C18" w:rsidRPr="000F52F5" w:rsidRDefault="00B42C18">
            <w:pPr>
              <w:rPr>
                <w:noProof/>
                <w:sz w:val="22"/>
                <w:lang w:val="nl-NL" w:eastAsia="en-GB"/>
              </w:rPr>
            </w:pPr>
            <w:r w:rsidRPr="000F52F5">
              <w:rPr>
                <w:noProof/>
                <w:sz w:val="22"/>
                <w:lang w:val="nl-NL" w:eastAsia="en-GB"/>
              </w:rPr>
              <w:t>- Ban Công tác đại biểu UBTVQH;</w:t>
            </w:r>
          </w:p>
          <w:p w:rsidR="00B42C18" w:rsidRDefault="00B42C18">
            <w:pPr>
              <w:rPr>
                <w:noProof/>
                <w:sz w:val="22"/>
                <w:lang w:val="vi-VN" w:eastAsia="en-GB"/>
              </w:rPr>
            </w:pPr>
            <w:r>
              <w:rPr>
                <w:noProof/>
                <w:sz w:val="22"/>
                <w:lang w:val="vi-VN" w:eastAsia="en-GB"/>
              </w:rPr>
              <w:t xml:space="preserve">- Văn phòng Quốc hội; </w:t>
            </w:r>
          </w:p>
          <w:p w:rsidR="00B42C18" w:rsidRDefault="00B42C18">
            <w:pPr>
              <w:rPr>
                <w:noProof/>
                <w:sz w:val="22"/>
                <w:lang w:val="vi-VN" w:eastAsia="en-GB"/>
              </w:rPr>
            </w:pPr>
            <w:r>
              <w:rPr>
                <w:noProof/>
                <w:sz w:val="22"/>
                <w:lang w:val="vi-VN" w:eastAsia="en-GB"/>
              </w:rPr>
              <w:t>- Văn phòng Chủ tịch nước;</w:t>
            </w:r>
          </w:p>
          <w:p w:rsidR="00B42C18" w:rsidRDefault="00B42C18">
            <w:pPr>
              <w:rPr>
                <w:noProof/>
                <w:sz w:val="22"/>
                <w:lang w:val="vi-VN" w:eastAsia="en-GB"/>
              </w:rPr>
            </w:pPr>
            <w:r>
              <w:rPr>
                <w:noProof/>
                <w:sz w:val="22"/>
                <w:lang w:val="vi-VN" w:eastAsia="en-GB"/>
              </w:rPr>
              <w:t>- Văn phòng Chính phủ, Website Chính phủ;</w:t>
            </w:r>
          </w:p>
          <w:p w:rsidR="00B42C18" w:rsidRDefault="00B42C18">
            <w:pPr>
              <w:rPr>
                <w:noProof/>
                <w:sz w:val="22"/>
                <w:lang w:val="vi-VN" w:eastAsia="en-GB"/>
              </w:rPr>
            </w:pPr>
            <w:r>
              <w:rPr>
                <w:noProof/>
                <w:sz w:val="22"/>
                <w:lang w:val="vi-VN" w:eastAsia="en-GB"/>
              </w:rPr>
              <w:t>- Bộ Tài nguyên và Môi trường;</w:t>
            </w:r>
          </w:p>
          <w:p w:rsidR="00B42C18" w:rsidRDefault="00B42C18">
            <w:pPr>
              <w:rPr>
                <w:noProof/>
                <w:sz w:val="22"/>
                <w:lang w:val="vi-VN" w:eastAsia="en-GB"/>
              </w:rPr>
            </w:pPr>
            <w:r>
              <w:rPr>
                <w:noProof/>
                <w:sz w:val="22"/>
                <w:lang w:val="vi-VN" w:eastAsia="en-GB"/>
              </w:rPr>
              <w:t>- Kiểm toán nhà nước khu vực II;</w:t>
            </w:r>
          </w:p>
          <w:p w:rsidR="00B42C18" w:rsidRDefault="00B42C18">
            <w:pPr>
              <w:rPr>
                <w:noProof/>
                <w:sz w:val="22"/>
                <w:lang w:val="vi-VN" w:eastAsia="en-GB"/>
              </w:rPr>
            </w:pPr>
            <w:r>
              <w:rPr>
                <w:noProof/>
                <w:sz w:val="22"/>
                <w:lang w:val="vi-VN" w:eastAsia="en-GB"/>
              </w:rPr>
              <w:t>- Bộ Tư lệnh Quân khu IV;</w:t>
            </w:r>
          </w:p>
          <w:p w:rsidR="00B42C18" w:rsidRDefault="00B42C18">
            <w:pPr>
              <w:rPr>
                <w:noProof/>
                <w:sz w:val="22"/>
                <w:lang w:val="vi-VN" w:eastAsia="en-GB"/>
              </w:rPr>
            </w:pPr>
            <w:r>
              <w:rPr>
                <w:noProof/>
                <w:sz w:val="22"/>
                <w:lang w:val="vi-VN" w:eastAsia="en-GB"/>
              </w:rPr>
              <w:t>- Cục kiểm tra văn bản</w:t>
            </w:r>
            <w:r w:rsidRPr="000F52F5">
              <w:rPr>
                <w:noProof/>
                <w:sz w:val="22"/>
                <w:lang w:val="vi-VN" w:eastAsia="en-GB"/>
              </w:rPr>
              <w:t xml:space="preserve"> QPPL</w:t>
            </w:r>
            <w:r>
              <w:rPr>
                <w:noProof/>
                <w:sz w:val="22"/>
                <w:lang w:val="vi-VN" w:eastAsia="en-GB"/>
              </w:rPr>
              <w:t xml:space="preserve"> - Bộ Tư pháp;</w:t>
            </w:r>
          </w:p>
          <w:p w:rsidR="00B42C18" w:rsidRDefault="00B42C18">
            <w:pPr>
              <w:rPr>
                <w:noProof/>
                <w:sz w:val="22"/>
                <w:lang w:val="vi-VN" w:eastAsia="en-GB"/>
              </w:rPr>
            </w:pPr>
            <w:r>
              <w:rPr>
                <w:noProof/>
                <w:sz w:val="22"/>
                <w:lang w:val="vi-VN" w:eastAsia="en-GB"/>
              </w:rPr>
              <w:t>- TT Tỉnh uỷ, HĐND, UBND, UBMTTQ tỉnh;</w:t>
            </w:r>
          </w:p>
          <w:p w:rsidR="00B42C18" w:rsidRDefault="00B42C18">
            <w:pPr>
              <w:rPr>
                <w:noProof/>
                <w:sz w:val="22"/>
                <w:lang w:val="vi-VN" w:eastAsia="en-GB"/>
              </w:rPr>
            </w:pPr>
            <w:r>
              <w:rPr>
                <w:noProof/>
                <w:sz w:val="22"/>
                <w:lang w:val="vi-VN" w:eastAsia="en-GB"/>
              </w:rPr>
              <w:t>- Đại biểu Quốc hội đoàn Hà Tĩnh;</w:t>
            </w:r>
          </w:p>
          <w:p w:rsidR="00B42C18" w:rsidRDefault="00B42C18">
            <w:pPr>
              <w:rPr>
                <w:noProof/>
                <w:sz w:val="22"/>
                <w:lang w:val="vi-VN" w:eastAsia="en-GB"/>
              </w:rPr>
            </w:pPr>
            <w:r>
              <w:rPr>
                <w:noProof/>
                <w:sz w:val="22"/>
                <w:lang w:val="vi-VN" w:eastAsia="en-GB"/>
              </w:rPr>
              <w:t>- Đại biểu HĐND tỉnh;</w:t>
            </w:r>
          </w:p>
          <w:p w:rsidR="00B42C18" w:rsidRDefault="00B42C18">
            <w:pPr>
              <w:rPr>
                <w:noProof/>
                <w:sz w:val="22"/>
                <w:lang w:val="vi-VN" w:eastAsia="en-GB"/>
              </w:rPr>
            </w:pPr>
            <w:r>
              <w:rPr>
                <w:noProof/>
                <w:sz w:val="22"/>
                <w:lang w:val="vi-VN" w:eastAsia="en-GB"/>
              </w:rPr>
              <w:t>- Các sở, ban, ngành, đoàn thể cấp tỉnh;</w:t>
            </w:r>
          </w:p>
          <w:p w:rsidR="00B42C18" w:rsidRDefault="00B42C18">
            <w:pPr>
              <w:rPr>
                <w:noProof/>
                <w:sz w:val="22"/>
                <w:lang w:val="vi-VN" w:eastAsia="en-GB"/>
              </w:rPr>
            </w:pPr>
            <w:r>
              <w:rPr>
                <w:noProof/>
                <w:sz w:val="22"/>
                <w:lang w:val="vi-VN" w:eastAsia="en-GB"/>
              </w:rPr>
              <w:t>- Văn phòng Tỉnh uỷ;</w:t>
            </w:r>
          </w:p>
          <w:p w:rsidR="00B42C18" w:rsidRDefault="00B42C18">
            <w:pPr>
              <w:rPr>
                <w:noProof/>
                <w:sz w:val="22"/>
                <w:lang w:val="vi-VN" w:eastAsia="en-GB"/>
              </w:rPr>
            </w:pPr>
            <w:r>
              <w:rPr>
                <w:noProof/>
                <w:sz w:val="22"/>
                <w:lang w:val="vi-VN" w:eastAsia="en-GB"/>
              </w:rPr>
              <w:t>- Văn phòng Đoàn ĐBQH và HĐND tỉnh;</w:t>
            </w:r>
          </w:p>
          <w:p w:rsidR="00B42C18" w:rsidRDefault="00B42C18">
            <w:pPr>
              <w:rPr>
                <w:noProof/>
                <w:sz w:val="22"/>
                <w:lang w:val="vi-VN" w:eastAsia="en-GB"/>
              </w:rPr>
            </w:pPr>
            <w:r>
              <w:rPr>
                <w:noProof/>
                <w:sz w:val="22"/>
                <w:lang w:val="vi-VN" w:eastAsia="en-GB"/>
              </w:rPr>
              <w:t>- Văn phòng UBND tỉnh;</w:t>
            </w:r>
          </w:p>
          <w:p w:rsidR="00B42C18" w:rsidRDefault="00B42C18">
            <w:pPr>
              <w:rPr>
                <w:noProof/>
                <w:sz w:val="22"/>
                <w:lang w:val="vi-VN" w:eastAsia="en-GB"/>
              </w:rPr>
            </w:pPr>
            <w:r>
              <w:rPr>
                <w:noProof/>
                <w:sz w:val="22"/>
                <w:lang w:val="vi-VN" w:eastAsia="en-GB"/>
              </w:rPr>
              <w:t>- TT HĐND, UBND các huyện, thành phố, thị xã;</w:t>
            </w:r>
          </w:p>
          <w:p w:rsidR="00B42C18" w:rsidRDefault="00B42C18">
            <w:pPr>
              <w:rPr>
                <w:noProof/>
                <w:sz w:val="22"/>
                <w:lang w:val="vi-VN" w:eastAsia="en-GB"/>
              </w:rPr>
            </w:pPr>
            <w:r>
              <w:rPr>
                <w:noProof/>
                <w:sz w:val="22"/>
                <w:lang w:val="vi-VN" w:eastAsia="en-GB"/>
              </w:rPr>
              <w:t>- Trung tâm T.Tin VP Đoàn ĐBQH và HĐND tỉnh;</w:t>
            </w:r>
          </w:p>
          <w:p w:rsidR="00B42C18" w:rsidRDefault="00B42C18">
            <w:pPr>
              <w:rPr>
                <w:noProof/>
                <w:sz w:val="22"/>
                <w:lang w:val="vi-VN" w:eastAsia="en-GB"/>
              </w:rPr>
            </w:pPr>
            <w:r>
              <w:rPr>
                <w:noProof/>
                <w:sz w:val="22"/>
                <w:lang w:val="vi-VN" w:eastAsia="en-GB"/>
              </w:rPr>
              <w:t>- Trung tâm Công báo - tin học VP UBND tỉnh;</w:t>
            </w:r>
          </w:p>
          <w:p w:rsidR="00B42C18" w:rsidRDefault="00B42C18">
            <w:pPr>
              <w:rPr>
                <w:noProof/>
                <w:sz w:val="22"/>
                <w:szCs w:val="16"/>
                <w:lang w:val="vi-VN"/>
              </w:rPr>
            </w:pPr>
            <w:r>
              <w:rPr>
                <w:noProof/>
                <w:sz w:val="22"/>
                <w:szCs w:val="16"/>
                <w:lang w:val="vi-VN"/>
              </w:rPr>
              <w:t>- Trang thông tin điện tử tỉnh;</w:t>
            </w:r>
          </w:p>
          <w:p w:rsidR="00B42C18" w:rsidRDefault="00B42C18">
            <w:pPr>
              <w:rPr>
                <w:rFonts w:ascii=".VnTime" w:hAnsi=".VnTime"/>
                <w:b/>
                <w:i/>
                <w:sz w:val="20"/>
                <w:szCs w:val="20"/>
                <w:u w:val="single"/>
                <w:lang w:val="sv-SE"/>
              </w:rPr>
            </w:pPr>
            <w:r>
              <w:rPr>
                <w:noProof/>
                <w:sz w:val="22"/>
                <w:lang w:val="vi-VN" w:eastAsia="en-GB"/>
              </w:rPr>
              <w:t xml:space="preserve">- </w:t>
            </w:r>
            <w:r>
              <w:rPr>
                <w:sz w:val="22"/>
                <w:lang w:val="nl-NL"/>
              </w:rPr>
              <w:t>Lư</w:t>
            </w:r>
            <w:r>
              <w:rPr>
                <w:sz w:val="22"/>
                <w:lang w:val="nl-NL"/>
              </w:rPr>
              <w:softHyphen/>
              <w:t>u: VT.</w:t>
            </w:r>
          </w:p>
        </w:tc>
        <w:tc>
          <w:tcPr>
            <w:tcW w:w="4315" w:type="dxa"/>
            <w:tcBorders>
              <w:top w:val="nil"/>
              <w:left w:val="nil"/>
              <w:bottom w:val="nil"/>
              <w:right w:val="nil"/>
            </w:tcBorders>
          </w:tcPr>
          <w:p w:rsidR="00B42C18" w:rsidRDefault="00B42C18">
            <w:pPr>
              <w:jc w:val="center"/>
              <w:rPr>
                <w:b/>
                <w:bCs/>
                <w:sz w:val="26"/>
                <w:szCs w:val="26"/>
                <w:lang w:val="vi-VN"/>
              </w:rPr>
            </w:pPr>
            <w:r>
              <w:rPr>
                <w:b/>
                <w:bCs/>
                <w:lang w:val="sv-SE"/>
              </w:rPr>
              <w:t>CHỦ TỊCH</w:t>
            </w:r>
            <w:r>
              <w:rPr>
                <w:b/>
                <w:bCs/>
                <w:lang w:val="vi-VN"/>
              </w:rPr>
              <w:t xml:space="preserve"> </w:t>
            </w:r>
            <w:r>
              <w:rPr>
                <w:b/>
                <w:bCs/>
                <w:lang w:val="sv-SE"/>
              </w:rPr>
              <w:t xml:space="preserve"> </w:t>
            </w:r>
          </w:p>
          <w:p w:rsidR="00B42C18" w:rsidRDefault="00B42C18">
            <w:pPr>
              <w:jc w:val="center"/>
              <w:rPr>
                <w:b/>
                <w:bCs/>
                <w:sz w:val="26"/>
                <w:szCs w:val="26"/>
                <w:lang w:val="sv-SE"/>
              </w:rPr>
            </w:pPr>
          </w:p>
          <w:p w:rsidR="00B42C18" w:rsidRDefault="00B42C18">
            <w:pPr>
              <w:jc w:val="center"/>
              <w:rPr>
                <w:b/>
                <w:bCs/>
                <w:sz w:val="26"/>
                <w:szCs w:val="26"/>
                <w:lang w:val="sv-SE"/>
              </w:rPr>
            </w:pPr>
          </w:p>
          <w:p w:rsidR="00B42C18" w:rsidRDefault="00B42C18">
            <w:pPr>
              <w:jc w:val="center"/>
              <w:rPr>
                <w:b/>
                <w:bCs/>
                <w:sz w:val="26"/>
                <w:szCs w:val="26"/>
                <w:lang w:val="sv-SE"/>
              </w:rPr>
            </w:pPr>
          </w:p>
          <w:p w:rsidR="00B42C18" w:rsidRDefault="00B42C18">
            <w:pPr>
              <w:jc w:val="center"/>
              <w:rPr>
                <w:b/>
                <w:bCs/>
                <w:sz w:val="26"/>
                <w:szCs w:val="26"/>
                <w:lang w:val="sv-SE"/>
              </w:rPr>
            </w:pPr>
          </w:p>
          <w:p w:rsidR="00B42C18" w:rsidRDefault="00B42C18">
            <w:pPr>
              <w:jc w:val="center"/>
              <w:rPr>
                <w:b/>
                <w:bCs/>
                <w:sz w:val="26"/>
                <w:szCs w:val="26"/>
                <w:lang w:val="sv-SE"/>
              </w:rPr>
            </w:pPr>
          </w:p>
          <w:p w:rsidR="00B42C18" w:rsidRDefault="00B42C18">
            <w:pPr>
              <w:jc w:val="center"/>
              <w:rPr>
                <w:b/>
                <w:bCs/>
                <w:sz w:val="26"/>
                <w:szCs w:val="26"/>
                <w:lang w:val="sv-SE"/>
              </w:rPr>
            </w:pPr>
          </w:p>
          <w:p w:rsidR="00B42C18" w:rsidRDefault="00B42C18">
            <w:pPr>
              <w:jc w:val="center"/>
              <w:rPr>
                <w:b/>
                <w:bCs/>
                <w:sz w:val="2"/>
                <w:szCs w:val="2"/>
                <w:lang w:val="sv-SE"/>
              </w:rPr>
            </w:pPr>
          </w:p>
          <w:p w:rsidR="00B42C18" w:rsidRDefault="00B42C18">
            <w:pPr>
              <w:jc w:val="center"/>
              <w:rPr>
                <w:b/>
                <w:lang w:val="sv-SE"/>
              </w:rPr>
            </w:pPr>
            <w:r>
              <w:rPr>
                <w:b/>
                <w:lang w:val="sv-SE"/>
              </w:rPr>
              <w:t xml:space="preserve">  Lê Đình Sơn</w:t>
            </w:r>
          </w:p>
        </w:tc>
      </w:tr>
    </w:tbl>
    <w:p w:rsidR="00B42C18" w:rsidRDefault="00B42C18">
      <w:pPr>
        <w:rPr>
          <w:lang w:val="vi-VN"/>
        </w:rPr>
      </w:pPr>
    </w:p>
    <w:p w:rsidR="00B42C18" w:rsidRDefault="00B42C18">
      <w:pPr>
        <w:rPr>
          <w:lang w:val="sv-SE"/>
        </w:rPr>
      </w:pPr>
    </w:p>
    <w:sectPr w:rsidR="00B42C18">
      <w:footerReference w:type="default" r:id="rId7"/>
      <w:endnotePr>
        <w:numFmt w:val="decimal"/>
      </w:endnotePr>
      <w:pgSz w:w="11907" w:h="16840" w:code="9"/>
      <w:pgMar w:top="1134" w:right="907" w:bottom="1134" w:left="1985"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AF" w:rsidRDefault="00CF3DAF">
      <w:r>
        <w:separator/>
      </w:r>
    </w:p>
  </w:endnote>
  <w:endnote w:type="continuationSeparator" w:id="0">
    <w:p w:rsidR="00CF3DAF" w:rsidRDefault="00CF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18" w:rsidRDefault="00B42C18">
    <w:pPr>
      <w:pStyle w:val="Footer"/>
      <w:jc w:val="right"/>
    </w:pPr>
    <w:r>
      <w:fldChar w:fldCharType="begin"/>
    </w:r>
    <w:r>
      <w:instrText xml:space="preserve"> PAGE   \* MERGEFORMAT </w:instrText>
    </w:r>
    <w:r>
      <w:fldChar w:fldCharType="separate"/>
    </w:r>
    <w:r w:rsidR="00E1655D">
      <w:rPr>
        <w:noProof/>
      </w:rPr>
      <w:t>3</w:t>
    </w:r>
    <w:r>
      <w:fldChar w:fldCharType="end"/>
    </w:r>
  </w:p>
  <w:p w:rsidR="00B42C18" w:rsidRDefault="00B42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AF" w:rsidRDefault="00CF3DAF">
      <w:r>
        <w:separator/>
      </w:r>
    </w:p>
  </w:footnote>
  <w:footnote w:type="continuationSeparator" w:id="0">
    <w:p w:rsidR="00CF3DAF" w:rsidRDefault="00CF3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BB"/>
    <w:rsid w:val="00005F9B"/>
    <w:rsid w:val="00057C55"/>
    <w:rsid w:val="000F52F5"/>
    <w:rsid w:val="00145805"/>
    <w:rsid w:val="001B770F"/>
    <w:rsid w:val="001C55BB"/>
    <w:rsid w:val="001E3948"/>
    <w:rsid w:val="002749FC"/>
    <w:rsid w:val="002F66B6"/>
    <w:rsid w:val="00331A1C"/>
    <w:rsid w:val="004B3D7E"/>
    <w:rsid w:val="006113CE"/>
    <w:rsid w:val="00707CD5"/>
    <w:rsid w:val="00835032"/>
    <w:rsid w:val="008662AA"/>
    <w:rsid w:val="008902AE"/>
    <w:rsid w:val="00A25A76"/>
    <w:rsid w:val="00A43BE2"/>
    <w:rsid w:val="00B42C18"/>
    <w:rsid w:val="00BB2EAB"/>
    <w:rsid w:val="00C00D11"/>
    <w:rsid w:val="00CC1D5B"/>
    <w:rsid w:val="00CF3DAF"/>
    <w:rsid w:val="00D277C5"/>
    <w:rsid w:val="00D663DE"/>
    <w:rsid w:val="00E11E02"/>
    <w:rsid w:val="00E1655D"/>
    <w:rsid w:val="00E361E1"/>
    <w:rsid w:val="00E9166F"/>
    <w:rsid w:val="00E94758"/>
    <w:rsid w:val="00F37155"/>
    <w:rsid w:val="00F41137"/>
    <w:rsid w:val="00FA25C4"/>
    <w:rsid w:val="00FC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jc w:val="both"/>
    </w:pPr>
    <w:rPr>
      <w:sz w:val="28"/>
      <w:szCs w:val="28"/>
    </w:rPr>
  </w:style>
  <w:style w:type="paragraph" w:styleId="Heading6">
    <w:name w:val="heading 6"/>
    <w:basedOn w:val="Normal"/>
    <w:next w:val="Normal"/>
    <w:qFormat/>
    <w:pPr>
      <w:keepNext/>
      <w:autoSpaceDE/>
      <w:autoSpaceDN/>
      <w:jc w:val="center"/>
      <w:outlineLvl w:val="5"/>
    </w:pPr>
    <w:rPr>
      <w:b/>
      <w:bCs/>
      <w:sz w:val="24"/>
      <w:szCs w:val="24"/>
    </w:rPr>
  </w:style>
  <w:style w:type="paragraph" w:styleId="Heading7">
    <w:name w:val="heading 7"/>
    <w:basedOn w:val="Normal"/>
    <w:next w:val="Normal"/>
    <w:qFormat/>
    <w:pPr>
      <w:keepNext/>
      <w:autoSpaceDE/>
      <w:autoSpaceDN/>
      <w:jc w:val="center"/>
      <w:outlineLvl w:val="6"/>
    </w:pPr>
    <w:rPr>
      <w:b/>
      <w:bCs/>
      <w:spacing w:val="4"/>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autoSpaceDN/>
      <w:spacing w:after="12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autoSpaceDE/>
      <w:autoSpaceDN/>
      <w:jc w:val="left"/>
    </w:pPr>
    <w:rPr>
      <w:lang w:val="x-none" w:eastAsia="x-none"/>
    </w:rPr>
  </w:style>
  <w:style w:type="paragraph" w:customStyle="1" w:styleId="Char">
    <w:name w:val=" Char"/>
    <w:next w:val="Normal"/>
    <w:autoRedefine/>
    <w:semiHidden/>
    <w:pPr>
      <w:spacing w:after="160" w:line="240" w:lineRule="exact"/>
      <w:jc w:val="both"/>
    </w:pPr>
    <w:rPr>
      <w:sz w:val="28"/>
      <w:szCs w:val="22"/>
    </w:rPr>
  </w:style>
  <w:style w:type="paragraph" w:styleId="BodyTextIndent">
    <w:name w:val="Body Text Indent"/>
    <w:basedOn w:val="Normal"/>
    <w:pPr>
      <w:tabs>
        <w:tab w:val="right" w:pos="8400"/>
      </w:tabs>
      <w:autoSpaceDE/>
      <w:autoSpaceDN/>
      <w:spacing w:before="120" w:after="120" w:line="312" w:lineRule="auto"/>
      <w:ind w:firstLine="600"/>
    </w:pPr>
    <w:rPr>
      <w:szCs w:val="24"/>
    </w:rPr>
  </w:style>
  <w:style w:type="character" w:customStyle="1" w:styleId="apple-converted-space">
    <w:name w:val="apple-converted-space"/>
    <w:basedOn w:val="DefaultParagraphFont"/>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8"/>
      <w:szCs w:val="28"/>
    </w:rPr>
  </w:style>
  <w:style w:type="character" w:customStyle="1" w:styleId="FooterChar">
    <w:name w:val="Footer Char"/>
    <w:link w:val="Footer"/>
    <w:uiPriority w:val="99"/>
    <w:rPr>
      <w:sz w:val="28"/>
      <w:szCs w:val="28"/>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jc w:val="both"/>
    </w:pPr>
    <w:rPr>
      <w:sz w:val="28"/>
      <w:szCs w:val="28"/>
    </w:rPr>
  </w:style>
  <w:style w:type="paragraph" w:styleId="Heading6">
    <w:name w:val="heading 6"/>
    <w:basedOn w:val="Normal"/>
    <w:next w:val="Normal"/>
    <w:qFormat/>
    <w:pPr>
      <w:keepNext/>
      <w:autoSpaceDE/>
      <w:autoSpaceDN/>
      <w:jc w:val="center"/>
      <w:outlineLvl w:val="5"/>
    </w:pPr>
    <w:rPr>
      <w:b/>
      <w:bCs/>
      <w:sz w:val="24"/>
      <w:szCs w:val="24"/>
    </w:rPr>
  </w:style>
  <w:style w:type="paragraph" w:styleId="Heading7">
    <w:name w:val="heading 7"/>
    <w:basedOn w:val="Normal"/>
    <w:next w:val="Normal"/>
    <w:qFormat/>
    <w:pPr>
      <w:keepNext/>
      <w:autoSpaceDE/>
      <w:autoSpaceDN/>
      <w:jc w:val="center"/>
      <w:outlineLvl w:val="6"/>
    </w:pPr>
    <w:rPr>
      <w:b/>
      <w:bCs/>
      <w:spacing w:val="4"/>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autoSpaceDN/>
      <w:spacing w:after="12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autoSpaceDE/>
      <w:autoSpaceDN/>
      <w:jc w:val="left"/>
    </w:pPr>
    <w:rPr>
      <w:lang w:val="x-none" w:eastAsia="x-none"/>
    </w:rPr>
  </w:style>
  <w:style w:type="paragraph" w:customStyle="1" w:styleId="Char">
    <w:name w:val=" Char"/>
    <w:next w:val="Normal"/>
    <w:autoRedefine/>
    <w:semiHidden/>
    <w:pPr>
      <w:spacing w:after="160" w:line="240" w:lineRule="exact"/>
      <w:jc w:val="both"/>
    </w:pPr>
    <w:rPr>
      <w:sz w:val="28"/>
      <w:szCs w:val="22"/>
    </w:rPr>
  </w:style>
  <w:style w:type="paragraph" w:styleId="BodyTextIndent">
    <w:name w:val="Body Text Indent"/>
    <w:basedOn w:val="Normal"/>
    <w:pPr>
      <w:tabs>
        <w:tab w:val="right" w:pos="8400"/>
      </w:tabs>
      <w:autoSpaceDE/>
      <w:autoSpaceDN/>
      <w:spacing w:before="120" w:after="120" w:line="312" w:lineRule="auto"/>
      <w:ind w:firstLine="600"/>
    </w:pPr>
    <w:rPr>
      <w:szCs w:val="24"/>
    </w:rPr>
  </w:style>
  <w:style w:type="character" w:customStyle="1" w:styleId="apple-converted-space">
    <w:name w:val="apple-converted-space"/>
    <w:basedOn w:val="DefaultParagraphFont"/>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8"/>
      <w:szCs w:val="28"/>
    </w:rPr>
  </w:style>
  <w:style w:type="character" w:customStyle="1" w:styleId="FooterChar">
    <w:name w:val="Footer Char"/>
    <w:link w:val="Footer"/>
    <w:uiPriority w:val="99"/>
    <w:rPr>
      <w:sz w:val="28"/>
      <w:szCs w:val="28"/>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0988361213</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nguyenhuuminh</dc:creator>
  <cp:lastModifiedBy>Admin</cp:lastModifiedBy>
  <cp:revision>4</cp:revision>
  <cp:lastPrinted>2016-12-06T09:31:00Z</cp:lastPrinted>
  <dcterms:created xsi:type="dcterms:W3CDTF">2016-12-06T09:08:00Z</dcterms:created>
  <dcterms:modified xsi:type="dcterms:W3CDTF">2016-12-06T10:59:00Z</dcterms:modified>
</cp:coreProperties>
</file>