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6" w:type="dxa"/>
        <w:jc w:val="center"/>
        <w:tblInd w:w="1105" w:type="dxa"/>
        <w:tblLayout w:type="fixed"/>
        <w:tblLook w:val="0000" w:firstRow="0" w:lastRow="0" w:firstColumn="0" w:lastColumn="0" w:noHBand="0" w:noVBand="0"/>
      </w:tblPr>
      <w:tblGrid>
        <w:gridCol w:w="2965"/>
        <w:gridCol w:w="6061"/>
      </w:tblGrid>
      <w:tr w:rsidR="00CE2A5E" w:rsidRPr="00675D86" w:rsidTr="00DB750C">
        <w:trPr>
          <w:trHeight w:val="719"/>
          <w:jc w:val="center"/>
        </w:trPr>
        <w:tc>
          <w:tcPr>
            <w:tcW w:w="2965" w:type="dxa"/>
          </w:tcPr>
          <w:p w:rsidR="00CE2A5E" w:rsidRDefault="0044615D" w:rsidP="00CE2A5E">
            <w:pPr>
              <w:pStyle w:val="Heading1"/>
              <w:ind w:left="-180" w:firstLine="180"/>
              <w:jc w:val="center"/>
              <w:rPr>
                <w:rFonts w:ascii="Times New Roman" w:hAnsi="Times New Roman"/>
                <w:b/>
                <w:i w:val="0"/>
                <w:iCs/>
                <w:szCs w:val="26"/>
              </w:rPr>
            </w:pPr>
            <w:r>
              <w:rPr>
                <w:rFonts w:ascii="Times New Roman" w:hAnsi="Times New Roman"/>
                <w:b/>
                <w:i w:val="0"/>
                <w:iCs/>
                <w:szCs w:val="26"/>
              </w:rPr>
              <w:t>ỦY BAN NHÂN DÂN</w:t>
            </w:r>
          </w:p>
          <w:p w:rsidR="0044615D" w:rsidRPr="0044615D" w:rsidRDefault="00B21AC9" w:rsidP="0044615D">
            <w:pPr>
              <w:rPr>
                <w:b/>
                <w:sz w:val="26"/>
                <w:szCs w:val="26"/>
              </w:rPr>
            </w:pPr>
            <w:r>
              <w:rPr>
                <w:b/>
                <w:sz w:val="26"/>
                <w:szCs w:val="26"/>
              </w:rPr>
              <w:t xml:space="preserve">       </w:t>
            </w:r>
            <w:r w:rsidR="0044615D" w:rsidRPr="0044615D">
              <w:rPr>
                <w:b/>
                <w:sz w:val="26"/>
                <w:szCs w:val="26"/>
              </w:rPr>
              <w:t xml:space="preserve">TỈNH HÀ TĨNH </w:t>
            </w:r>
          </w:p>
          <w:p w:rsidR="00CE2A5E" w:rsidRPr="00675D86" w:rsidRDefault="00F221CE" w:rsidP="00FF2C97">
            <w:pPr>
              <w:pStyle w:val="Heading1"/>
              <w:ind w:left="-219" w:right="-73"/>
              <w:jc w:val="center"/>
              <w:rPr>
                <w:rFonts w:ascii="Times New Roman" w:hAnsi="Times New Roman"/>
                <w:i w:val="0"/>
                <w:iCs/>
                <w:szCs w:val="26"/>
              </w:rPr>
            </w:pPr>
            <w:r>
              <w:rPr>
                <w:b/>
                <w:bCs/>
                <w:i w:val="0"/>
                <w:iCs/>
                <w:noProof/>
                <w:szCs w:val="26"/>
              </w:rPr>
              <mc:AlternateContent>
                <mc:Choice Requires="wps">
                  <w:drawing>
                    <wp:anchor distT="4294967295" distB="4294967295" distL="114300" distR="114300" simplePos="0" relativeHeight="251655680" behindDoc="0" locked="0" layoutInCell="1" allowOverlap="1">
                      <wp:simplePos x="0" y="0"/>
                      <wp:positionH relativeFrom="column">
                        <wp:posOffset>555321</wp:posOffset>
                      </wp:positionH>
                      <wp:positionV relativeFrom="paragraph">
                        <wp:posOffset>29210</wp:posOffset>
                      </wp:positionV>
                      <wp:extent cx="692150" cy="0"/>
                      <wp:effectExtent l="0" t="0" r="127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3pt" to="9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Ze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eOtMbV0BApXY21EbP6sVsNf3ukNJVS9SBR4avFwNpWchI3qSEjTOAv++/aAYx5Oh1bNO5&#10;sV2AhAagc1TjcleDnz2icDhb5Nk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"/>
                  </w:pict>
                </mc:Fallback>
              </mc:AlternateContent>
            </w:r>
            <w:r w:rsidR="0044615D">
              <w:tab/>
            </w:r>
          </w:p>
        </w:tc>
        <w:tc>
          <w:tcPr>
            <w:tcW w:w="6061" w:type="dxa"/>
          </w:tcPr>
          <w:p w:rsidR="00CE2A5E" w:rsidRPr="00675D86" w:rsidRDefault="00CE2A5E" w:rsidP="001F6F13">
            <w:pPr>
              <w:ind w:left="-180" w:firstLine="180"/>
              <w:rPr>
                <w:b/>
                <w:sz w:val="26"/>
                <w:szCs w:val="26"/>
              </w:rPr>
            </w:pPr>
            <w:r w:rsidRPr="00675D86">
              <w:rPr>
                <w:b/>
                <w:sz w:val="26"/>
                <w:szCs w:val="26"/>
              </w:rPr>
              <w:t>CỘNG H</w:t>
            </w:r>
            <w:r w:rsidR="00FF2C97" w:rsidRPr="00675D86">
              <w:rPr>
                <w:b/>
                <w:sz w:val="26"/>
                <w:szCs w:val="26"/>
              </w:rPr>
              <w:t>ÒA</w:t>
            </w:r>
            <w:r w:rsidRPr="00675D86">
              <w:rPr>
                <w:b/>
                <w:sz w:val="26"/>
                <w:szCs w:val="26"/>
              </w:rPr>
              <w:t xml:space="preserve"> XÃ HỘI CHỦ NGHĨA VIỆT </w:t>
            </w:r>
            <w:smartTag w:uri="urn:schemas-microsoft-com:office:smarttags" w:element="country-region">
              <w:smartTag w:uri="urn:schemas-microsoft-com:office:smarttags" w:element="place">
                <w:r w:rsidRPr="00675D86">
                  <w:rPr>
                    <w:b/>
                    <w:sz w:val="26"/>
                    <w:szCs w:val="26"/>
                  </w:rPr>
                  <w:t>NAM</w:t>
                </w:r>
              </w:smartTag>
            </w:smartTag>
          </w:p>
          <w:p w:rsidR="00CE2A5E" w:rsidRPr="00675D86" w:rsidRDefault="00CE2A5E" w:rsidP="00CE2A5E">
            <w:pPr>
              <w:ind w:left="-180" w:firstLine="180"/>
              <w:jc w:val="center"/>
              <w:rPr>
                <w:b/>
              </w:rPr>
            </w:pPr>
            <w:r w:rsidRPr="00675D86">
              <w:rPr>
                <w:b/>
              </w:rPr>
              <w:t>Độc lập - Tự do - Hạnh phúc</w:t>
            </w:r>
          </w:p>
          <w:p w:rsidR="00CE2A5E" w:rsidRPr="00675D86" w:rsidRDefault="00F221CE" w:rsidP="009675A7">
            <w:pPr>
              <w:ind w:left="-180" w:firstLine="180"/>
              <w:jc w:val="center"/>
              <w:rPr>
                <w:i/>
                <w:sz w:val="26"/>
                <w:szCs w:val="26"/>
              </w:rPr>
            </w:pPr>
            <w:r>
              <w:rPr>
                <w:b/>
                <w:noProof/>
                <w:sz w:val="26"/>
                <w:szCs w:val="26"/>
              </w:rPr>
              <mc:AlternateContent>
                <mc:Choice Requires="wps">
                  <w:drawing>
                    <wp:anchor distT="4294967295" distB="4294967295" distL="114300" distR="114300" simplePos="0" relativeHeight="251656704" behindDoc="0" locked="0" layoutInCell="1" allowOverlap="1">
                      <wp:simplePos x="0" y="0"/>
                      <wp:positionH relativeFrom="column">
                        <wp:posOffset>767080</wp:posOffset>
                      </wp:positionH>
                      <wp:positionV relativeFrom="paragraph">
                        <wp:posOffset>35891</wp:posOffset>
                      </wp:positionV>
                      <wp:extent cx="2145665" cy="0"/>
                      <wp:effectExtent l="0" t="0" r="2603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pt,2.85pt" to="229.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"/>
                  </w:pict>
                </mc:Fallback>
              </mc:AlternateContent>
            </w:r>
          </w:p>
        </w:tc>
      </w:tr>
      <w:tr w:rsidR="00EA4520" w:rsidRPr="00E91CC9" w:rsidTr="00DB750C">
        <w:trPr>
          <w:trHeight w:val="223"/>
          <w:jc w:val="center"/>
        </w:trPr>
        <w:tc>
          <w:tcPr>
            <w:tcW w:w="2965" w:type="dxa"/>
          </w:tcPr>
          <w:p w:rsidR="00EA4520" w:rsidRPr="00E91CC9" w:rsidRDefault="0044615D" w:rsidP="00B21AC9">
            <w:pPr>
              <w:pStyle w:val="Heading1"/>
              <w:ind w:left="-180" w:firstLine="180"/>
              <w:jc w:val="center"/>
              <w:rPr>
                <w:rFonts w:ascii="Times New Roman" w:hAnsi="Times New Roman"/>
                <w:i w:val="0"/>
                <w:iCs/>
                <w:sz w:val="28"/>
                <w:szCs w:val="28"/>
              </w:rPr>
            </w:pPr>
            <w:r w:rsidRPr="00E91CC9">
              <w:rPr>
                <w:rFonts w:ascii="Times New Roman" w:hAnsi="Times New Roman"/>
                <w:i w:val="0"/>
                <w:iCs/>
                <w:sz w:val="28"/>
                <w:szCs w:val="28"/>
              </w:rPr>
              <w:t xml:space="preserve">Số </w:t>
            </w:r>
            <w:r w:rsidR="00B21AC9">
              <w:rPr>
                <w:rFonts w:ascii="Times New Roman" w:hAnsi="Times New Roman"/>
                <w:i w:val="0"/>
                <w:iCs/>
                <w:sz w:val="28"/>
                <w:szCs w:val="28"/>
              </w:rPr>
              <w:t>454</w:t>
            </w:r>
            <w:r w:rsidRPr="00E91CC9">
              <w:rPr>
                <w:rFonts w:ascii="Times New Roman" w:hAnsi="Times New Roman"/>
                <w:i w:val="0"/>
                <w:iCs/>
                <w:sz w:val="28"/>
                <w:szCs w:val="28"/>
              </w:rPr>
              <w:t>/TTr-UBND</w:t>
            </w:r>
          </w:p>
        </w:tc>
        <w:tc>
          <w:tcPr>
            <w:tcW w:w="6061" w:type="dxa"/>
          </w:tcPr>
          <w:p w:rsidR="00EA4520" w:rsidRPr="00E91CC9" w:rsidRDefault="0044615D" w:rsidP="00B21AC9">
            <w:pPr>
              <w:tabs>
                <w:tab w:val="left" w:pos="1200"/>
              </w:tabs>
              <w:rPr>
                <w:b/>
              </w:rPr>
            </w:pPr>
            <w:r w:rsidRPr="00E91CC9">
              <w:rPr>
                <w:b/>
              </w:rPr>
              <w:tab/>
            </w:r>
            <w:r w:rsidR="00B21AC9">
              <w:rPr>
                <w:b/>
              </w:rPr>
              <w:t xml:space="preserve">   </w:t>
            </w:r>
            <w:r w:rsidRPr="00E91CC9">
              <w:rPr>
                <w:i/>
              </w:rPr>
              <w:t xml:space="preserve">Hà Tĩnh, ngày </w:t>
            </w:r>
            <w:r w:rsidR="00B21AC9">
              <w:rPr>
                <w:i/>
              </w:rPr>
              <w:t xml:space="preserve">09 </w:t>
            </w:r>
            <w:r w:rsidRPr="00E91CC9">
              <w:rPr>
                <w:i/>
              </w:rPr>
              <w:t xml:space="preserve">tháng  </w:t>
            </w:r>
            <w:r w:rsidR="00646AF6" w:rsidRPr="00E91CC9">
              <w:rPr>
                <w:i/>
              </w:rPr>
              <w:t>12</w:t>
            </w:r>
            <w:r w:rsidRPr="00E91CC9">
              <w:rPr>
                <w:i/>
              </w:rPr>
              <w:t xml:space="preserve">  năm 2016</w:t>
            </w:r>
          </w:p>
        </w:tc>
      </w:tr>
    </w:tbl>
    <w:p w:rsidR="00DB750C" w:rsidRPr="00DB750C" w:rsidRDefault="00DB750C" w:rsidP="002746ED">
      <w:pPr>
        <w:spacing w:before="120"/>
        <w:jc w:val="center"/>
        <w:rPr>
          <w:b/>
          <w:sz w:val="8"/>
        </w:rPr>
      </w:pPr>
    </w:p>
    <w:p w:rsidR="00D63A5E" w:rsidRPr="00675D86" w:rsidRDefault="00F6434C" w:rsidP="002746ED">
      <w:pPr>
        <w:spacing w:before="120"/>
        <w:jc w:val="center"/>
        <w:rPr>
          <w:b/>
        </w:rPr>
      </w:pPr>
      <w:r w:rsidRPr="00675D86">
        <w:rPr>
          <w:b/>
        </w:rPr>
        <w:t>TỜ TRÌNH</w:t>
      </w:r>
    </w:p>
    <w:p w:rsidR="006949E6" w:rsidRDefault="006949E6" w:rsidP="00056DD2">
      <w:pPr>
        <w:jc w:val="center"/>
        <w:rPr>
          <w:b/>
        </w:rPr>
      </w:pPr>
      <w:r>
        <w:rPr>
          <w:b/>
        </w:rPr>
        <w:t>Đề nghị thông qua Đề án</w:t>
      </w:r>
      <w:r w:rsidR="00A5042E">
        <w:rPr>
          <w:b/>
        </w:rPr>
        <w:t xml:space="preserve"> </w:t>
      </w:r>
      <w:r>
        <w:rPr>
          <w:b/>
        </w:rPr>
        <w:t>“K</w:t>
      </w:r>
      <w:r w:rsidR="00E4747B">
        <w:rPr>
          <w:b/>
        </w:rPr>
        <w:t>iện toàn tổ chức và hoạt động</w:t>
      </w:r>
    </w:p>
    <w:p w:rsidR="00EA4520" w:rsidRDefault="00F6434C" w:rsidP="00056DD2">
      <w:pPr>
        <w:jc w:val="center"/>
        <w:rPr>
          <w:b/>
        </w:rPr>
      </w:pPr>
      <w:r w:rsidRPr="00675D86">
        <w:rPr>
          <w:b/>
        </w:rPr>
        <w:t>của Quỹ Đầu tư phát triển</w:t>
      </w:r>
      <w:r w:rsidR="00B21AC9">
        <w:rPr>
          <w:b/>
        </w:rPr>
        <w:t xml:space="preserve"> </w:t>
      </w:r>
      <w:r w:rsidR="00E91CC9">
        <w:rPr>
          <w:b/>
        </w:rPr>
        <w:t>Hà Tĩnh</w:t>
      </w:r>
      <w:r w:rsidR="006949E6">
        <w:rPr>
          <w:b/>
        </w:rPr>
        <w:t>”</w:t>
      </w:r>
    </w:p>
    <w:p w:rsidR="00675D86" w:rsidRPr="00675D86" w:rsidRDefault="00F221CE" w:rsidP="00056DD2">
      <w:pPr>
        <w:jc w:val="center"/>
        <w:rPr>
          <w:b/>
        </w:rPr>
      </w:pPr>
      <w:r>
        <w:rPr>
          <w:b/>
          <w:noProof/>
        </w:rPr>
        <mc:AlternateContent>
          <mc:Choice Requires="wps">
            <w:drawing>
              <wp:anchor distT="4294967295" distB="4294967295" distL="114300" distR="114300" simplePos="0" relativeHeight="251657728" behindDoc="0" locked="0" layoutInCell="1" allowOverlap="1">
                <wp:simplePos x="0" y="0"/>
                <wp:positionH relativeFrom="column">
                  <wp:posOffset>2267585</wp:posOffset>
                </wp:positionH>
                <wp:positionV relativeFrom="paragraph">
                  <wp:posOffset>22224</wp:posOffset>
                </wp:positionV>
                <wp:extent cx="1245870" cy="0"/>
                <wp:effectExtent l="0" t="0" r="1143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75pt" to="276.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i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"/>
            </w:pict>
          </mc:Fallback>
        </mc:AlternateContent>
      </w:r>
    </w:p>
    <w:p w:rsidR="006949E6" w:rsidRDefault="00E4747B" w:rsidP="00C629E5">
      <w:pPr>
        <w:pStyle w:val="BodyTextIndent"/>
        <w:tabs>
          <w:tab w:val="left" w:pos="0"/>
        </w:tabs>
        <w:spacing w:after="60" w:line="252" w:lineRule="auto"/>
        <w:ind w:left="0" w:firstLine="709"/>
        <w:jc w:val="both"/>
        <w:rPr>
          <w:lang w:val="en"/>
        </w:rPr>
      </w:pPr>
      <w:r w:rsidRPr="001901BC">
        <w:rPr>
          <w:lang w:val="en"/>
        </w:rPr>
        <w:t xml:space="preserve">Thực hiện </w:t>
      </w:r>
      <w:r w:rsidR="006949E6" w:rsidRPr="001316DD">
        <w:t xml:space="preserve">Kết luận số 05-KL/TU </w:t>
      </w:r>
      <w:r w:rsidR="00E91CC9" w:rsidRPr="001901BC">
        <w:rPr>
          <w:lang w:val="en"/>
        </w:rPr>
        <w:t xml:space="preserve">ngày 29/6/2016 </w:t>
      </w:r>
      <w:r w:rsidR="006949E6" w:rsidRPr="001316DD">
        <w:t>về một số chủ trương nâng cao năng lực, đổi mới phương thức lãnh đạo của Đảng về sắp xếp, tinh giản bộ máy, biên chế, hoạt động hiệu lực, h</w:t>
      </w:r>
      <w:r w:rsidR="006949E6">
        <w:t>iệu quả của các cơ quan, đơn vị</w:t>
      </w:r>
      <w:r w:rsidR="006949E6">
        <w:rPr>
          <w:lang w:val="en"/>
        </w:rPr>
        <w:t xml:space="preserve">; </w:t>
      </w:r>
      <w:r w:rsidR="0044615D">
        <w:rPr>
          <w:lang w:val="en"/>
        </w:rPr>
        <w:t>Thông báo số 42/TB-HĐND ngà</w:t>
      </w:r>
      <w:r w:rsidR="00202B66">
        <w:rPr>
          <w:lang w:val="en"/>
        </w:rPr>
        <w:t>y 01/9/2016 của Thường trực Hội đồng nhân dâ</w:t>
      </w:r>
      <w:r w:rsidR="00E91CC9">
        <w:rPr>
          <w:lang w:val="en"/>
        </w:rPr>
        <w:t>n</w:t>
      </w:r>
      <w:r w:rsidR="0044615D">
        <w:rPr>
          <w:lang w:val="en"/>
        </w:rPr>
        <w:t xml:space="preserve"> tỉnh về kết quả làm việ</w:t>
      </w:r>
      <w:r w:rsidR="00202B66">
        <w:rPr>
          <w:lang w:val="en"/>
        </w:rPr>
        <w:t>c của Ban Kinh tế ngân sách Hội đồng nhân dân</w:t>
      </w:r>
      <w:r w:rsidR="0044615D">
        <w:rPr>
          <w:lang w:val="en"/>
        </w:rPr>
        <w:t xml:space="preserve"> tỉnh với</w:t>
      </w:r>
      <w:r w:rsidRPr="001901BC">
        <w:rPr>
          <w:lang w:val="en"/>
        </w:rPr>
        <w:t xml:space="preserve"> Quỹ Đầu tư phát triển </w:t>
      </w:r>
      <w:r w:rsidR="00E91CC9">
        <w:rPr>
          <w:lang w:val="en"/>
        </w:rPr>
        <w:t>Hà Tĩnh</w:t>
      </w:r>
      <w:r w:rsidR="00AA1D7D">
        <w:rPr>
          <w:lang w:val="en"/>
        </w:rPr>
        <w:t xml:space="preserve"> (sau đây gọi tắt là Quỹ)</w:t>
      </w:r>
      <w:r w:rsidR="006949E6">
        <w:rPr>
          <w:lang w:val="en"/>
        </w:rPr>
        <w:t xml:space="preserve">; </w:t>
      </w:r>
    </w:p>
    <w:p w:rsidR="006949E6" w:rsidRPr="006949E6" w:rsidRDefault="006949E6" w:rsidP="00C629E5">
      <w:pPr>
        <w:pStyle w:val="BodyTextIndent"/>
        <w:tabs>
          <w:tab w:val="left" w:pos="0"/>
        </w:tabs>
        <w:spacing w:after="60" w:line="252" w:lineRule="auto"/>
        <w:ind w:left="0" w:firstLine="709"/>
        <w:jc w:val="both"/>
      </w:pPr>
      <w:r>
        <w:rPr>
          <w:lang w:val="en"/>
        </w:rPr>
        <w:t>Căn cứ</w:t>
      </w:r>
      <w:r w:rsidR="00A5042E">
        <w:rPr>
          <w:lang w:val="en"/>
        </w:rPr>
        <w:t xml:space="preserve"> </w:t>
      </w:r>
      <w:r w:rsidRPr="0076770A">
        <w:t xml:space="preserve">Nghị định </w:t>
      </w:r>
      <w:r w:rsidR="004E393E">
        <w:t xml:space="preserve">số </w:t>
      </w:r>
      <w:r>
        <w:t>138/2007/NĐ-CP ngày 28/8/2007 của Chính phủ về tổ chức và hoạt động của Quỹ Đầu tư phát triển địa phương; Nghị định số 37/2013/NĐ-CP ngày 22/4/2013 sửa đổi, bổ sung một số điều của Nghị định số 138/2007/NĐ-CP</w:t>
      </w:r>
      <w:r w:rsidR="004E393E">
        <w:t xml:space="preserve">; </w:t>
      </w:r>
      <w:r w:rsidRPr="00675D86">
        <w:t>Thông tư số 28/2014/TT-BTC ngày 25/2/2014 của Bộ Tài chính hướng dẫn cơ chế quản lý tài chính của Quỹ Đầu tư phát triển địa phương;</w:t>
      </w:r>
      <w:r>
        <w:t xml:space="preserve"> Thông tư số 42/2014/TT-BTC ngày 08/4/2014 của Bộ Tài chính ban hành điều lệ mẫu áp dụng cho Quỹ đầu tư phát triển địa phương</w:t>
      </w:r>
      <w:r w:rsidR="00D07A56">
        <w:t>;</w:t>
      </w:r>
    </w:p>
    <w:p w:rsidR="00E4747B" w:rsidRDefault="0044615D" w:rsidP="00C629E5">
      <w:pPr>
        <w:widowControl w:val="0"/>
        <w:spacing w:after="60" w:line="252" w:lineRule="auto"/>
        <w:ind w:firstLine="709"/>
        <w:jc w:val="both"/>
        <w:rPr>
          <w:lang w:val="en"/>
        </w:rPr>
      </w:pPr>
      <w:r>
        <w:rPr>
          <w:lang w:val="en"/>
        </w:rPr>
        <w:t xml:space="preserve">Ủy ban nhân dân tỉnh trình Hội đồng nhân dân tỉnh thông qua Đề án kiện toàn tổ chức và hoạt động Quỹ Đầu tư phát triển </w:t>
      </w:r>
      <w:r w:rsidR="00E91CC9">
        <w:rPr>
          <w:lang w:val="en"/>
        </w:rPr>
        <w:t>Hà Tĩnh</w:t>
      </w:r>
      <w:r w:rsidR="008B5FD8">
        <w:rPr>
          <w:lang w:val="en"/>
        </w:rPr>
        <w:t xml:space="preserve"> với nội dung chính như sau: </w:t>
      </w:r>
    </w:p>
    <w:p w:rsidR="00E4747B" w:rsidRPr="00AA1D7D" w:rsidRDefault="00E4747B" w:rsidP="00C629E5">
      <w:pPr>
        <w:widowControl w:val="0"/>
        <w:spacing w:after="60" w:line="252" w:lineRule="auto"/>
        <w:ind w:firstLine="709"/>
        <w:jc w:val="both"/>
      </w:pPr>
      <w:r w:rsidRPr="00AA1D7D">
        <w:t xml:space="preserve">1. Sự cần thiết phải kiện toàn tổ chức và </w:t>
      </w:r>
      <w:r w:rsidR="00AA1D7D" w:rsidRPr="00AA1D7D">
        <w:t>hoạt động Quỹ</w:t>
      </w:r>
      <w:r w:rsidRPr="00AA1D7D">
        <w:t>:</w:t>
      </w:r>
    </w:p>
    <w:p w:rsidR="00E4747B" w:rsidRDefault="00E4747B" w:rsidP="00C629E5">
      <w:pPr>
        <w:widowControl w:val="0"/>
        <w:spacing w:after="60" w:line="252" w:lineRule="auto"/>
        <w:ind w:firstLine="709"/>
        <w:jc w:val="both"/>
      </w:pPr>
      <w:r>
        <w:t xml:space="preserve">- Ủy ban nhân dân tỉnh thành lập Quỹ Đầu tư phát triển </w:t>
      </w:r>
      <w:r w:rsidR="00E91CC9">
        <w:t>Hà Tĩnh</w:t>
      </w:r>
      <w:r w:rsidR="00AA1D7D">
        <w:t xml:space="preserve"> trên cơ sở Quỹ Hỗ trợ đầu tư và</w:t>
      </w:r>
      <w:r>
        <w:t xml:space="preserve"> các quy định tại Nghị định số 138/2007/NĐ-CP ngày 28/8/2007 của Chính phủ</w:t>
      </w:r>
      <w:r w:rsidR="00722081">
        <w:t xml:space="preserve">, sau khi có ý </w:t>
      </w:r>
      <w:r w:rsidR="008B5FD8">
        <w:t>kiến đồng ý của Thường trực Hội đồng nhân dân</w:t>
      </w:r>
      <w:r w:rsidR="00722081">
        <w:t xml:space="preserve"> tỉnh tại Văn bản số 2</w:t>
      </w:r>
      <w:r w:rsidR="00567CAA">
        <w:t>8</w:t>
      </w:r>
      <w:r w:rsidR="00722081">
        <w:t>3/HĐND ngày 04/11/201</w:t>
      </w:r>
      <w:r w:rsidR="008B5FD8">
        <w:t>1</w:t>
      </w:r>
      <w:r w:rsidR="00AA1D7D">
        <w:t>.T</w:t>
      </w:r>
      <w:r>
        <w:t xml:space="preserve">uy </w:t>
      </w:r>
      <w:r w:rsidR="00DB750C">
        <w:t>vậy</w:t>
      </w:r>
      <w:r>
        <w:t>, Đề</w:t>
      </w:r>
      <w:r w:rsidR="008B5FD8">
        <w:t xml:space="preserve"> án thành lập Quỹ chưa được Hội đồng nhân dân</w:t>
      </w:r>
      <w:r>
        <w:t xml:space="preserve"> tỉnh thông qua theo quy định tại </w:t>
      </w:r>
      <w:r w:rsidR="00AA1D7D">
        <w:t>K</w:t>
      </w:r>
      <w:r>
        <w:t xml:space="preserve">hoản 1 Điều 30 Nghị định </w:t>
      </w:r>
      <w:r w:rsidR="00AA1D7D">
        <w:t>số</w:t>
      </w:r>
      <w:r w:rsidR="00396F7F">
        <w:t xml:space="preserve"> </w:t>
      </w:r>
      <w:r>
        <w:t>138/2007/NĐ-CP</w:t>
      </w:r>
      <w:r w:rsidR="00AA1D7D">
        <w:t xml:space="preserve"> nên</w:t>
      </w:r>
      <w:r>
        <w:t xml:space="preserve"> cần thiết phải kiện toàn </w:t>
      </w:r>
      <w:r w:rsidR="00C629E5">
        <w:rPr>
          <w:lang w:val="en"/>
        </w:rPr>
        <w:t xml:space="preserve">tổ chức và hoạt động Quỹ </w:t>
      </w:r>
      <w:r>
        <w:t>để bảo đảm cơ sở pháp lý cho Quỹ hoạt động.</w:t>
      </w:r>
    </w:p>
    <w:p w:rsidR="00E4747B" w:rsidRDefault="00E4747B" w:rsidP="00C629E5">
      <w:pPr>
        <w:widowControl w:val="0"/>
        <w:spacing w:after="60" w:line="252" w:lineRule="auto"/>
        <w:ind w:firstLine="709"/>
        <w:jc w:val="both"/>
      </w:pPr>
      <w:r>
        <w:t xml:space="preserve">- Hiệu quả hoạt động của Quỹ đã được khẳng định thông qua các dự án Quỹ đầu tư, cho vay đầu tư và kết quả hoạt động của các Quỹ nhận ủy thác; kiện toàn tổ chức và hoạt động để nâng cao hiệu lực, hiệu </w:t>
      </w:r>
      <w:r w:rsidR="002F780B">
        <w:t>quả hoạt động của Quỹ, tinh giản</w:t>
      </w:r>
      <w:r w:rsidR="00F021E9">
        <w:t xml:space="preserve"> tổ chức</w:t>
      </w:r>
      <w:r>
        <w:t xml:space="preserve"> bộ máy, biên chế theo Kết luận </w:t>
      </w:r>
      <w:r w:rsidRPr="001901BC">
        <w:rPr>
          <w:lang w:val="en"/>
        </w:rPr>
        <w:t>05-KL/TU ngày 29/6/2016 của Ban Thường vụ Tỉnh ủy</w:t>
      </w:r>
      <w:r>
        <w:t>.</w:t>
      </w:r>
    </w:p>
    <w:p w:rsidR="007C421A" w:rsidRDefault="00E4747B" w:rsidP="00C629E5">
      <w:pPr>
        <w:widowControl w:val="0"/>
        <w:spacing w:after="60" w:line="264" w:lineRule="auto"/>
        <w:ind w:firstLine="709"/>
        <w:jc w:val="both"/>
      </w:pPr>
      <w:r>
        <w:t xml:space="preserve">- Vốn điều lệ của Quỹ theo Quyết định thành lập là 200 tỷ đồng, chưa </w:t>
      </w:r>
      <w:r w:rsidR="002B0E35">
        <w:t>phù hợp</w:t>
      </w:r>
      <w:r>
        <w:t xml:space="preserve"> vai trò, vị thế của Quỹ trong việc phát triển hạ tầng kinh tế - xã hội của tỉnh; vì thế cần thiết phải tăng nguồn lực cho Quỹ để đáp ứng nhu cầu vốn đầu tư kết cấu hạ tầng các lĩnh v</w:t>
      </w:r>
      <w:r w:rsidR="00B60C81">
        <w:t>ực ưu tiên phát triển của tỉnh.</w:t>
      </w:r>
    </w:p>
    <w:p w:rsidR="007C421A" w:rsidRPr="009575ED" w:rsidRDefault="00B60C81" w:rsidP="00C629E5">
      <w:pPr>
        <w:widowControl w:val="0"/>
        <w:spacing w:after="60" w:line="264" w:lineRule="auto"/>
        <w:ind w:firstLine="709"/>
        <w:jc w:val="both"/>
      </w:pPr>
      <w:r w:rsidRPr="009575ED">
        <w:lastRenderedPageBreak/>
        <w:t>2</w:t>
      </w:r>
      <w:r w:rsidR="007C421A" w:rsidRPr="009575ED">
        <w:t>. Về tổ chức bộ máy:</w:t>
      </w:r>
    </w:p>
    <w:p w:rsidR="00534369" w:rsidRPr="009575ED" w:rsidRDefault="007C421A" w:rsidP="00C629E5">
      <w:pPr>
        <w:widowControl w:val="0"/>
        <w:spacing w:after="60" w:line="264" w:lineRule="auto"/>
        <w:ind w:firstLine="709"/>
        <w:jc w:val="both"/>
        <w:rPr>
          <w:lang w:val="en"/>
        </w:rPr>
      </w:pPr>
      <w:r w:rsidRPr="009575ED">
        <w:t xml:space="preserve">Tổ chức bộ máy của Quỹ </w:t>
      </w:r>
      <w:r w:rsidR="00B60C81" w:rsidRPr="009575ED">
        <w:t>cơ bản giữ nguyên</w:t>
      </w:r>
      <w:r w:rsidR="00E60FFE" w:rsidRPr="009575ED">
        <w:t xml:space="preserve"> </w:t>
      </w:r>
      <w:r w:rsidRPr="009575ED">
        <w:t>theo Quyết định số 3869/</w:t>
      </w:r>
      <w:r w:rsidR="001B0392" w:rsidRPr="009575ED">
        <w:t xml:space="preserve">QĐ-UBND ngày 06/12/2011 của </w:t>
      </w:r>
      <w:r w:rsidR="00994E9D" w:rsidRPr="009575ED">
        <w:t>UBND</w:t>
      </w:r>
      <w:r w:rsidRPr="009575ED">
        <w:t xml:space="preserve"> tỉnh về việc thành lậ</w:t>
      </w:r>
      <w:r w:rsidR="00E60FFE" w:rsidRPr="009575ED">
        <w:t>p Quỹ Đầu tư phát triển Hà Tĩnh</w:t>
      </w:r>
      <w:r w:rsidR="00ED4CA7" w:rsidRPr="009575ED">
        <w:t xml:space="preserve">; Quyết định số 1119/QĐ-UBND ngày 18/4/2012 của Ủy ban nhân dân tỉnh về việc thành lập Hội đồng quản lý Quỹ Đầu tư phát triển và Quỹ Phát triển đất. </w:t>
      </w:r>
      <w:r w:rsidR="00B6549F" w:rsidRPr="009575ED">
        <w:t>Nhập Hội đồng quản lý Quỹ Bảo vệ Môi trường</w:t>
      </w:r>
      <w:r w:rsidR="00994E9D" w:rsidRPr="009575ED">
        <w:t xml:space="preserve"> Hà Tĩnh</w:t>
      </w:r>
      <w:r w:rsidR="00B6549F" w:rsidRPr="009575ED">
        <w:t xml:space="preserve"> vào Hội đồng Quản lý Quỹ đầu tư phát triển </w:t>
      </w:r>
      <w:r w:rsidR="006D01C7" w:rsidRPr="009575ED">
        <w:t>và Quỹ Phát triển đất</w:t>
      </w:r>
      <w:r w:rsidR="00ED4CA7" w:rsidRPr="009575ED">
        <w:t xml:space="preserve">. Như vậy, </w:t>
      </w:r>
      <w:r w:rsidR="00864F7A" w:rsidRPr="009575ED">
        <w:t>03 Quỹ (</w:t>
      </w:r>
      <w:r w:rsidR="00ED4CA7" w:rsidRPr="009575ED">
        <w:t>Quỹ Đầu tư phát triển, Quỹ Phát triển đất, Quỹ Bảo vệ môi trường</w:t>
      </w:r>
      <w:r w:rsidR="00864F7A" w:rsidRPr="009575ED">
        <w:t>)</w:t>
      </w:r>
      <w:r w:rsidR="00ED4CA7" w:rsidRPr="009575ED">
        <w:t xml:space="preserve"> sẽ có chung một Hội đồng quản lý</w:t>
      </w:r>
      <w:r w:rsidR="00B6549F" w:rsidRPr="009575ED">
        <w:t xml:space="preserve">. Quy định về các phòng ban chuyên môn của Quỹ do Hội đồng quản lý Quỹ trình </w:t>
      </w:r>
      <w:r w:rsidR="00994E9D" w:rsidRPr="009575ED">
        <w:t>UBND</w:t>
      </w:r>
      <w:r w:rsidR="00B6549F" w:rsidRPr="009575ED">
        <w:t xml:space="preserve"> tỉnh phê duyệt trong Điều lệ tổ chức và hoạt động Quỹ Đầu tư phát triển tỉnh.</w:t>
      </w:r>
    </w:p>
    <w:p w:rsidR="00534369" w:rsidRDefault="00B60C81" w:rsidP="00C629E5">
      <w:pPr>
        <w:widowControl w:val="0"/>
        <w:spacing w:after="60" w:line="264" w:lineRule="auto"/>
        <w:ind w:firstLine="709"/>
        <w:jc w:val="both"/>
      </w:pPr>
      <w:r w:rsidRPr="009575ED">
        <w:rPr>
          <w:lang w:val="en"/>
        </w:rPr>
        <w:t>3.</w:t>
      </w:r>
      <w:r w:rsidR="009E07AE">
        <w:rPr>
          <w:lang w:val="en"/>
        </w:rPr>
        <w:t xml:space="preserve"> </w:t>
      </w:r>
      <w:r w:rsidR="00534369" w:rsidRPr="009575ED">
        <w:rPr>
          <w:lang w:val="en"/>
        </w:rPr>
        <w:t xml:space="preserve">Về cơ chế nhận ủy thác: </w:t>
      </w:r>
      <w:r w:rsidR="00B6549F" w:rsidRPr="009575ED">
        <w:t>Hiện tại, Quỹ Đầu tư phát triển</w:t>
      </w:r>
      <w:r w:rsidR="006D01C7" w:rsidRPr="009575ED">
        <w:t xml:space="preserve"> </w:t>
      </w:r>
      <w:r w:rsidR="00994E9D" w:rsidRPr="009575ED">
        <w:t>Hà Tĩnh</w:t>
      </w:r>
      <w:r w:rsidR="00B6549F" w:rsidRPr="009575ED">
        <w:t xml:space="preserve"> đang nhận ủy thác quản lý 05 </w:t>
      </w:r>
      <w:r w:rsidR="00C629E5" w:rsidRPr="009575ED">
        <w:t>Q</w:t>
      </w:r>
      <w:r w:rsidR="00B6549F" w:rsidRPr="009575ED">
        <w:t>uỹ</w:t>
      </w:r>
      <w:r w:rsidR="00C629E5" w:rsidRPr="009575ED">
        <w:t xml:space="preserve">, bao gồm: </w:t>
      </w:r>
      <w:r w:rsidR="00C629E5" w:rsidRPr="009575ED">
        <w:rPr>
          <w:lang w:val="vi-VN"/>
        </w:rPr>
        <w:t xml:space="preserve">Quỹ Phát triển </w:t>
      </w:r>
      <w:r w:rsidR="00C629E5" w:rsidRPr="009575ED">
        <w:t>đ</w:t>
      </w:r>
      <w:r w:rsidR="00C629E5" w:rsidRPr="009575ED">
        <w:rPr>
          <w:lang w:val="vi-VN"/>
        </w:rPr>
        <w:t xml:space="preserve">ất, Quỹ Bảo vệ và Phát triển </w:t>
      </w:r>
      <w:r w:rsidR="00C629E5" w:rsidRPr="009575ED">
        <w:t>r</w:t>
      </w:r>
      <w:r w:rsidR="00C629E5" w:rsidRPr="009575ED">
        <w:rPr>
          <w:lang w:val="vi-VN"/>
        </w:rPr>
        <w:t>ừng</w:t>
      </w:r>
      <w:r w:rsidR="00C629E5" w:rsidRPr="009575ED">
        <w:t xml:space="preserve"> tỉnh,</w:t>
      </w:r>
      <w:r w:rsidR="00C629E5" w:rsidRPr="009575ED">
        <w:rPr>
          <w:lang w:val="vi-VN"/>
        </w:rPr>
        <w:t xml:space="preserve"> Quỹ Bảo tr</w:t>
      </w:r>
      <w:r w:rsidR="00C629E5" w:rsidRPr="009575ED">
        <w:t>ì đường bộ tỉnh, Quỹ Bảo lãnh tín dụng cho các doanh nghiệp nhỏ và vừa và Quỹ Bảo vệ môi trường</w:t>
      </w:r>
      <w:r w:rsidR="00B6549F" w:rsidRPr="009575ED">
        <w:t>. Trong thời gian tới, tiếp tục</w:t>
      </w:r>
      <w:r w:rsidR="00E60FFE" w:rsidRPr="009575ED">
        <w:t xml:space="preserve"> đề xuất</w:t>
      </w:r>
      <w:r w:rsidR="00B6549F" w:rsidRPr="009575ED">
        <w:t xml:space="preserve"> thực hiện ủy thác cho Quỹ đầu tư phát triển </w:t>
      </w:r>
      <w:r w:rsidR="00C629E5" w:rsidRPr="009575ED">
        <w:t xml:space="preserve">tỉnh </w:t>
      </w:r>
      <w:r w:rsidR="00B6549F" w:rsidRPr="009575ED">
        <w:t xml:space="preserve">quản lý đối với </w:t>
      </w:r>
      <w:r w:rsidR="00E60FFE" w:rsidRPr="009575ED">
        <w:t xml:space="preserve">05 Quỹ và </w:t>
      </w:r>
      <w:r w:rsidR="00B6549F" w:rsidRPr="009575ED">
        <w:t xml:space="preserve">một số Quỹ </w:t>
      </w:r>
      <w:r w:rsidR="00D709E6" w:rsidRPr="009575ED">
        <w:t xml:space="preserve">do </w:t>
      </w:r>
      <w:r w:rsidR="00994E9D" w:rsidRPr="009575ED">
        <w:t>UBND</w:t>
      </w:r>
      <w:r w:rsidR="00D709E6" w:rsidRPr="009575ED">
        <w:t xml:space="preserve"> tỉnh thành lập.</w:t>
      </w:r>
    </w:p>
    <w:p w:rsidR="00534369" w:rsidRDefault="00B60C81" w:rsidP="00C629E5">
      <w:pPr>
        <w:widowControl w:val="0"/>
        <w:spacing w:after="60" w:line="264" w:lineRule="auto"/>
        <w:ind w:firstLine="709"/>
        <w:jc w:val="both"/>
      </w:pPr>
      <w:r>
        <w:t>4</w:t>
      </w:r>
      <w:r w:rsidR="00534369">
        <w:t xml:space="preserve">. Về </w:t>
      </w:r>
      <w:r w:rsidR="00D709E6">
        <w:t>vốn điều lệ củ</w:t>
      </w:r>
      <w:r w:rsidR="00534369">
        <w:t xml:space="preserve">a Quỹ: Để tăng nguồn lực cho Quỹ đáp ứng nhu cầu vốn đầu tư kết cấu hạ tầng kinh tế - xã hội trên địa bàn tỉnh, </w:t>
      </w:r>
      <w:r w:rsidR="00E60FFE">
        <w:t xml:space="preserve">đề xuất </w:t>
      </w:r>
      <w:r w:rsidR="00534369">
        <w:t xml:space="preserve">vốn điều lệ của Quỹ được </w:t>
      </w:r>
      <w:r w:rsidR="00BC4D64">
        <w:t>nâng</w:t>
      </w:r>
      <w:r w:rsidR="00D43301">
        <w:t xml:space="preserve"> lên 3</w:t>
      </w:r>
      <w:r w:rsidR="00534369">
        <w:t>00 tỷ đồng</w:t>
      </w:r>
      <w:r w:rsidR="00BC4D64">
        <w:t>, được hình thành từ các nguồn</w:t>
      </w:r>
      <w:r w:rsidR="00534369">
        <w:t xml:space="preserve">: </w:t>
      </w:r>
    </w:p>
    <w:p w:rsidR="00D43301" w:rsidRDefault="00D43301" w:rsidP="00C629E5">
      <w:pPr>
        <w:widowControl w:val="0"/>
        <w:spacing w:after="60" w:line="264" w:lineRule="auto"/>
        <w:ind w:firstLine="709"/>
        <w:jc w:val="both"/>
      </w:pPr>
      <w:r>
        <w:t>a</w:t>
      </w:r>
      <w:r w:rsidR="00C629E5">
        <w:t>.</w:t>
      </w:r>
      <w:r>
        <w:t xml:space="preserve"> Ngân sách tỉnh cân đối, ưu tiên bố trí đảm bảo đủ mức 200 tỷ đồng đã quy định theo Quyết định thành lập số 3869/QĐ-UBND ngày 06/12/2011 của Ủy ban nhân dân tỉnh; đồng thời bổ sung nguồn vốn hàng năm cho Quỹ theo khả năng ngân sách địa phương</w:t>
      </w:r>
      <w:r w:rsidR="00C629E5">
        <w:t>.</w:t>
      </w:r>
    </w:p>
    <w:p w:rsidR="00D43301" w:rsidRDefault="00D43301" w:rsidP="00C629E5">
      <w:pPr>
        <w:widowControl w:val="0"/>
        <w:spacing w:after="60" w:line="264" w:lineRule="auto"/>
        <w:ind w:firstLine="709"/>
        <w:jc w:val="both"/>
        <w:rPr>
          <w:lang w:val="en"/>
        </w:rPr>
      </w:pPr>
      <w:r>
        <w:t>b</w:t>
      </w:r>
      <w:r w:rsidR="00C629E5">
        <w:t>.</w:t>
      </w:r>
      <w:r>
        <w:t xml:space="preserve"> Bổ sung từ kết</w:t>
      </w:r>
      <w:r w:rsidR="00B6549F">
        <w:t xml:space="preserve"> quả hoạt động hàng năm của Quỹ</w:t>
      </w:r>
      <w:r w:rsidR="00C629E5">
        <w:t>.</w:t>
      </w:r>
    </w:p>
    <w:p w:rsidR="007A7D89" w:rsidRDefault="00411E51" w:rsidP="00C629E5">
      <w:pPr>
        <w:pStyle w:val="BodyText"/>
        <w:spacing w:after="60" w:line="264" w:lineRule="auto"/>
        <w:ind w:firstLine="709"/>
      </w:pPr>
      <w:r>
        <w:t>Ủy ban nhân dân tỉnh trình</w:t>
      </w:r>
      <w:r w:rsidR="00C629E5">
        <w:t xml:space="preserve">Hội đồng nhân dân tỉnh xem xét, thông qua </w:t>
      </w:r>
      <w:r w:rsidR="007358E6">
        <w:t>Đề án kiện toàn tổ chức và hoạt động Quỹ Đầu tư phát triển Hà Tĩnh</w:t>
      </w:r>
      <w:r w:rsidR="00C629E5">
        <w:rPr>
          <w:szCs w:val="26"/>
          <w:lang w:val="pt-BR"/>
        </w:rPr>
        <w:t>tại Kỳ họp lần thứ 3, Hội đồng nhân dân tỉnh khóa XVII</w:t>
      </w:r>
      <w:r>
        <w:t>./.</w:t>
      </w:r>
    </w:p>
    <w:p w:rsidR="00C629E5" w:rsidRPr="00C629E5" w:rsidRDefault="00C629E5" w:rsidP="00411E51">
      <w:pPr>
        <w:pStyle w:val="BodyText"/>
        <w:tabs>
          <w:tab w:val="center" w:pos="4808"/>
        </w:tabs>
        <w:spacing w:before="60" w:line="252" w:lineRule="auto"/>
        <w:ind w:firstLine="545"/>
        <w:rPr>
          <w:sz w:val="8"/>
        </w:rPr>
      </w:pPr>
    </w:p>
    <w:tbl>
      <w:tblPr>
        <w:tblW w:w="9076" w:type="dxa"/>
        <w:tblInd w:w="104" w:type="dxa"/>
        <w:tblLayout w:type="fixed"/>
        <w:tblLook w:val="0000" w:firstRow="0" w:lastRow="0" w:firstColumn="0" w:lastColumn="0" w:noHBand="0" w:noVBand="0"/>
      </w:tblPr>
      <w:tblGrid>
        <w:gridCol w:w="4682"/>
        <w:gridCol w:w="4394"/>
      </w:tblGrid>
      <w:tr w:rsidR="00EE3C86" w:rsidRPr="00675D86" w:rsidTr="009E07AE">
        <w:trPr>
          <w:trHeight w:val="2596"/>
        </w:trPr>
        <w:tc>
          <w:tcPr>
            <w:tcW w:w="4682" w:type="dxa"/>
          </w:tcPr>
          <w:p w:rsidR="00994E9D" w:rsidRDefault="00EE3C86" w:rsidP="00994E9D">
            <w:pPr>
              <w:ind w:hanging="104"/>
              <w:jc w:val="both"/>
              <w:rPr>
                <w:b/>
                <w:i/>
                <w:sz w:val="24"/>
                <w:szCs w:val="24"/>
                <w:lang w:val="nl-NL"/>
              </w:rPr>
            </w:pPr>
            <w:r w:rsidRPr="00675D86">
              <w:rPr>
                <w:b/>
                <w:i/>
                <w:sz w:val="24"/>
                <w:szCs w:val="24"/>
                <w:lang w:val="nl-NL"/>
              </w:rPr>
              <w:t>Nơi nhận:</w:t>
            </w:r>
          </w:p>
          <w:p w:rsidR="00994E9D" w:rsidRDefault="00994E9D" w:rsidP="00994E9D">
            <w:pPr>
              <w:jc w:val="both"/>
              <w:rPr>
                <w:sz w:val="22"/>
                <w:szCs w:val="22"/>
              </w:rPr>
            </w:pPr>
            <w:r>
              <w:rPr>
                <w:sz w:val="22"/>
                <w:szCs w:val="22"/>
              </w:rPr>
              <w:t>- Như kính gửi;</w:t>
            </w:r>
          </w:p>
          <w:p w:rsidR="00994E9D" w:rsidRDefault="00994E9D" w:rsidP="00994E9D">
            <w:pPr>
              <w:jc w:val="both"/>
              <w:rPr>
                <w:sz w:val="22"/>
                <w:szCs w:val="22"/>
              </w:rPr>
            </w:pPr>
            <w:r>
              <w:rPr>
                <w:sz w:val="22"/>
                <w:szCs w:val="22"/>
              </w:rPr>
              <w:t>- Chủ tịch, các PCT UBND tỉnh;</w:t>
            </w:r>
          </w:p>
          <w:p w:rsidR="00994E9D" w:rsidRDefault="00994E9D" w:rsidP="00994E9D">
            <w:pPr>
              <w:jc w:val="both"/>
              <w:rPr>
                <w:sz w:val="22"/>
                <w:szCs w:val="22"/>
              </w:rPr>
            </w:pPr>
            <w:r>
              <w:rPr>
                <w:sz w:val="22"/>
                <w:szCs w:val="22"/>
              </w:rPr>
              <w:t>- Đại biểu HĐND tỉnh;</w:t>
            </w:r>
          </w:p>
          <w:p w:rsidR="00994E9D" w:rsidRDefault="00994E9D" w:rsidP="00994E9D">
            <w:pPr>
              <w:jc w:val="both"/>
              <w:rPr>
                <w:sz w:val="22"/>
                <w:szCs w:val="22"/>
              </w:rPr>
            </w:pPr>
            <w:r>
              <w:rPr>
                <w:sz w:val="22"/>
                <w:szCs w:val="22"/>
              </w:rPr>
              <w:t>- Chánh Văn phòng UBND tỉnh;</w:t>
            </w:r>
          </w:p>
          <w:p w:rsidR="00994E9D" w:rsidRDefault="00994E9D" w:rsidP="00994E9D">
            <w:pPr>
              <w:jc w:val="both"/>
              <w:rPr>
                <w:sz w:val="22"/>
                <w:szCs w:val="22"/>
              </w:rPr>
            </w:pPr>
            <w:r>
              <w:rPr>
                <w:sz w:val="22"/>
                <w:szCs w:val="22"/>
              </w:rPr>
              <w:t>- Lưu: VT, TH</w:t>
            </w:r>
            <w:r>
              <w:rPr>
                <w:sz w:val="22"/>
                <w:szCs w:val="22"/>
                <w:vertAlign w:val="subscript"/>
              </w:rPr>
              <w:t>1</w:t>
            </w:r>
            <w:r>
              <w:rPr>
                <w:sz w:val="22"/>
                <w:szCs w:val="22"/>
              </w:rPr>
              <w:t>;</w:t>
            </w:r>
          </w:p>
          <w:p w:rsidR="00994E9D" w:rsidRDefault="00994E9D" w:rsidP="00994E9D">
            <w:pPr>
              <w:jc w:val="both"/>
              <w:rPr>
                <w:sz w:val="22"/>
                <w:szCs w:val="22"/>
              </w:rPr>
            </w:pPr>
            <w:r>
              <w:rPr>
                <w:sz w:val="22"/>
                <w:szCs w:val="22"/>
              </w:rPr>
              <w:t>- Gửi: Bản giấy.</w:t>
            </w:r>
          </w:p>
          <w:p w:rsidR="00BC4D64" w:rsidRPr="00675D86" w:rsidRDefault="00BC4D64" w:rsidP="00994E9D">
            <w:pPr>
              <w:ind w:hanging="104"/>
              <w:jc w:val="both"/>
              <w:rPr>
                <w:b/>
                <w:i/>
                <w:sz w:val="24"/>
                <w:szCs w:val="24"/>
                <w:lang w:val="nl-NL"/>
              </w:rPr>
            </w:pPr>
          </w:p>
        </w:tc>
        <w:tc>
          <w:tcPr>
            <w:tcW w:w="4394" w:type="dxa"/>
          </w:tcPr>
          <w:p w:rsidR="00EE3C86" w:rsidRPr="007A7D89" w:rsidRDefault="00493AEA" w:rsidP="00EE3C86">
            <w:pPr>
              <w:jc w:val="center"/>
              <w:rPr>
                <w:b/>
                <w:lang w:val="nl-NL"/>
              </w:rPr>
            </w:pPr>
            <w:r w:rsidRPr="007A7D89">
              <w:rPr>
                <w:b/>
                <w:lang w:val="nl-NL"/>
              </w:rPr>
              <w:t>TM. ỦY BAN NHÂN DÂ</w:t>
            </w:r>
            <w:r w:rsidR="00521088">
              <w:rPr>
                <w:b/>
                <w:lang w:val="nl-NL"/>
              </w:rPr>
              <w:t xml:space="preserve">N </w:t>
            </w:r>
          </w:p>
          <w:p w:rsidR="00493AEA" w:rsidRPr="007A7D89" w:rsidRDefault="00493AEA" w:rsidP="00EE3C86">
            <w:pPr>
              <w:jc w:val="center"/>
              <w:rPr>
                <w:b/>
                <w:lang w:val="nl-NL"/>
              </w:rPr>
            </w:pPr>
            <w:r w:rsidRPr="007A7D89">
              <w:rPr>
                <w:b/>
                <w:lang w:val="nl-NL"/>
              </w:rPr>
              <w:t>CHỦ TỊCH</w:t>
            </w:r>
          </w:p>
          <w:p w:rsidR="00493AEA" w:rsidRDefault="00493AEA" w:rsidP="00EE3C86">
            <w:pPr>
              <w:jc w:val="center"/>
              <w:rPr>
                <w:b/>
                <w:sz w:val="38"/>
                <w:lang w:val="nl-NL"/>
              </w:rPr>
            </w:pPr>
          </w:p>
          <w:p w:rsidR="00C629E5" w:rsidRDefault="00C629E5" w:rsidP="00EE3C86">
            <w:pPr>
              <w:jc w:val="center"/>
              <w:rPr>
                <w:b/>
                <w:lang w:val="nl-NL"/>
              </w:rPr>
            </w:pPr>
          </w:p>
          <w:p w:rsidR="009E07AE" w:rsidRDefault="009E07AE" w:rsidP="00EE3C86">
            <w:pPr>
              <w:jc w:val="center"/>
              <w:rPr>
                <w:b/>
                <w:lang w:val="nl-NL"/>
              </w:rPr>
            </w:pPr>
          </w:p>
          <w:p w:rsidR="009E07AE" w:rsidRDefault="009E07AE" w:rsidP="00EE3C86">
            <w:pPr>
              <w:jc w:val="center"/>
              <w:rPr>
                <w:b/>
                <w:lang w:val="nl-NL"/>
              </w:rPr>
            </w:pPr>
          </w:p>
          <w:p w:rsidR="009E07AE" w:rsidRDefault="009E07AE" w:rsidP="00EE3C86">
            <w:pPr>
              <w:jc w:val="center"/>
              <w:rPr>
                <w:b/>
                <w:lang w:val="nl-NL"/>
              </w:rPr>
            </w:pPr>
          </w:p>
          <w:p w:rsidR="00C629E5" w:rsidRPr="007A7D89" w:rsidRDefault="00C629E5" w:rsidP="00EE3C86">
            <w:pPr>
              <w:jc w:val="center"/>
              <w:rPr>
                <w:b/>
                <w:lang w:val="nl-NL"/>
              </w:rPr>
            </w:pPr>
          </w:p>
          <w:p w:rsidR="00D07A56" w:rsidRPr="009E07AE" w:rsidRDefault="00493AEA" w:rsidP="009E07AE">
            <w:pPr>
              <w:jc w:val="center"/>
              <w:rPr>
                <w:b/>
                <w:lang w:val="nl-NL"/>
              </w:rPr>
            </w:pPr>
            <w:r w:rsidRPr="007A7D89">
              <w:rPr>
                <w:b/>
                <w:lang w:val="nl-NL"/>
              </w:rPr>
              <w:t>Đặng Quốc Khánh</w:t>
            </w:r>
          </w:p>
        </w:tc>
      </w:tr>
    </w:tbl>
    <w:p w:rsidR="0044615D" w:rsidRDefault="0044615D" w:rsidP="0044615D">
      <w:pPr>
        <w:widowControl w:val="0"/>
        <w:spacing w:before="60"/>
        <w:jc w:val="center"/>
        <w:rPr>
          <w:b/>
          <w:sz w:val="18"/>
        </w:rPr>
      </w:pPr>
    </w:p>
    <w:p w:rsidR="009E07AE" w:rsidRDefault="009E07AE" w:rsidP="0044615D">
      <w:pPr>
        <w:widowControl w:val="0"/>
        <w:spacing w:before="60"/>
        <w:jc w:val="center"/>
        <w:rPr>
          <w:b/>
          <w:sz w:val="18"/>
        </w:rPr>
        <w:sectPr w:rsidR="009E07AE" w:rsidSect="006D01C7">
          <w:footerReference w:type="default" r:id="rId9"/>
          <w:pgSz w:w="11907" w:h="16840" w:code="9"/>
          <w:pgMar w:top="1134" w:right="1134" w:bottom="1134" w:left="1701" w:header="720" w:footer="720" w:gutter="0"/>
          <w:cols w:space="720"/>
          <w:docGrid w:linePitch="360"/>
        </w:sectPr>
      </w:pPr>
    </w:p>
    <w:tbl>
      <w:tblPr>
        <w:tblW w:w="9132" w:type="dxa"/>
        <w:jc w:val="center"/>
        <w:tblInd w:w="104" w:type="dxa"/>
        <w:tblLayout w:type="fixed"/>
        <w:tblLook w:val="0000" w:firstRow="0" w:lastRow="0" w:firstColumn="0" w:lastColumn="0" w:noHBand="0" w:noVBand="0"/>
      </w:tblPr>
      <w:tblGrid>
        <w:gridCol w:w="3213"/>
        <w:gridCol w:w="5919"/>
      </w:tblGrid>
      <w:tr w:rsidR="009E07AE" w:rsidRPr="00675D86" w:rsidTr="009E07AE">
        <w:trPr>
          <w:trHeight w:val="719"/>
          <w:jc w:val="center"/>
        </w:trPr>
        <w:tc>
          <w:tcPr>
            <w:tcW w:w="3213" w:type="dxa"/>
          </w:tcPr>
          <w:p w:rsidR="009E07AE" w:rsidRDefault="009E07AE" w:rsidP="00894390">
            <w:pPr>
              <w:pStyle w:val="Heading1"/>
              <w:ind w:left="-180" w:firstLine="180"/>
              <w:jc w:val="center"/>
              <w:rPr>
                <w:rFonts w:ascii="Times New Roman" w:hAnsi="Times New Roman"/>
                <w:b/>
                <w:i w:val="0"/>
                <w:iCs/>
                <w:szCs w:val="26"/>
              </w:rPr>
            </w:pPr>
            <w:r>
              <w:rPr>
                <w:rFonts w:ascii="Times New Roman" w:hAnsi="Times New Roman"/>
                <w:b/>
                <w:i w:val="0"/>
                <w:iCs/>
                <w:szCs w:val="26"/>
              </w:rPr>
              <w:lastRenderedPageBreak/>
              <w:t>ỦY BAN NHÂN DÂN</w:t>
            </w:r>
          </w:p>
          <w:p w:rsidR="009E07AE" w:rsidRPr="0044615D" w:rsidRDefault="009E07AE" w:rsidP="00894390">
            <w:pPr>
              <w:jc w:val="center"/>
              <w:rPr>
                <w:b/>
                <w:sz w:val="26"/>
                <w:szCs w:val="26"/>
              </w:rPr>
            </w:pPr>
            <w:r w:rsidRPr="0044615D">
              <w:rPr>
                <w:b/>
                <w:sz w:val="26"/>
                <w:szCs w:val="26"/>
              </w:rPr>
              <w:t>TỈNH HÀ TĨNH</w:t>
            </w:r>
          </w:p>
          <w:p w:rsidR="009E07AE" w:rsidRPr="00675D86" w:rsidRDefault="009E07AE" w:rsidP="00894390">
            <w:pPr>
              <w:pStyle w:val="Heading1"/>
              <w:ind w:left="-219" w:right="-73"/>
              <w:jc w:val="center"/>
              <w:rPr>
                <w:rFonts w:ascii="Times New Roman" w:hAnsi="Times New Roman"/>
                <w:i w:val="0"/>
                <w:iCs/>
                <w:szCs w:val="26"/>
              </w:rPr>
            </w:pPr>
            <w:r>
              <w:rPr>
                <w:b/>
                <w:bCs/>
                <w:i w:val="0"/>
                <w:iCs/>
                <w:noProof/>
                <w:szCs w:val="26"/>
              </w:rPr>
              <mc:AlternateContent>
                <mc:Choice Requires="wps">
                  <w:drawing>
                    <wp:anchor distT="4294967295" distB="4294967295" distL="114300" distR="114300" simplePos="0" relativeHeight="251659776" behindDoc="0" locked="0" layoutInCell="1" allowOverlap="1" wp14:anchorId="703EC43B" wp14:editId="32FAFEE6">
                      <wp:simplePos x="0" y="0"/>
                      <wp:positionH relativeFrom="column">
                        <wp:posOffset>695960</wp:posOffset>
                      </wp:positionH>
                      <wp:positionV relativeFrom="paragraph">
                        <wp:posOffset>39369</wp:posOffset>
                      </wp:positionV>
                      <wp:extent cx="692150" cy="0"/>
                      <wp:effectExtent l="0" t="0" r="12700"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pt,3.1pt" to="109.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qd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"/>
                  </w:pict>
                </mc:Fallback>
              </mc:AlternateContent>
            </w:r>
          </w:p>
        </w:tc>
        <w:tc>
          <w:tcPr>
            <w:tcW w:w="5919" w:type="dxa"/>
          </w:tcPr>
          <w:p w:rsidR="009E07AE" w:rsidRPr="00675D86" w:rsidRDefault="009E07AE" w:rsidP="00894390">
            <w:pPr>
              <w:ind w:left="-180" w:firstLine="180"/>
              <w:jc w:val="center"/>
              <w:rPr>
                <w:b/>
                <w:sz w:val="26"/>
                <w:szCs w:val="26"/>
              </w:rPr>
            </w:pPr>
            <w:r w:rsidRPr="00675D86">
              <w:rPr>
                <w:b/>
                <w:sz w:val="26"/>
                <w:szCs w:val="26"/>
              </w:rPr>
              <w:t xml:space="preserve">CỘNG HÒA XÃ HỘI CHỦ NGHĨA VIỆT </w:t>
            </w:r>
            <w:smartTag w:uri="urn:schemas-microsoft-com:office:smarttags" w:element="country-region">
              <w:smartTag w:uri="urn:schemas-microsoft-com:office:smarttags" w:element="place">
                <w:r w:rsidRPr="00675D86">
                  <w:rPr>
                    <w:b/>
                    <w:sz w:val="26"/>
                    <w:szCs w:val="26"/>
                  </w:rPr>
                  <w:t>NAM</w:t>
                </w:r>
              </w:smartTag>
            </w:smartTag>
          </w:p>
          <w:p w:rsidR="009E07AE" w:rsidRPr="00675D86" w:rsidRDefault="009E07AE" w:rsidP="00894390">
            <w:pPr>
              <w:ind w:left="-180" w:firstLine="180"/>
              <w:jc w:val="center"/>
              <w:rPr>
                <w:b/>
              </w:rPr>
            </w:pPr>
            <w:r w:rsidRPr="00675D86">
              <w:rPr>
                <w:b/>
              </w:rPr>
              <w:t>Độc lập - Tự do - Hạnh phúc</w:t>
            </w:r>
          </w:p>
          <w:p w:rsidR="009E07AE" w:rsidRPr="00675D86" w:rsidRDefault="009E07AE" w:rsidP="00894390">
            <w:pPr>
              <w:ind w:left="-180" w:firstLine="180"/>
              <w:jc w:val="center"/>
              <w:rPr>
                <w:i/>
                <w:sz w:val="26"/>
                <w:szCs w:val="26"/>
              </w:rPr>
            </w:pPr>
            <w:r>
              <w:rPr>
                <w:b/>
                <w:noProof/>
                <w:sz w:val="26"/>
                <w:szCs w:val="26"/>
              </w:rPr>
              <mc:AlternateContent>
                <mc:Choice Requires="wps">
                  <w:drawing>
                    <wp:anchor distT="4294967295" distB="4294967295" distL="114300" distR="114300" simplePos="0" relativeHeight="251660800" behindDoc="0" locked="0" layoutInCell="1" allowOverlap="1" wp14:anchorId="62119F56" wp14:editId="591A81A7">
                      <wp:simplePos x="0" y="0"/>
                      <wp:positionH relativeFrom="column">
                        <wp:posOffset>690880</wp:posOffset>
                      </wp:positionH>
                      <wp:positionV relativeFrom="paragraph">
                        <wp:posOffset>43814</wp:posOffset>
                      </wp:positionV>
                      <wp:extent cx="2145665" cy="0"/>
                      <wp:effectExtent l="0" t="0" r="2603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3.45pt" to="223.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3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eTLJ/OZlOM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"/>
                  </w:pict>
                </mc:Fallback>
              </mc:AlternateContent>
            </w:r>
          </w:p>
        </w:tc>
      </w:tr>
    </w:tbl>
    <w:p w:rsidR="009E07AE" w:rsidRPr="006D01C7" w:rsidRDefault="009E07AE" w:rsidP="0044615D">
      <w:pPr>
        <w:widowControl w:val="0"/>
        <w:spacing w:before="60"/>
        <w:jc w:val="center"/>
        <w:rPr>
          <w:b/>
          <w:sz w:val="18"/>
        </w:rPr>
      </w:pPr>
    </w:p>
    <w:p w:rsidR="0044615D" w:rsidRPr="00D5384F" w:rsidRDefault="0044615D" w:rsidP="0044615D">
      <w:pPr>
        <w:widowControl w:val="0"/>
        <w:spacing w:before="60"/>
        <w:jc w:val="center"/>
        <w:rPr>
          <w:b/>
        </w:rPr>
      </w:pPr>
      <w:r>
        <w:rPr>
          <w:b/>
        </w:rPr>
        <w:t>ĐỀ</w:t>
      </w:r>
      <w:r w:rsidRPr="00D5384F">
        <w:rPr>
          <w:b/>
        </w:rPr>
        <w:t xml:space="preserve"> ÁN</w:t>
      </w:r>
    </w:p>
    <w:p w:rsidR="0044615D" w:rsidRDefault="0044615D" w:rsidP="0044615D">
      <w:pPr>
        <w:widowControl w:val="0"/>
        <w:jc w:val="center"/>
        <w:rPr>
          <w:b/>
        </w:rPr>
      </w:pPr>
      <w:r>
        <w:rPr>
          <w:b/>
        </w:rPr>
        <w:t>Kiện toàn tổ chức và hoạt động Quỹ Đầu tư phát triển Hà Tĩnh</w:t>
      </w:r>
    </w:p>
    <w:p w:rsidR="0044615D" w:rsidRPr="00A5042E" w:rsidRDefault="00A5042E" w:rsidP="0044615D">
      <w:pPr>
        <w:widowControl w:val="0"/>
        <w:jc w:val="center"/>
        <w:rPr>
          <w:i/>
        </w:rPr>
      </w:pPr>
      <w:r w:rsidRPr="00A5042E">
        <w:rPr>
          <w:i/>
        </w:rPr>
        <w:t>(</w:t>
      </w:r>
      <w:r>
        <w:rPr>
          <w:i/>
        </w:rPr>
        <w:t>K</w:t>
      </w:r>
      <w:r w:rsidRPr="00A5042E">
        <w:rPr>
          <w:i/>
        </w:rPr>
        <w:t xml:space="preserve">èm theo Tờ trình số </w:t>
      </w:r>
      <w:r w:rsidR="00B21AC9">
        <w:rPr>
          <w:i/>
        </w:rPr>
        <w:t>454</w:t>
      </w:r>
      <w:r w:rsidRPr="00A5042E">
        <w:rPr>
          <w:i/>
        </w:rPr>
        <w:t xml:space="preserve">/TTr-UBND ngày </w:t>
      </w:r>
      <w:r w:rsidR="00B21AC9">
        <w:rPr>
          <w:i/>
        </w:rPr>
        <w:t>09</w:t>
      </w:r>
      <w:r w:rsidRPr="00A5042E">
        <w:rPr>
          <w:i/>
        </w:rPr>
        <w:t>/12/2016 của UBND tỉnh)</w:t>
      </w:r>
    </w:p>
    <w:p w:rsidR="0044615D" w:rsidRDefault="0044615D" w:rsidP="00493AEA">
      <w:pPr>
        <w:widowControl w:val="0"/>
        <w:spacing w:before="60" w:line="252" w:lineRule="auto"/>
        <w:jc w:val="center"/>
        <w:rPr>
          <w:b/>
          <w:lang w:val="en"/>
        </w:rPr>
      </w:pPr>
      <w:r>
        <w:rPr>
          <w:b/>
          <w:lang w:val="en"/>
        </w:rPr>
        <w:t>PHẦN I</w:t>
      </w:r>
    </w:p>
    <w:p w:rsidR="0044615D" w:rsidRDefault="007358E6" w:rsidP="00493AEA">
      <w:pPr>
        <w:widowControl w:val="0"/>
        <w:spacing w:before="60" w:line="252" w:lineRule="auto"/>
        <w:jc w:val="center"/>
        <w:rPr>
          <w:b/>
          <w:lang w:val="en"/>
        </w:rPr>
      </w:pPr>
      <w:r>
        <w:rPr>
          <w:b/>
          <w:lang w:val="en"/>
        </w:rPr>
        <w:t xml:space="preserve">RÀ SOÁT, </w:t>
      </w:r>
      <w:r w:rsidR="0044615D" w:rsidRPr="005D45FD">
        <w:rPr>
          <w:b/>
          <w:lang w:val="en"/>
        </w:rPr>
        <w:t xml:space="preserve">ĐÁNH GIÁ TỔ CHỨC VÀ HOẠT ĐỘNG CỦA </w:t>
      </w:r>
    </w:p>
    <w:p w:rsidR="0044615D" w:rsidRPr="005D45FD" w:rsidRDefault="0044615D" w:rsidP="00493AEA">
      <w:pPr>
        <w:widowControl w:val="0"/>
        <w:spacing w:line="252" w:lineRule="auto"/>
        <w:jc w:val="center"/>
        <w:rPr>
          <w:b/>
          <w:lang w:val="en"/>
        </w:rPr>
      </w:pPr>
      <w:r w:rsidRPr="005D45FD">
        <w:rPr>
          <w:b/>
          <w:lang w:val="en"/>
        </w:rPr>
        <w:t>QUỸ ĐẦU TƯ PHÁT TRIỂN</w:t>
      </w:r>
      <w:r w:rsidR="00994E9D">
        <w:rPr>
          <w:b/>
          <w:lang w:val="en"/>
        </w:rPr>
        <w:t xml:space="preserve"> HÀ TĨNH</w:t>
      </w:r>
    </w:p>
    <w:p w:rsidR="0044615D" w:rsidRDefault="0044615D" w:rsidP="00E91CC9">
      <w:pPr>
        <w:widowControl w:val="0"/>
        <w:spacing w:before="60" w:line="247" w:lineRule="auto"/>
        <w:ind w:firstLine="709"/>
        <w:jc w:val="both"/>
        <w:rPr>
          <w:b/>
        </w:rPr>
      </w:pPr>
      <w:r>
        <w:rPr>
          <w:b/>
        </w:rPr>
        <w:t>I. Quá trình thành lập, chức năng nhiệm vụ và tổ chức bộ máy của Quỹ Đầu tư phát triển Hà Tĩnh</w:t>
      </w:r>
    </w:p>
    <w:p w:rsidR="00E91CC9" w:rsidRDefault="0044615D" w:rsidP="00672084">
      <w:pPr>
        <w:widowControl w:val="0"/>
        <w:spacing w:before="40" w:line="252" w:lineRule="auto"/>
        <w:ind w:firstLine="709"/>
        <w:jc w:val="both"/>
        <w:rPr>
          <w:lang w:val="en"/>
        </w:rPr>
      </w:pPr>
      <w:r>
        <w:rPr>
          <w:lang w:val="en"/>
        </w:rPr>
        <w:t>1. Thành lập Quỹ</w:t>
      </w:r>
      <w:r w:rsidR="00994E9D">
        <w:rPr>
          <w:lang w:val="en"/>
        </w:rPr>
        <w:t xml:space="preserve"> Đầu tư phát triển Hà Tĩnh</w:t>
      </w:r>
      <w:r>
        <w:rPr>
          <w:lang w:val="en"/>
        </w:rPr>
        <w:t xml:space="preserve">: </w:t>
      </w:r>
    </w:p>
    <w:p w:rsidR="0044615D" w:rsidRDefault="0044615D" w:rsidP="00672084">
      <w:pPr>
        <w:widowControl w:val="0"/>
        <w:spacing w:before="40" w:line="252" w:lineRule="auto"/>
        <w:ind w:firstLine="709"/>
        <w:jc w:val="both"/>
      </w:pPr>
      <w:r>
        <w:rPr>
          <w:lang w:val="en"/>
        </w:rPr>
        <w:t xml:space="preserve">Quỹ Đầu tư phát triển </w:t>
      </w:r>
      <w:r w:rsidR="00994E9D">
        <w:rPr>
          <w:lang w:val="en"/>
        </w:rPr>
        <w:t>Hà Tĩnh</w:t>
      </w:r>
      <w:r w:rsidR="00E91CC9">
        <w:rPr>
          <w:lang w:val="en"/>
        </w:rPr>
        <w:t xml:space="preserve"> (sau đây gọi tắt là Quỹ) </w:t>
      </w:r>
      <w:r>
        <w:rPr>
          <w:lang w:val="en"/>
        </w:rPr>
        <w:t>được thành lập tại Quyết định số 3869/QĐ-UBND ngày 06/12/2011 của UBND tỉnh trên cơ sở Quỹ hỗ trợ đầu tư được thành lập tại Quyết định số 305/1999/QĐ/UB-XD ngày 12/02/1999 của UBND tỉnh (được ủy thác cho Chi nhánh Ngân hàng phát triển Hà Tĩnh quản lý).</w:t>
      </w:r>
      <w:r w:rsidR="006D01C7">
        <w:rPr>
          <w:lang w:val="en"/>
        </w:rPr>
        <w:t xml:space="preserve"> </w:t>
      </w:r>
      <w:r>
        <w:t>Đ</w:t>
      </w:r>
      <w:r>
        <w:rPr>
          <w:lang w:val="vi-VN"/>
        </w:rPr>
        <w:t xml:space="preserve">ến ngày 10/10/2012, Quỹ chính thức đi vào hoạt động. </w:t>
      </w:r>
    </w:p>
    <w:p w:rsidR="0044615D" w:rsidRDefault="0044615D" w:rsidP="00672084">
      <w:pPr>
        <w:widowControl w:val="0"/>
        <w:spacing w:before="40" w:line="252" w:lineRule="auto"/>
        <w:ind w:firstLine="709"/>
        <w:jc w:val="both"/>
      </w:pPr>
      <w:r>
        <w:t>2</w:t>
      </w:r>
      <w:r w:rsidRPr="00EE7809">
        <w:t xml:space="preserve">. Cơ sở pháp lý </w:t>
      </w:r>
      <w:r>
        <w:t>thành lập</w:t>
      </w:r>
      <w:r w:rsidRPr="00EE7809">
        <w:t xml:space="preserve"> Quỹ:</w:t>
      </w:r>
    </w:p>
    <w:p w:rsidR="0044615D" w:rsidRDefault="0044615D" w:rsidP="00672084">
      <w:pPr>
        <w:widowControl w:val="0"/>
        <w:spacing w:before="40" w:line="252" w:lineRule="auto"/>
        <w:ind w:firstLine="709"/>
        <w:jc w:val="both"/>
      </w:pPr>
      <w:r>
        <w:t xml:space="preserve">- </w:t>
      </w:r>
      <w:r w:rsidRPr="00EE7809">
        <w:t xml:space="preserve">Nghị định </w:t>
      </w:r>
      <w:r>
        <w:t xml:space="preserve">số 138/2007/NĐ-CP ngày 28/8/2007 </w:t>
      </w:r>
      <w:r w:rsidRPr="00EE7809">
        <w:t>của Chính phủ</w:t>
      </w:r>
      <w:r>
        <w:t xml:space="preserve"> về tổ chức và hoạt động của Quỹ đầu tư phát triển địa phương</w:t>
      </w:r>
      <w:r w:rsidRPr="00EE7809">
        <w:t xml:space="preserve">; </w:t>
      </w:r>
    </w:p>
    <w:p w:rsidR="0044615D" w:rsidRDefault="0044615D" w:rsidP="00672084">
      <w:pPr>
        <w:widowControl w:val="0"/>
        <w:spacing w:before="40" w:line="252" w:lineRule="auto"/>
        <w:ind w:firstLine="709"/>
        <w:jc w:val="both"/>
      </w:pPr>
      <w:r>
        <w:t>- Văn bản số 283/HĐND ngày 04/11/2011 của Thường trực Hội đồng nhân dân tỉnh đồng ý chủ trương thành lập Quỹ Đầu tư phát triển Hà Tĩnh.</w:t>
      </w:r>
    </w:p>
    <w:p w:rsidR="0044615D" w:rsidRDefault="0044615D" w:rsidP="00672084">
      <w:pPr>
        <w:widowControl w:val="0"/>
        <w:spacing w:before="40" w:line="252" w:lineRule="auto"/>
        <w:ind w:firstLine="709"/>
        <w:jc w:val="both"/>
      </w:pPr>
      <w:r>
        <w:t>3</w:t>
      </w:r>
      <w:r w:rsidRPr="00EE7809">
        <w:t xml:space="preserve">. </w:t>
      </w:r>
      <w:r>
        <w:t>Nguyễn tắc hoạt động và c</w:t>
      </w:r>
      <w:r w:rsidRPr="00EE7809">
        <w:t xml:space="preserve">hức năng, nhiệm vụ của Quỹ: </w:t>
      </w:r>
    </w:p>
    <w:p w:rsidR="0044615D" w:rsidRDefault="0044615D" w:rsidP="00672084">
      <w:pPr>
        <w:widowControl w:val="0"/>
        <w:spacing w:before="40" w:line="252" w:lineRule="auto"/>
        <w:ind w:firstLine="709"/>
        <w:jc w:val="both"/>
      </w:pPr>
      <w:r w:rsidRPr="00EE7809">
        <w:rPr>
          <w:lang w:val="vi-VN"/>
        </w:rPr>
        <w:t xml:space="preserve">Quỹ </w:t>
      </w:r>
      <w:r w:rsidRPr="00EE7809">
        <w:t>Đầu tư phát triển</w:t>
      </w:r>
      <w:r w:rsidR="006D01C7">
        <w:t xml:space="preserve"> </w:t>
      </w:r>
      <w:r w:rsidR="00994E9D">
        <w:t>Hà Tĩnh</w:t>
      </w:r>
      <w:r w:rsidRPr="00EE7809">
        <w:t xml:space="preserve"> là một tổ chức tài chính Nhà nước của </w:t>
      </w:r>
      <w:r>
        <w:t>địa phương</w:t>
      </w:r>
      <w:r w:rsidRPr="00EE7809">
        <w:t xml:space="preserve">, </w:t>
      </w:r>
      <w:r w:rsidRPr="00EE7809">
        <w:rPr>
          <w:lang w:val="vi-VN"/>
        </w:rPr>
        <w:t>hoạt động theo mô h</w:t>
      </w:r>
      <w:r w:rsidRPr="00EE7809">
        <w:t xml:space="preserve">ình Ngân hàng chính sách, thực hiện nguyên tắc </w:t>
      </w:r>
      <w:r w:rsidRPr="00EE7809">
        <w:rPr>
          <w:lang w:val="vi-VN"/>
        </w:rPr>
        <w:t>tự chủ về tài chính</w:t>
      </w:r>
      <w:r w:rsidRPr="00EE7809">
        <w:t xml:space="preserve">, </w:t>
      </w:r>
      <w:r w:rsidRPr="00EE7809">
        <w:rPr>
          <w:lang w:val="vi-VN"/>
        </w:rPr>
        <w:t>không v</w:t>
      </w:r>
      <w:r w:rsidRPr="00EE7809">
        <w:t>ì mục tiêu lợi nhuận, bảo toàn và phát triển vốn Nhà n</w:t>
      </w:r>
      <w:r w:rsidRPr="00EE7809">
        <w:rPr>
          <w:lang w:val="vi-VN"/>
        </w:rPr>
        <w:t>ước</w:t>
      </w:r>
      <w:r w:rsidRPr="00EE7809">
        <w:t>;</w:t>
      </w:r>
      <w:r w:rsidR="006D01C7">
        <w:t xml:space="preserve"> </w:t>
      </w:r>
      <w:r w:rsidRPr="00EE7809">
        <w:t>Quỹ thực hiện chức năng đầu tư tài chính và đầu tư phát triển</w:t>
      </w:r>
      <w:r>
        <w:t>, cụ thể:</w:t>
      </w:r>
    </w:p>
    <w:p w:rsidR="0044615D" w:rsidRDefault="0044615D" w:rsidP="00672084">
      <w:pPr>
        <w:widowControl w:val="0"/>
        <w:spacing w:before="40" w:line="252" w:lineRule="auto"/>
        <w:ind w:firstLine="709"/>
        <w:jc w:val="both"/>
      </w:pPr>
      <w:r>
        <w:t>-T</w:t>
      </w:r>
      <w:r w:rsidRPr="00EE7809">
        <w:t xml:space="preserve">iếp nhận vốn ngân sách, vốn tài trợ; </w:t>
      </w:r>
    </w:p>
    <w:p w:rsidR="0044615D" w:rsidRPr="00EB1134" w:rsidRDefault="0044615D" w:rsidP="00672084">
      <w:pPr>
        <w:widowControl w:val="0"/>
        <w:spacing w:before="40" w:line="252" w:lineRule="auto"/>
        <w:ind w:firstLine="709"/>
        <w:jc w:val="both"/>
        <w:rPr>
          <w:spacing w:val="-8"/>
        </w:rPr>
      </w:pPr>
      <w:r w:rsidRPr="00EB1134">
        <w:rPr>
          <w:spacing w:val="-8"/>
        </w:rPr>
        <w:t>- Huy động vốn trung và dài hạn của các tổ chức, cá nhân trong và ngoài nước;</w:t>
      </w:r>
    </w:p>
    <w:p w:rsidR="0044615D" w:rsidRDefault="0044615D" w:rsidP="00672084">
      <w:pPr>
        <w:widowControl w:val="0"/>
        <w:spacing w:before="40" w:line="252" w:lineRule="auto"/>
        <w:ind w:firstLine="709"/>
        <w:jc w:val="both"/>
      </w:pPr>
      <w:r>
        <w:t>-Đầu tư trực tiếp</w:t>
      </w:r>
      <w:r w:rsidRPr="00EE7809">
        <w:t xml:space="preserve"> các dự án thuộc lĩnh vực đầu tư kết cấu hạ tầng kinh tế - xã hội ưu tiên phát triển của tỉnh; </w:t>
      </w:r>
    </w:p>
    <w:p w:rsidR="0044615D" w:rsidRDefault="0044615D" w:rsidP="00672084">
      <w:pPr>
        <w:widowControl w:val="0"/>
        <w:spacing w:before="40" w:line="252" w:lineRule="auto"/>
        <w:ind w:firstLine="709"/>
        <w:jc w:val="both"/>
      </w:pPr>
      <w:r>
        <w:t xml:space="preserve">- Cho vay </w:t>
      </w:r>
      <w:r w:rsidRPr="00EE7809">
        <w:t xml:space="preserve">các dự án thuộc lĩnh vực đầu tư kết cấu hạ tầng kinh tế - xã hội ưu tiên phát triển của tỉnh; </w:t>
      </w:r>
    </w:p>
    <w:p w:rsidR="0044615D" w:rsidRDefault="0044615D" w:rsidP="00672084">
      <w:pPr>
        <w:widowControl w:val="0"/>
        <w:spacing w:before="40" w:line="252" w:lineRule="auto"/>
        <w:ind w:firstLine="709"/>
        <w:jc w:val="both"/>
      </w:pPr>
      <w:r>
        <w:t>- G</w:t>
      </w:r>
      <w:r w:rsidRPr="00EE7809">
        <w:t xml:space="preserve">óp vốn thành lập các tổ chức kinh tế để phục vụ hoạt động đầu tư; </w:t>
      </w:r>
    </w:p>
    <w:p w:rsidR="0044615D" w:rsidRPr="00994E9D" w:rsidRDefault="0044615D" w:rsidP="00672084">
      <w:pPr>
        <w:widowControl w:val="0"/>
        <w:spacing w:before="40" w:line="252" w:lineRule="auto"/>
        <w:ind w:firstLine="709"/>
        <w:jc w:val="both"/>
        <w:rPr>
          <w:spacing w:val="-2"/>
        </w:rPr>
      </w:pPr>
      <w:r w:rsidRPr="00994E9D">
        <w:rPr>
          <w:spacing w:val="-2"/>
        </w:rPr>
        <w:t>- Ủy thác và nhận quản lý ủy thác các Quỹ tài chính do UBND tỉnh thành lập và các Quỹ khác (hiện nay UBND tỉnh giao quản lý</w:t>
      </w:r>
      <w:r w:rsidRPr="00994E9D">
        <w:rPr>
          <w:spacing w:val="-2"/>
          <w:lang w:val="vi-VN"/>
        </w:rPr>
        <w:t xml:space="preserve"> uỷ thác</w:t>
      </w:r>
      <w:r w:rsidRPr="00994E9D">
        <w:rPr>
          <w:spacing w:val="-2"/>
        </w:rPr>
        <w:t xml:space="preserve"> 05 Quỹ:</w:t>
      </w:r>
      <w:r w:rsidRPr="00994E9D">
        <w:rPr>
          <w:spacing w:val="-2"/>
          <w:lang w:val="vi-VN"/>
        </w:rPr>
        <w:t xml:space="preserve"> Quỹ Phát triển </w:t>
      </w:r>
      <w:r w:rsidRPr="00994E9D">
        <w:rPr>
          <w:spacing w:val="-2"/>
        </w:rPr>
        <w:t>đ</w:t>
      </w:r>
      <w:r w:rsidRPr="00994E9D">
        <w:rPr>
          <w:spacing w:val="-2"/>
          <w:lang w:val="vi-VN"/>
        </w:rPr>
        <w:t xml:space="preserve">ất, Quỹ Bảo vệ và Phát triển </w:t>
      </w:r>
      <w:r w:rsidRPr="00994E9D">
        <w:rPr>
          <w:spacing w:val="-2"/>
        </w:rPr>
        <w:t>r</w:t>
      </w:r>
      <w:r w:rsidRPr="00994E9D">
        <w:rPr>
          <w:spacing w:val="-2"/>
          <w:lang w:val="vi-VN"/>
        </w:rPr>
        <w:t>ừng</w:t>
      </w:r>
      <w:r w:rsidRPr="00994E9D">
        <w:rPr>
          <w:spacing w:val="-2"/>
        </w:rPr>
        <w:t xml:space="preserve"> tỉnh,</w:t>
      </w:r>
      <w:r w:rsidRPr="00994E9D">
        <w:rPr>
          <w:spacing w:val="-2"/>
          <w:lang w:val="vi-VN"/>
        </w:rPr>
        <w:t xml:space="preserve"> Quỹ Bảo tr</w:t>
      </w:r>
      <w:r w:rsidRPr="00994E9D">
        <w:rPr>
          <w:spacing w:val="-2"/>
        </w:rPr>
        <w:t>ì đường bộ tỉnh, Quỹ Bảo lãnh tín dụng cho các doanh nghiệp nhỏ và vừa và Quỹ Bảo vệ môi trường)</w:t>
      </w:r>
      <w:r w:rsidR="00EB1134">
        <w:rPr>
          <w:spacing w:val="-2"/>
        </w:rPr>
        <w:t>;</w:t>
      </w:r>
    </w:p>
    <w:p w:rsidR="0044615D" w:rsidRDefault="0044615D" w:rsidP="00E91CC9">
      <w:pPr>
        <w:widowControl w:val="0"/>
        <w:spacing w:before="60" w:line="252" w:lineRule="auto"/>
        <w:ind w:firstLine="709"/>
        <w:jc w:val="both"/>
      </w:pPr>
      <w:r>
        <w:t>- Thực hiện các nhiệm vụ khác do UBND tỉnh giao.</w:t>
      </w:r>
    </w:p>
    <w:p w:rsidR="006D01C7" w:rsidRDefault="006D01C7" w:rsidP="00E91CC9">
      <w:pPr>
        <w:widowControl w:val="0"/>
        <w:spacing w:before="60" w:line="252" w:lineRule="auto"/>
        <w:ind w:firstLine="709"/>
        <w:jc w:val="both"/>
      </w:pPr>
    </w:p>
    <w:p w:rsidR="0044615D" w:rsidRPr="009F78EC" w:rsidRDefault="0044615D" w:rsidP="00E91CC9">
      <w:pPr>
        <w:widowControl w:val="0"/>
        <w:spacing w:before="60" w:line="252" w:lineRule="auto"/>
        <w:ind w:firstLine="709"/>
        <w:jc w:val="both"/>
      </w:pPr>
      <w:r>
        <w:lastRenderedPageBreak/>
        <w:t>4</w:t>
      </w:r>
      <w:r w:rsidRPr="009F78EC">
        <w:t xml:space="preserve">. Tổ chức bộ máy </w:t>
      </w:r>
      <w:r>
        <w:t>hiện tại của Quỹ, bao gồm:</w:t>
      </w:r>
      <w:r w:rsidRPr="009F78EC">
        <w:t xml:space="preserve"> Hội đồng quản lý, Ban Kiểm soát, </w:t>
      </w:r>
      <w:r>
        <w:t>Bộ máy</w:t>
      </w:r>
      <w:r w:rsidR="006D01C7">
        <w:t xml:space="preserve"> </w:t>
      </w:r>
      <w:r>
        <w:t>đ</w:t>
      </w:r>
      <w:r w:rsidRPr="009F78EC">
        <w:t>iều hành.</w:t>
      </w:r>
    </w:p>
    <w:p w:rsidR="0044615D" w:rsidRPr="009F78EC" w:rsidRDefault="0044615D" w:rsidP="00E91CC9">
      <w:pPr>
        <w:widowControl w:val="0"/>
        <w:spacing w:before="60" w:line="252" w:lineRule="auto"/>
        <w:ind w:firstLine="709"/>
        <w:jc w:val="both"/>
      </w:pPr>
      <w:r>
        <w:t>4.1.</w:t>
      </w:r>
      <w:r w:rsidRPr="009F78EC">
        <w:t xml:space="preserve"> Hội đồng quản lý (</w:t>
      </w:r>
      <w:r>
        <w:t xml:space="preserve">UBND tỉnh thành lập </w:t>
      </w:r>
      <w:r w:rsidR="00EB1134">
        <w:t>Hội đồng quản lý</w:t>
      </w:r>
      <w:r w:rsidR="006D01C7">
        <w:t xml:space="preserve"> </w:t>
      </w:r>
      <w:r w:rsidRPr="009F78EC">
        <w:t>chung</w:t>
      </w:r>
      <w:r>
        <w:t xml:space="preserve"> cho 02 Quỹ:</w:t>
      </w:r>
      <w:r w:rsidRPr="009F78EC">
        <w:t xml:space="preserve"> Quỹ Đầu tư ph</w:t>
      </w:r>
      <w:r>
        <w:t xml:space="preserve">át triển </w:t>
      </w:r>
      <w:r w:rsidR="00EB1134">
        <w:t xml:space="preserve">Hà Tĩnh </w:t>
      </w:r>
      <w:r>
        <w:t>và Quỹ Phát triển đất),</w:t>
      </w:r>
      <w:r w:rsidR="006D01C7">
        <w:t xml:space="preserve"> </w:t>
      </w:r>
      <w:r>
        <w:t>g</w:t>
      </w:r>
      <w:r w:rsidRPr="009F78EC">
        <w:t xml:space="preserve">ồm 7 thành viên, trong đó 6 thành viên kiêm nhiệm và 1 thành viên chuyên trách là Phó </w:t>
      </w:r>
      <w:r w:rsidR="00EB1134">
        <w:t>Chủ tịch</w:t>
      </w:r>
      <w:r w:rsidR="006D01C7">
        <w:t xml:space="preserve"> </w:t>
      </w:r>
      <w:r w:rsidR="00EB1134">
        <w:t>Hội đồng quản lý Quỹ</w:t>
      </w:r>
      <w:r w:rsidRPr="009F78EC">
        <w:t xml:space="preserve"> làm Giám đốc Quỹ</w:t>
      </w:r>
      <w:r>
        <w:t xml:space="preserve">, Chủ tịch </w:t>
      </w:r>
      <w:r w:rsidR="00EB1134">
        <w:t>Hội đồng quản lý Quỹ</w:t>
      </w:r>
      <w:r w:rsidR="006D01C7">
        <w:t xml:space="preserve"> </w:t>
      </w:r>
      <w:r w:rsidRPr="00EB1134">
        <w:t xml:space="preserve">do </w:t>
      </w:r>
      <w:r w:rsidR="00EB1134" w:rsidRPr="00EB1134">
        <w:t xml:space="preserve">lãnh đạo </w:t>
      </w:r>
      <w:r w:rsidRPr="00EB1134">
        <w:t xml:space="preserve">UBND </w:t>
      </w:r>
      <w:r w:rsidR="00EB1134" w:rsidRPr="00EB1134">
        <w:t xml:space="preserve">tỉnh </w:t>
      </w:r>
      <w:r w:rsidRPr="00EB1134">
        <w:t xml:space="preserve">kiêm nhiệm, các thành viên </w:t>
      </w:r>
      <w:r w:rsidR="00EB1134" w:rsidRPr="00EB1134">
        <w:t>Hội đồng quản lý Quỹ</w:t>
      </w:r>
      <w:r w:rsidRPr="00EB1134">
        <w:t xml:space="preserve"> do</w:t>
      </w:r>
      <w:r>
        <w:t xml:space="preserve"> Lãnh đạo các </w:t>
      </w:r>
      <w:r w:rsidR="00EB1134">
        <w:t>s</w:t>
      </w:r>
      <w:r>
        <w:t xml:space="preserve">ở, </w:t>
      </w:r>
      <w:r w:rsidR="00EB1134">
        <w:t>b</w:t>
      </w:r>
      <w:r>
        <w:t>an, ngành kiêm nhiệm (Sở Tài chính</w:t>
      </w:r>
      <w:r w:rsidRPr="009F78EC">
        <w:t>;</w:t>
      </w:r>
      <w:r>
        <w:t xml:space="preserve"> Sở Tài nguyên và Môi trường; Sở Kế hoạch và Đầu tư; Ngân hàng </w:t>
      </w:r>
      <w:r w:rsidR="00304661">
        <w:t>N</w:t>
      </w:r>
      <w:r>
        <w:t>hà nước</w:t>
      </w:r>
      <w:r w:rsidR="00304661">
        <w:t>C</w:t>
      </w:r>
      <w:r w:rsidR="00543E21">
        <w:t>hi nhánh Hà Tĩnh</w:t>
      </w:r>
      <w:r>
        <w:t xml:space="preserve">; Kho bạc </w:t>
      </w:r>
      <w:r w:rsidR="00304661">
        <w:t>N</w:t>
      </w:r>
      <w:r>
        <w:t>hà nước</w:t>
      </w:r>
      <w:r w:rsidR="00304661">
        <w:t xml:space="preserve"> tỉnh</w:t>
      </w:r>
      <w:r>
        <w:t>).</w:t>
      </w:r>
    </w:p>
    <w:p w:rsidR="0044615D" w:rsidRPr="009F78EC" w:rsidRDefault="0044615D" w:rsidP="00E91CC9">
      <w:pPr>
        <w:widowControl w:val="0"/>
        <w:spacing w:before="60" w:line="252" w:lineRule="auto"/>
        <w:ind w:firstLine="709"/>
        <w:jc w:val="both"/>
      </w:pPr>
      <w:r>
        <w:t>4.2.</w:t>
      </w:r>
      <w:r w:rsidRPr="009F78EC">
        <w:t xml:space="preserve"> Ban Kiểm soát gồm 2 thành viên kiêm nhiệm, Trưởng Ban kiểm soát do UBND tỉnh bổ nhiệm;</w:t>
      </w:r>
    </w:p>
    <w:p w:rsidR="0044615D" w:rsidRDefault="0044615D" w:rsidP="00E91CC9">
      <w:pPr>
        <w:widowControl w:val="0"/>
        <w:spacing w:before="60" w:line="252" w:lineRule="auto"/>
        <w:ind w:firstLine="709"/>
        <w:jc w:val="both"/>
      </w:pPr>
      <w:r>
        <w:t>4.3. Bộ máy</w:t>
      </w:r>
      <w:r w:rsidR="006D01C7">
        <w:t xml:space="preserve"> </w:t>
      </w:r>
      <w:r>
        <w:t>đ</w:t>
      </w:r>
      <w:r w:rsidRPr="009F78EC">
        <w:t>iều hành</w:t>
      </w:r>
      <w:r>
        <w:t>, gồm Ban điều hành và các phòng nghiệp vụ:</w:t>
      </w:r>
    </w:p>
    <w:p w:rsidR="0044615D" w:rsidRPr="009F78EC" w:rsidRDefault="0044615D" w:rsidP="00E91CC9">
      <w:pPr>
        <w:widowControl w:val="0"/>
        <w:spacing w:before="60" w:line="252" w:lineRule="auto"/>
        <w:ind w:firstLine="709"/>
        <w:jc w:val="both"/>
      </w:pPr>
      <w:r>
        <w:t xml:space="preserve">- Ban điều hành: </w:t>
      </w:r>
      <w:r w:rsidRPr="009F78EC">
        <w:t>Giám đốc, 02 Phó giám</w:t>
      </w:r>
      <w:r w:rsidR="006F6657">
        <w:t xml:space="preserve"> đốc và Kế toán trưởng được Ủy ban nhân d</w:t>
      </w:r>
      <w:r w:rsidR="006D01C7">
        <w:t>ân</w:t>
      </w:r>
      <w:r w:rsidRPr="009F78EC">
        <w:t xml:space="preserve"> tỉnh bổ nhiệm;</w:t>
      </w:r>
    </w:p>
    <w:p w:rsidR="0044615D" w:rsidRPr="009F78EC" w:rsidRDefault="0044615D" w:rsidP="00E91CC9">
      <w:pPr>
        <w:widowControl w:val="0"/>
        <w:spacing w:before="60" w:line="252" w:lineRule="auto"/>
        <w:ind w:firstLine="709"/>
        <w:jc w:val="both"/>
      </w:pPr>
      <w:r w:rsidRPr="009F78EC">
        <w:t xml:space="preserve">- Phòng ban nghiệp vụ, gồm 5 phòng: Phòng Kế toán tài chính; phòng Tổ chức hành chính; phòng Kế hoạch - Thẩm định; phòng Tín dụng </w:t>
      </w:r>
      <w:r w:rsidR="00DA65DC">
        <w:t>-</w:t>
      </w:r>
      <w:r w:rsidRPr="009F78EC">
        <w:t xml:space="preserve"> Đầu tư; phòng Quản lý ủy thác. Hiện tại đang nhập 2 phòng Kế toán tài chính và Tổ chức hành chính thành phòng Kế toán </w:t>
      </w:r>
      <w:r w:rsidR="00DA65DC">
        <w:t>-</w:t>
      </w:r>
      <w:r w:rsidRPr="009F78EC">
        <w:t xml:space="preserve"> Hành chính </w:t>
      </w:r>
      <w:r w:rsidR="00D81651">
        <w:t>(Quyết định số 15/QĐ-HĐQL ngày 30/7/2013 về việc phê duyệt cơ cấu tổ chức phòng, ban nghiệp vụ và kế hoạch sử dụng lao động năm 2013 của Quỹ Đầu tư phát triển)</w:t>
      </w:r>
      <w:r w:rsidR="00DA65DC">
        <w:t>.</w:t>
      </w:r>
    </w:p>
    <w:p w:rsidR="0044615D" w:rsidRDefault="0044615D" w:rsidP="00E91CC9">
      <w:pPr>
        <w:widowControl w:val="0"/>
        <w:spacing w:before="60" w:line="252" w:lineRule="auto"/>
        <w:ind w:firstLine="709"/>
        <w:jc w:val="both"/>
      </w:pPr>
      <w:r w:rsidRPr="009F78EC">
        <w:t xml:space="preserve">- Tổng số nhân viên, người lao động đến </w:t>
      </w:r>
      <w:r>
        <w:t>30/9</w:t>
      </w:r>
      <w:r w:rsidRPr="009F78EC">
        <w:t>/2016 là 17 người, trong đó lao động quản lý (Trưởng, Phó phòng) 5 người; lao động có trình độ đại học trở lên 16 người.</w:t>
      </w:r>
    </w:p>
    <w:p w:rsidR="0044615D" w:rsidRDefault="0044615D" w:rsidP="00E91CC9">
      <w:pPr>
        <w:widowControl w:val="0"/>
        <w:spacing w:before="60" w:line="252" w:lineRule="auto"/>
        <w:ind w:firstLine="709"/>
        <w:jc w:val="both"/>
      </w:pPr>
      <w:r>
        <w:t>5. Tổ chức Đảng và đoàn thể:</w:t>
      </w:r>
    </w:p>
    <w:p w:rsidR="0044615D" w:rsidRDefault="0044615D" w:rsidP="00E91CC9">
      <w:pPr>
        <w:widowControl w:val="0"/>
        <w:spacing w:before="60" w:line="252" w:lineRule="auto"/>
        <w:ind w:firstLine="709"/>
        <w:jc w:val="both"/>
      </w:pPr>
      <w:r>
        <w:t xml:space="preserve">5.1. Tổ chức Đảng: </w:t>
      </w:r>
    </w:p>
    <w:p w:rsidR="0044615D" w:rsidRDefault="0044615D" w:rsidP="00E91CC9">
      <w:pPr>
        <w:widowControl w:val="0"/>
        <w:spacing w:before="60" w:line="252" w:lineRule="auto"/>
        <w:ind w:firstLine="709"/>
        <w:jc w:val="both"/>
      </w:pPr>
      <w:r>
        <w:t xml:space="preserve">- Từ khi Quỹ đi vào hoạt động, Lãnh đạo Quỹ đã chủ động đề xuất và được Đảng ủy khối các cơ quan cấp tỉnh quyết định thành lập Chi bộ Quỹ Đầu tư phát triển trực thuộc Đảng ủy khối. </w:t>
      </w:r>
    </w:p>
    <w:p w:rsidR="0044615D" w:rsidRDefault="0044615D" w:rsidP="00E91CC9">
      <w:pPr>
        <w:widowControl w:val="0"/>
        <w:spacing w:before="60" w:line="252" w:lineRule="auto"/>
        <w:ind w:firstLine="709"/>
        <w:jc w:val="both"/>
      </w:pPr>
      <w:r>
        <w:t>- Tổng số đảng viên tại thời điểm thành lập Chi bộ là 5 đảng viên, đến nay số đảng viên trong Chi bộ là 12 đảng viên, trong đó 10 đảng viên chính thức.</w:t>
      </w:r>
    </w:p>
    <w:p w:rsidR="0044615D" w:rsidRDefault="0044615D" w:rsidP="00E91CC9">
      <w:pPr>
        <w:widowControl w:val="0"/>
        <w:spacing w:before="60" w:line="252" w:lineRule="auto"/>
        <w:ind w:firstLine="709"/>
        <w:jc w:val="both"/>
      </w:pPr>
      <w:r>
        <w:t>- Chi bộ Quỹ đã lãnh đạo, chỉ đạo Ban điều hành Quỹ thực hiện tốt chức năng nhiệm vụ và các Nghị quyết, Quyết định của Hội đồng quản lý Quỹ và Quyết định của UBND tỉnh; Chi bộ quỹ 03 năm liên tục đạt danh hiệu Chi bộ trong sạch vững mạnh, 02 năm được công nhận là Chi bộ tiêu biểu, xuất sắc.</w:t>
      </w:r>
    </w:p>
    <w:p w:rsidR="0044615D" w:rsidRDefault="0044615D" w:rsidP="00E91CC9">
      <w:pPr>
        <w:widowControl w:val="0"/>
        <w:spacing w:before="60" w:line="252" w:lineRule="auto"/>
        <w:ind w:firstLine="709"/>
        <w:jc w:val="both"/>
      </w:pPr>
      <w:r>
        <w:t xml:space="preserve">5.2. Tổ chức Công đoàn, Đoàn thanh niên: </w:t>
      </w:r>
    </w:p>
    <w:p w:rsidR="0044615D" w:rsidRDefault="0044615D" w:rsidP="00E91CC9">
      <w:pPr>
        <w:widowControl w:val="0"/>
        <w:spacing w:before="60" w:line="252" w:lineRule="auto"/>
        <w:ind w:firstLine="709"/>
        <w:jc w:val="both"/>
      </w:pPr>
      <w:r>
        <w:t>- Cùng với Tổ chức Đảng, Quỹ đã đề xuất và được Công đoàn viên chức tỉnh và Đoàn khối các cơ quan tỉnh quyết định thành lập tổ chức Công đoàn và Đoàn thanh niên Quỹ Đầu tư phát triển</w:t>
      </w:r>
      <w:r w:rsidR="00DA65DC">
        <w:t xml:space="preserve"> Hà Tĩnh</w:t>
      </w:r>
      <w:r>
        <w:t>.</w:t>
      </w:r>
    </w:p>
    <w:p w:rsidR="006D01C7" w:rsidRDefault="006D01C7" w:rsidP="00672084">
      <w:pPr>
        <w:widowControl w:val="0"/>
        <w:spacing w:before="40" w:line="252" w:lineRule="auto"/>
        <w:ind w:firstLine="709"/>
        <w:jc w:val="both"/>
      </w:pPr>
    </w:p>
    <w:p w:rsidR="0044615D" w:rsidRDefault="0044615D" w:rsidP="00672084">
      <w:pPr>
        <w:widowControl w:val="0"/>
        <w:spacing w:before="40" w:line="252" w:lineRule="auto"/>
        <w:ind w:firstLine="709"/>
        <w:jc w:val="both"/>
      </w:pPr>
      <w:r>
        <w:lastRenderedPageBreak/>
        <w:t>- Công đoàn, Đoàn thanh niên Quỹ đã hoạt động theo đúng tôn chỉ của các Tổ chức đoàn thể, đúng pháp luật; đã vận động các đoàn viên tham gia nhiều phong trào do cấp trên tổ chức như: Phong trào đền ơn đáp nghĩa; hỗ trợ người nghèo, trẻ mồ côi, khuyết tật, hỗ trợ khắc phục thiên tai, bão lũ; phong trào thể dục</w:t>
      </w:r>
      <w:r w:rsidR="00DA65DC">
        <w:t>, thể thao… Công đoàn, Đoàn Thanh niên</w:t>
      </w:r>
      <w:r>
        <w:t xml:space="preserve"> đã vận động cán bộ, nhân viên trong Quỹ đóng góp vật chất để xây dựng nhà tình nghĩa cho các gia đình khó khăn tại Thạch Hà, Cẩm Xuyên, Vũ Quang.</w:t>
      </w:r>
    </w:p>
    <w:p w:rsidR="0044615D" w:rsidRDefault="0044615D" w:rsidP="00672084">
      <w:pPr>
        <w:widowControl w:val="0"/>
        <w:spacing w:before="40" w:line="252" w:lineRule="auto"/>
        <w:ind w:firstLine="709"/>
        <w:jc w:val="both"/>
      </w:pPr>
      <w:r>
        <w:t xml:space="preserve">- Tổ chức Công đoàn, Đoàn </w:t>
      </w:r>
      <w:r w:rsidR="00DA65DC">
        <w:t>Thanh niên</w:t>
      </w:r>
      <w:r>
        <w:t xml:space="preserve"> Quỹ Đầu tư phát triển </w:t>
      </w:r>
      <w:r w:rsidR="00DA65DC">
        <w:t xml:space="preserve">Hà Tĩnh </w:t>
      </w:r>
      <w:r>
        <w:t>được Công đoàn viên chức tỉnh và Đoàn khối công nhận là tổ chức trong sạch vững mạnh; năm 2015 được Liên đoàn lao động tỉnh và Liên đoàn lao động Việt Nam tặng thưởng Bằng khen.</w:t>
      </w:r>
    </w:p>
    <w:p w:rsidR="0044615D" w:rsidRDefault="0044615D" w:rsidP="00672084">
      <w:pPr>
        <w:widowControl w:val="0"/>
        <w:spacing w:before="40" w:line="247" w:lineRule="auto"/>
        <w:ind w:firstLine="709"/>
        <w:jc w:val="both"/>
        <w:rPr>
          <w:b/>
        </w:rPr>
      </w:pPr>
      <w:r w:rsidRPr="009F78EC">
        <w:rPr>
          <w:b/>
        </w:rPr>
        <w:t>II.</w:t>
      </w:r>
      <w:r w:rsidR="00A5042E">
        <w:rPr>
          <w:b/>
        </w:rPr>
        <w:t xml:space="preserve"> </w:t>
      </w:r>
      <w:r w:rsidRPr="00236904">
        <w:rPr>
          <w:b/>
        </w:rPr>
        <w:t>K</w:t>
      </w:r>
      <w:r w:rsidRPr="009F78EC">
        <w:rPr>
          <w:b/>
        </w:rPr>
        <w:t xml:space="preserve">ết quả </w:t>
      </w:r>
      <w:r>
        <w:rPr>
          <w:b/>
        </w:rPr>
        <w:t xml:space="preserve">quá trình </w:t>
      </w:r>
      <w:r w:rsidRPr="009F78EC">
        <w:rPr>
          <w:b/>
        </w:rPr>
        <w:t xml:space="preserve">hoạt động </w:t>
      </w:r>
      <w:r>
        <w:rPr>
          <w:b/>
        </w:rPr>
        <w:t xml:space="preserve">và phát triển của Quỹ từ khi thành lập </w:t>
      </w:r>
      <w:r w:rsidRPr="009F78EC">
        <w:rPr>
          <w:b/>
        </w:rPr>
        <w:t xml:space="preserve">đến </w:t>
      </w:r>
      <w:r>
        <w:rPr>
          <w:b/>
        </w:rPr>
        <w:t>nay</w:t>
      </w:r>
    </w:p>
    <w:p w:rsidR="0044615D" w:rsidRDefault="0044615D" w:rsidP="00672084">
      <w:pPr>
        <w:widowControl w:val="0"/>
        <w:spacing w:before="40" w:line="247" w:lineRule="auto"/>
        <w:ind w:firstLine="709"/>
        <w:jc w:val="both"/>
      </w:pPr>
      <w:r>
        <w:t>1. Tình hình nguồn vốn và kết quả hoạt động qua các năm:</w:t>
      </w:r>
    </w:p>
    <w:p w:rsidR="0044615D" w:rsidRDefault="0044615D" w:rsidP="00672084">
      <w:pPr>
        <w:widowControl w:val="0"/>
        <w:spacing w:before="40" w:line="247" w:lineRule="auto"/>
        <w:ind w:firstLine="709"/>
        <w:jc w:val="both"/>
      </w:pPr>
      <w:r>
        <w:t xml:space="preserve">Quỹ nhận bàn giao từ Quỹ Hỗ trợ đầu tư (ủy thác cho Ngân hàng phát triển quản lý) 40 tỷ vốn bằng tiền, còn lại là dư nợ chủ yếu sai đối tượng và quá hạn khó thu hồi. </w:t>
      </w:r>
    </w:p>
    <w:p w:rsidR="0044615D" w:rsidRDefault="0044615D" w:rsidP="00672084">
      <w:pPr>
        <w:widowControl w:val="0"/>
        <w:spacing w:before="40" w:line="247" w:lineRule="auto"/>
        <w:ind w:firstLine="709"/>
        <w:jc w:val="both"/>
      </w:pPr>
      <w:r>
        <w:t>Đến thời điểm hiện nay, tình hình tài chính của Quỹ đã được làm trong sạch; nguồn vốn của Quỹ được bảo toàn và phát triển, Quỹ đã huy động được nguồn vốn tài trợ của Ngân hàng thế giới để đầu tư các dự án phát triển hạ tầng kinh tế - xã hội trên địa bàn tỉnh; các chỉ tiêu về doanh thu, dư nợ cho vay và đầu tư, chênh lệch thu chi liên tục phát triển, năm sau cao hơn năm trước (được thể hiện trong bảng dưới đây).</w:t>
      </w:r>
    </w:p>
    <w:p w:rsidR="0044615D" w:rsidRDefault="00AD6784" w:rsidP="00E91CC9">
      <w:pPr>
        <w:widowControl w:val="0"/>
        <w:spacing w:before="60" w:line="247" w:lineRule="auto"/>
        <w:ind w:firstLine="709"/>
        <w:jc w:val="both"/>
      </w:pPr>
      <w:r>
        <w:rPr>
          <w:b/>
        </w:rPr>
        <w:tab/>
      </w:r>
      <w:r>
        <w:rPr>
          <w:b/>
        </w:rPr>
        <w:tab/>
      </w:r>
      <w:r>
        <w:rPr>
          <w:b/>
        </w:rPr>
        <w:tab/>
      </w:r>
      <w:r>
        <w:rPr>
          <w:b/>
        </w:rPr>
        <w:tab/>
      </w:r>
      <w:r>
        <w:rPr>
          <w:b/>
        </w:rPr>
        <w:tab/>
      </w:r>
      <w:r>
        <w:rPr>
          <w:b/>
        </w:rPr>
        <w:tab/>
      </w:r>
      <w:r>
        <w:rPr>
          <w:b/>
        </w:rPr>
        <w:tab/>
      </w:r>
      <w:r w:rsidR="0044615D" w:rsidRPr="00B143B9">
        <w:t>Đơn vị tính: Triệu đồng</w:t>
      </w:r>
    </w:p>
    <w:p w:rsidR="00DA65DC" w:rsidRPr="00DA65DC" w:rsidRDefault="00DA65DC" w:rsidP="00E91CC9">
      <w:pPr>
        <w:widowControl w:val="0"/>
        <w:spacing w:before="60" w:line="247" w:lineRule="auto"/>
        <w:ind w:firstLine="709"/>
        <w:jc w:val="both"/>
        <w:rPr>
          <w:sz w:val="2"/>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1359"/>
        <w:gridCol w:w="1331"/>
        <w:gridCol w:w="1217"/>
        <w:gridCol w:w="1242"/>
        <w:gridCol w:w="1417"/>
        <w:gridCol w:w="1064"/>
      </w:tblGrid>
      <w:tr w:rsidR="0044615D" w:rsidRPr="00DA65DC" w:rsidTr="00DA65DC">
        <w:trPr>
          <w:trHeight w:val="1378"/>
          <w:jc w:val="center"/>
        </w:trPr>
        <w:tc>
          <w:tcPr>
            <w:tcW w:w="2415" w:type="dxa"/>
            <w:tcBorders>
              <w:top w:val="single" w:sz="4" w:space="0" w:color="auto"/>
              <w:left w:val="single" w:sz="4" w:space="0" w:color="auto"/>
              <w:bottom w:val="single" w:sz="4" w:space="0" w:color="auto"/>
              <w:right w:val="single" w:sz="4" w:space="0" w:color="auto"/>
              <w:tl2br w:val="single" w:sz="4" w:space="0" w:color="auto"/>
            </w:tcBorders>
          </w:tcPr>
          <w:p w:rsidR="00DA65DC" w:rsidRDefault="00A5042E" w:rsidP="00DA65DC">
            <w:pPr>
              <w:widowControl w:val="0"/>
              <w:spacing w:before="60" w:after="60" w:line="276" w:lineRule="auto"/>
              <w:ind w:firstLine="709"/>
              <w:jc w:val="both"/>
              <w:rPr>
                <w:b/>
                <w:sz w:val="24"/>
                <w:szCs w:val="24"/>
              </w:rPr>
            </w:pPr>
            <w:r>
              <w:rPr>
                <w:b/>
                <w:sz w:val="24"/>
                <w:szCs w:val="24"/>
              </w:rPr>
              <w:t xml:space="preserve">    </w:t>
            </w:r>
            <w:r w:rsidR="00DA65DC" w:rsidRPr="00DA65DC">
              <w:rPr>
                <w:b/>
                <w:sz w:val="24"/>
                <w:szCs w:val="24"/>
              </w:rPr>
              <w:t>Năm</w:t>
            </w:r>
            <w:r>
              <w:rPr>
                <w:b/>
                <w:sz w:val="24"/>
                <w:szCs w:val="24"/>
              </w:rPr>
              <w:t xml:space="preserve"> </w:t>
            </w:r>
            <w:r w:rsidR="00DA65DC" w:rsidRPr="00DA65DC">
              <w:rPr>
                <w:b/>
                <w:sz w:val="24"/>
                <w:szCs w:val="24"/>
              </w:rPr>
              <w:t>hoạt</w:t>
            </w:r>
          </w:p>
          <w:p w:rsidR="0044615D" w:rsidRPr="00DA65DC" w:rsidRDefault="00A5042E" w:rsidP="00DA65DC">
            <w:pPr>
              <w:widowControl w:val="0"/>
              <w:spacing w:before="60" w:after="60" w:line="276" w:lineRule="auto"/>
              <w:ind w:firstLine="709"/>
              <w:jc w:val="both"/>
              <w:rPr>
                <w:b/>
                <w:sz w:val="24"/>
                <w:szCs w:val="24"/>
              </w:rPr>
            </w:pPr>
            <w:r>
              <w:rPr>
                <w:b/>
                <w:sz w:val="24"/>
                <w:szCs w:val="24"/>
              </w:rPr>
              <w:t xml:space="preserve">       </w:t>
            </w:r>
            <w:r w:rsidR="0044615D" w:rsidRPr="00DA65DC">
              <w:rPr>
                <w:b/>
                <w:sz w:val="24"/>
                <w:szCs w:val="24"/>
              </w:rPr>
              <w:t>động</w:t>
            </w:r>
          </w:p>
          <w:p w:rsidR="0044615D" w:rsidRPr="00DA65DC" w:rsidRDefault="0044615D" w:rsidP="00DA65DC">
            <w:pPr>
              <w:widowControl w:val="0"/>
              <w:spacing w:before="60" w:after="60" w:line="276" w:lineRule="auto"/>
              <w:ind w:firstLine="709"/>
              <w:jc w:val="both"/>
              <w:rPr>
                <w:b/>
                <w:sz w:val="24"/>
                <w:szCs w:val="24"/>
              </w:rPr>
            </w:pPr>
          </w:p>
          <w:p w:rsidR="0044615D" w:rsidRPr="00DA65DC" w:rsidRDefault="0044615D" w:rsidP="00DA65DC">
            <w:pPr>
              <w:widowControl w:val="0"/>
              <w:spacing w:before="60" w:after="60" w:line="276" w:lineRule="auto"/>
              <w:jc w:val="both"/>
              <w:rPr>
                <w:b/>
                <w:sz w:val="24"/>
                <w:szCs w:val="24"/>
              </w:rPr>
            </w:pPr>
            <w:r w:rsidRPr="00DA65DC">
              <w:rPr>
                <w:b/>
                <w:sz w:val="24"/>
                <w:szCs w:val="24"/>
              </w:rPr>
              <w:t>Các chỉ tiêu</w:t>
            </w:r>
          </w:p>
        </w:tc>
        <w:tc>
          <w:tcPr>
            <w:tcW w:w="1359" w:type="dxa"/>
            <w:tcBorders>
              <w:top w:val="single" w:sz="4" w:space="0" w:color="auto"/>
              <w:left w:val="single" w:sz="4" w:space="0" w:color="auto"/>
              <w:bottom w:val="single" w:sz="4" w:space="0" w:color="auto"/>
              <w:right w:val="single" w:sz="4" w:space="0" w:color="auto"/>
            </w:tcBorders>
            <w:vAlign w:val="center"/>
          </w:tcPr>
          <w:p w:rsidR="0044615D" w:rsidRPr="00DA65DC" w:rsidRDefault="0044615D" w:rsidP="00DA65DC">
            <w:pPr>
              <w:widowControl w:val="0"/>
              <w:spacing w:before="60" w:after="60" w:line="276" w:lineRule="auto"/>
              <w:jc w:val="center"/>
              <w:rPr>
                <w:b/>
                <w:sz w:val="24"/>
                <w:szCs w:val="24"/>
              </w:rPr>
            </w:pPr>
            <w:r w:rsidRPr="00DA65DC">
              <w:rPr>
                <w:b/>
                <w:sz w:val="24"/>
                <w:szCs w:val="24"/>
              </w:rPr>
              <w:t>Nhận bàn giao từ Quỹ HTĐT</w:t>
            </w:r>
          </w:p>
        </w:tc>
        <w:tc>
          <w:tcPr>
            <w:tcW w:w="1331" w:type="dxa"/>
            <w:tcBorders>
              <w:top w:val="single" w:sz="4" w:space="0" w:color="auto"/>
              <w:left w:val="single" w:sz="4" w:space="0" w:color="auto"/>
              <w:bottom w:val="single" w:sz="4" w:space="0" w:color="auto"/>
              <w:right w:val="single" w:sz="4" w:space="0" w:color="auto"/>
            </w:tcBorders>
            <w:vAlign w:val="center"/>
          </w:tcPr>
          <w:p w:rsidR="0044615D" w:rsidRPr="00DA65DC" w:rsidRDefault="0044615D" w:rsidP="00DA65DC">
            <w:pPr>
              <w:widowControl w:val="0"/>
              <w:spacing w:before="60" w:after="60" w:line="276" w:lineRule="auto"/>
              <w:rPr>
                <w:b/>
                <w:sz w:val="24"/>
                <w:szCs w:val="24"/>
              </w:rPr>
            </w:pPr>
            <w:r w:rsidRPr="00DA65DC">
              <w:rPr>
                <w:b/>
                <w:sz w:val="24"/>
                <w:szCs w:val="24"/>
              </w:rPr>
              <w:t>Năm 2012</w:t>
            </w:r>
          </w:p>
        </w:tc>
        <w:tc>
          <w:tcPr>
            <w:tcW w:w="1217" w:type="dxa"/>
            <w:tcBorders>
              <w:top w:val="single" w:sz="4" w:space="0" w:color="auto"/>
              <w:left w:val="single" w:sz="4" w:space="0" w:color="auto"/>
              <w:bottom w:val="single" w:sz="4" w:space="0" w:color="auto"/>
              <w:right w:val="single" w:sz="4" w:space="0" w:color="auto"/>
            </w:tcBorders>
            <w:vAlign w:val="center"/>
          </w:tcPr>
          <w:p w:rsidR="0044615D" w:rsidRPr="00DA65DC" w:rsidRDefault="0044615D" w:rsidP="00DA65DC">
            <w:pPr>
              <w:widowControl w:val="0"/>
              <w:spacing w:before="60" w:after="60" w:line="276" w:lineRule="auto"/>
              <w:ind w:right="-74"/>
              <w:rPr>
                <w:b/>
                <w:sz w:val="24"/>
                <w:szCs w:val="24"/>
              </w:rPr>
            </w:pPr>
            <w:r w:rsidRPr="00DA65DC">
              <w:rPr>
                <w:b/>
                <w:sz w:val="24"/>
                <w:szCs w:val="24"/>
              </w:rPr>
              <w:t xml:space="preserve">Năm </w:t>
            </w:r>
            <w:r w:rsidR="00DA65DC">
              <w:rPr>
                <w:b/>
                <w:sz w:val="24"/>
                <w:szCs w:val="24"/>
              </w:rPr>
              <w:t>2</w:t>
            </w:r>
            <w:r w:rsidRPr="00DA65DC">
              <w:rPr>
                <w:b/>
                <w:sz w:val="24"/>
                <w:szCs w:val="24"/>
              </w:rPr>
              <w:t>013</w:t>
            </w:r>
          </w:p>
        </w:tc>
        <w:tc>
          <w:tcPr>
            <w:tcW w:w="1242" w:type="dxa"/>
            <w:tcBorders>
              <w:top w:val="single" w:sz="4" w:space="0" w:color="auto"/>
              <w:left w:val="single" w:sz="4" w:space="0" w:color="auto"/>
              <w:bottom w:val="single" w:sz="4" w:space="0" w:color="auto"/>
              <w:right w:val="single" w:sz="4" w:space="0" w:color="auto"/>
            </w:tcBorders>
            <w:vAlign w:val="center"/>
          </w:tcPr>
          <w:p w:rsidR="0044615D" w:rsidRPr="00DA65DC" w:rsidRDefault="0044615D" w:rsidP="00DA65DC">
            <w:pPr>
              <w:widowControl w:val="0"/>
              <w:spacing w:before="60" w:after="60" w:line="276" w:lineRule="auto"/>
              <w:ind w:right="-144"/>
              <w:rPr>
                <w:b/>
                <w:sz w:val="24"/>
                <w:szCs w:val="24"/>
              </w:rPr>
            </w:pPr>
            <w:r w:rsidRPr="00DA65DC">
              <w:rPr>
                <w:b/>
                <w:sz w:val="24"/>
                <w:szCs w:val="24"/>
              </w:rPr>
              <w:t xml:space="preserve">Năm </w:t>
            </w:r>
            <w:r w:rsidR="00DA65DC">
              <w:rPr>
                <w:b/>
                <w:sz w:val="24"/>
                <w:szCs w:val="24"/>
              </w:rPr>
              <w:t>2</w:t>
            </w:r>
            <w:r w:rsidRPr="00DA65DC">
              <w:rPr>
                <w:b/>
                <w:sz w:val="24"/>
                <w:szCs w:val="24"/>
              </w:rPr>
              <w:t>014</w:t>
            </w:r>
          </w:p>
        </w:tc>
        <w:tc>
          <w:tcPr>
            <w:tcW w:w="1417" w:type="dxa"/>
            <w:tcBorders>
              <w:top w:val="single" w:sz="4" w:space="0" w:color="auto"/>
              <w:left w:val="single" w:sz="4" w:space="0" w:color="auto"/>
              <w:bottom w:val="single" w:sz="4" w:space="0" w:color="auto"/>
            </w:tcBorders>
            <w:vAlign w:val="center"/>
          </w:tcPr>
          <w:p w:rsidR="0044615D" w:rsidRPr="00DA65DC" w:rsidRDefault="0044615D" w:rsidP="00DA65DC">
            <w:pPr>
              <w:spacing w:before="60" w:after="60" w:line="276" w:lineRule="auto"/>
              <w:rPr>
                <w:b/>
                <w:sz w:val="24"/>
                <w:szCs w:val="24"/>
              </w:rPr>
            </w:pPr>
            <w:r w:rsidRPr="00DA65DC">
              <w:rPr>
                <w:b/>
                <w:sz w:val="24"/>
                <w:szCs w:val="24"/>
              </w:rPr>
              <w:t>Năm 2015</w:t>
            </w:r>
          </w:p>
        </w:tc>
        <w:tc>
          <w:tcPr>
            <w:tcW w:w="1064" w:type="dxa"/>
            <w:vAlign w:val="center"/>
          </w:tcPr>
          <w:p w:rsidR="0044615D" w:rsidRPr="00DA65DC" w:rsidRDefault="0044615D" w:rsidP="00DA65DC">
            <w:pPr>
              <w:widowControl w:val="0"/>
              <w:spacing w:before="60" w:after="60" w:line="276" w:lineRule="auto"/>
              <w:jc w:val="center"/>
              <w:rPr>
                <w:b/>
                <w:sz w:val="24"/>
                <w:szCs w:val="24"/>
              </w:rPr>
            </w:pPr>
            <w:r w:rsidRPr="00DA65DC">
              <w:rPr>
                <w:b/>
                <w:sz w:val="24"/>
                <w:szCs w:val="24"/>
              </w:rPr>
              <w:t xml:space="preserve">9 tháng </w:t>
            </w:r>
            <w:r w:rsidR="00DA65DC">
              <w:rPr>
                <w:b/>
                <w:sz w:val="24"/>
                <w:szCs w:val="24"/>
              </w:rPr>
              <w:t>đầu n</w:t>
            </w:r>
            <w:r w:rsidRPr="00DA65DC">
              <w:rPr>
                <w:b/>
                <w:sz w:val="24"/>
                <w:szCs w:val="24"/>
              </w:rPr>
              <w:t>ăm 2016</w:t>
            </w:r>
          </w:p>
        </w:tc>
      </w:tr>
      <w:tr w:rsidR="0044615D" w:rsidRPr="00DA65DC" w:rsidTr="00DA65DC">
        <w:trPr>
          <w:jc w:val="center"/>
        </w:trPr>
        <w:tc>
          <w:tcPr>
            <w:tcW w:w="2415" w:type="dxa"/>
            <w:tcBorders>
              <w:top w:val="single" w:sz="4" w:space="0" w:color="auto"/>
              <w:bottom w:val="single" w:sz="4" w:space="0" w:color="auto"/>
            </w:tcBorders>
          </w:tcPr>
          <w:p w:rsidR="0044615D" w:rsidRPr="00DA65DC" w:rsidRDefault="0044615D" w:rsidP="00DA65DC">
            <w:pPr>
              <w:widowControl w:val="0"/>
              <w:spacing w:before="60" w:after="60" w:line="276" w:lineRule="auto"/>
              <w:jc w:val="both"/>
              <w:rPr>
                <w:b/>
                <w:sz w:val="24"/>
                <w:szCs w:val="24"/>
              </w:rPr>
            </w:pPr>
            <w:r w:rsidRPr="00DA65DC">
              <w:rPr>
                <w:b/>
                <w:sz w:val="24"/>
                <w:szCs w:val="24"/>
              </w:rPr>
              <w:t>1. Vốn hoạt động</w:t>
            </w:r>
          </w:p>
        </w:tc>
        <w:tc>
          <w:tcPr>
            <w:tcW w:w="1359"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161.000</w:t>
            </w:r>
          </w:p>
        </w:tc>
        <w:tc>
          <w:tcPr>
            <w:tcW w:w="1331"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171.567</w:t>
            </w:r>
          </w:p>
        </w:tc>
        <w:tc>
          <w:tcPr>
            <w:tcW w:w="12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113.141</w:t>
            </w:r>
          </w:p>
        </w:tc>
        <w:tc>
          <w:tcPr>
            <w:tcW w:w="1242"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177.970</w:t>
            </w:r>
          </w:p>
        </w:tc>
        <w:tc>
          <w:tcPr>
            <w:tcW w:w="14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320.494</w:t>
            </w:r>
          </w:p>
        </w:tc>
        <w:tc>
          <w:tcPr>
            <w:tcW w:w="1064" w:type="dxa"/>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409.271</w:t>
            </w:r>
          </w:p>
        </w:tc>
      </w:tr>
      <w:tr w:rsidR="0044615D" w:rsidRPr="00DA65DC" w:rsidTr="00DA65DC">
        <w:trPr>
          <w:jc w:val="center"/>
        </w:trPr>
        <w:tc>
          <w:tcPr>
            <w:tcW w:w="2415" w:type="dxa"/>
            <w:tcBorders>
              <w:top w:val="single" w:sz="4" w:space="0" w:color="auto"/>
              <w:bottom w:val="single" w:sz="4" w:space="0" w:color="auto"/>
            </w:tcBorders>
          </w:tcPr>
          <w:p w:rsidR="0044615D" w:rsidRPr="00DA65DC" w:rsidRDefault="0044615D" w:rsidP="00DA65DC">
            <w:pPr>
              <w:widowControl w:val="0"/>
              <w:spacing w:before="60" w:after="60" w:line="276" w:lineRule="auto"/>
              <w:jc w:val="both"/>
              <w:rPr>
                <w:sz w:val="24"/>
                <w:szCs w:val="24"/>
              </w:rPr>
            </w:pPr>
            <w:r w:rsidRPr="00DA65DC">
              <w:rPr>
                <w:sz w:val="24"/>
                <w:szCs w:val="24"/>
              </w:rPr>
              <w:t xml:space="preserve">- Vốn điều lệ </w:t>
            </w:r>
          </w:p>
        </w:tc>
        <w:tc>
          <w:tcPr>
            <w:tcW w:w="1359"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135.000</w:t>
            </w:r>
          </w:p>
        </w:tc>
        <w:tc>
          <w:tcPr>
            <w:tcW w:w="1331"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145.000</w:t>
            </w:r>
          </w:p>
        </w:tc>
        <w:tc>
          <w:tcPr>
            <w:tcW w:w="12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109.304</w:t>
            </w:r>
          </w:p>
        </w:tc>
        <w:tc>
          <w:tcPr>
            <w:tcW w:w="1242"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139.304</w:t>
            </w:r>
          </w:p>
        </w:tc>
        <w:tc>
          <w:tcPr>
            <w:tcW w:w="14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139.304</w:t>
            </w:r>
          </w:p>
        </w:tc>
        <w:tc>
          <w:tcPr>
            <w:tcW w:w="1064" w:type="dxa"/>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139.304</w:t>
            </w:r>
          </w:p>
        </w:tc>
      </w:tr>
      <w:tr w:rsidR="0044615D" w:rsidRPr="00DA65DC" w:rsidTr="00DA65DC">
        <w:trPr>
          <w:jc w:val="center"/>
        </w:trPr>
        <w:tc>
          <w:tcPr>
            <w:tcW w:w="2415" w:type="dxa"/>
            <w:tcBorders>
              <w:top w:val="single" w:sz="4" w:space="0" w:color="auto"/>
              <w:bottom w:val="single" w:sz="4" w:space="0" w:color="auto"/>
            </w:tcBorders>
          </w:tcPr>
          <w:p w:rsidR="0044615D" w:rsidRPr="00DA65DC" w:rsidRDefault="0044615D" w:rsidP="00DA65DC">
            <w:pPr>
              <w:widowControl w:val="0"/>
              <w:spacing w:before="60" w:after="60" w:line="276" w:lineRule="auto"/>
              <w:jc w:val="both"/>
              <w:rPr>
                <w:sz w:val="24"/>
                <w:szCs w:val="24"/>
              </w:rPr>
            </w:pPr>
            <w:r w:rsidRPr="00DA65DC">
              <w:rPr>
                <w:sz w:val="24"/>
                <w:szCs w:val="24"/>
              </w:rPr>
              <w:t>- Vốn khác của chủ sở hữu</w:t>
            </w:r>
          </w:p>
        </w:tc>
        <w:tc>
          <w:tcPr>
            <w:tcW w:w="1359"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26.000</w:t>
            </w:r>
          </w:p>
        </w:tc>
        <w:tc>
          <w:tcPr>
            <w:tcW w:w="1331"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26.567</w:t>
            </w:r>
          </w:p>
        </w:tc>
        <w:tc>
          <w:tcPr>
            <w:tcW w:w="12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3.837</w:t>
            </w:r>
          </w:p>
        </w:tc>
        <w:tc>
          <w:tcPr>
            <w:tcW w:w="1242"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9.666</w:t>
            </w:r>
          </w:p>
        </w:tc>
        <w:tc>
          <w:tcPr>
            <w:tcW w:w="14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16.514</w:t>
            </w:r>
          </w:p>
        </w:tc>
        <w:tc>
          <w:tcPr>
            <w:tcW w:w="1064" w:type="dxa"/>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27.237</w:t>
            </w:r>
          </w:p>
        </w:tc>
      </w:tr>
      <w:tr w:rsidR="0044615D" w:rsidRPr="00DA65DC" w:rsidTr="00DA65DC">
        <w:trPr>
          <w:jc w:val="center"/>
        </w:trPr>
        <w:tc>
          <w:tcPr>
            <w:tcW w:w="2415" w:type="dxa"/>
            <w:tcBorders>
              <w:top w:val="single" w:sz="4" w:space="0" w:color="auto"/>
              <w:bottom w:val="single" w:sz="4" w:space="0" w:color="auto"/>
            </w:tcBorders>
          </w:tcPr>
          <w:p w:rsidR="0044615D" w:rsidRPr="00DA65DC" w:rsidRDefault="0044615D" w:rsidP="00DA65DC">
            <w:pPr>
              <w:widowControl w:val="0"/>
              <w:spacing w:before="60" w:after="60" w:line="276" w:lineRule="auto"/>
              <w:jc w:val="both"/>
              <w:rPr>
                <w:sz w:val="24"/>
                <w:szCs w:val="24"/>
              </w:rPr>
            </w:pPr>
            <w:r w:rsidRPr="00DA65DC">
              <w:rPr>
                <w:sz w:val="24"/>
                <w:szCs w:val="24"/>
              </w:rPr>
              <w:t>- Vốn huy động</w:t>
            </w:r>
          </w:p>
        </w:tc>
        <w:tc>
          <w:tcPr>
            <w:tcW w:w="1359"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0</w:t>
            </w:r>
          </w:p>
        </w:tc>
        <w:tc>
          <w:tcPr>
            <w:tcW w:w="1331"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0</w:t>
            </w:r>
          </w:p>
        </w:tc>
        <w:tc>
          <w:tcPr>
            <w:tcW w:w="12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0</w:t>
            </w:r>
          </w:p>
        </w:tc>
        <w:tc>
          <w:tcPr>
            <w:tcW w:w="1242"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29.000</w:t>
            </w:r>
          </w:p>
        </w:tc>
        <w:tc>
          <w:tcPr>
            <w:tcW w:w="14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164.676</w:t>
            </w:r>
          </w:p>
        </w:tc>
        <w:tc>
          <w:tcPr>
            <w:tcW w:w="1064" w:type="dxa"/>
            <w:vAlign w:val="center"/>
          </w:tcPr>
          <w:p w:rsidR="0044615D" w:rsidRPr="00DA65DC" w:rsidRDefault="0044615D" w:rsidP="00DA65DC">
            <w:pPr>
              <w:widowControl w:val="0"/>
              <w:spacing w:before="60" w:after="60" w:line="276" w:lineRule="auto"/>
              <w:jc w:val="right"/>
              <w:rPr>
                <w:sz w:val="24"/>
                <w:szCs w:val="24"/>
              </w:rPr>
            </w:pPr>
            <w:r w:rsidRPr="00DA65DC">
              <w:rPr>
                <w:sz w:val="24"/>
                <w:szCs w:val="24"/>
              </w:rPr>
              <w:t>242.730</w:t>
            </w:r>
          </w:p>
        </w:tc>
      </w:tr>
      <w:tr w:rsidR="0044615D" w:rsidRPr="00DA65DC" w:rsidTr="00DA65DC">
        <w:trPr>
          <w:jc w:val="center"/>
        </w:trPr>
        <w:tc>
          <w:tcPr>
            <w:tcW w:w="2415" w:type="dxa"/>
            <w:tcBorders>
              <w:top w:val="single" w:sz="4" w:space="0" w:color="auto"/>
              <w:bottom w:val="single" w:sz="4" w:space="0" w:color="auto"/>
            </w:tcBorders>
          </w:tcPr>
          <w:p w:rsidR="0044615D" w:rsidRPr="00DA65DC" w:rsidRDefault="0044615D" w:rsidP="00DA65DC">
            <w:pPr>
              <w:widowControl w:val="0"/>
              <w:spacing w:before="60" w:after="60" w:line="276" w:lineRule="auto"/>
              <w:jc w:val="both"/>
              <w:rPr>
                <w:b/>
                <w:sz w:val="24"/>
                <w:szCs w:val="24"/>
              </w:rPr>
            </w:pPr>
            <w:r w:rsidRPr="00DA65DC">
              <w:rPr>
                <w:b/>
                <w:sz w:val="24"/>
                <w:szCs w:val="24"/>
              </w:rPr>
              <w:t>2. Dư nợ cho vay</w:t>
            </w:r>
          </w:p>
        </w:tc>
        <w:tc>
          <w:tcPr>
            <w:tcW w:w="1359"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121.041</w:t>
            </w:r>
          </w:p>
        </w:tc>
        <w:tc>
          <w:tcPr>
            <w:tcW w:w="1331"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117.561</w:t>
            </w:r>
          </w:p>
        </w:tc>
        <w:tc>
          <w:tcPr>
            <w:tcW w:w="12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0</w:t>
            </w:r>
          </w:p>
        </w:tc>
        <w:tc>
          <w:tcPr>
            <w:tcW w:w="1242"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69.432</w:t>
            </w:r>
          </w:p>
        </w:tc>
        <w:tc>
          <w:tcPr>
            <w:tcW w:w="14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194.015</w:t>
            </w:r>
          </w:p>
        </w:tc>
        <w:tc>
          <w:tcPr>
            <w:tcW w:w="1064" w:type="dxa"/>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254.065</w:t>
            </w:r>
          </w:p>
        </w:tc>
      </w:tr>
      <w:tr w:rsidR="0044615D" w:rsidRPr="00DA65DC" w:rsidTr="00DA65DC">
        <w:trPr>
          <w:jc w:val="center"/>
        </w:trPr>
        <w:tc>
          <w:tcPr>
            <w:tcW w:w="2415" w:type="dxa"/>
            <w:tcBorders>
              <w:top w:val="single" w:sz="4" w:space="0" w:color="auto"/>
              <w:bottom w:val="single" w:sz="4" w:space="0" w:color="auto"/>
            </w:tcBorders>
          </w:tcPr>
          <w:p w:rsidR="0044615D" w:rsidRPr="00DA65DC" w:rsidRDefault="0044615D" w:rsidP="00DA65DC">
            <w:pPr>
              <w:widowControl w:val="0"/>
              <w:spacing w:before="60" w:after="60" w:line="276" w:lineRule="auto"/>
              <w:jc w:val="both"/>
              <w:rPr>
                <w:i/>
                <w:sz w:val="24"/>
                <w:szCs w:val="24"/>
              </w:rPr>
            </w:pPr>
            <w:r w:rsidRPr="00DA65DC">
              <w:rPr>
                <w:i/>
                <w:sz w:val="24"/>
                <w:szCs w:val="24"/>
              </w:rPr>
              <w:t xml:space="preserve">Tr. đó: nợ xấu </w:t>
            </w:r>
          </w:p>
        </w:tc>
        <w:tc>
          <w:tcPr>
            <w:tcW w:w="1359"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i/>
                <w:sz w:val="24"/>
                <w:szCs w:val="24"/>
              </w:rPr>
            </w:pPr>
            <w:r w:rsidRPr="00DA65DC">
              <w:rPr>
                <w:i/>
                <w:sz w:val="24"/>
                <w:szCs w:val="24"/>
              </w:rPr>
              <w:t>96.041</w:t>
            </w:r>
          </w:p>
        </w:tc>
        <w:tc>
          <w:tcPr>
            <w:tcW w:w="1331"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i/>
                <w:sz w:val="24"/>
                <w:szCs w:val="24"/>
              </w:rPr>
            </w:pPr>
            <w:r w:rsidRPr="00DA65DC">
              <w:rPr>
                <w:i/>
                <w:sz w:val="24"/>
                <w:szCs w:val="24"/>
              </w:rPr>
              <w:t>92.561</w:t>
            </w:r>
          </w:p>
        </w:tc>
        <w:tc>
          <w:tcPr>
            <w:tcW w:w="12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i/>
                <w:sz w:val="24"/>
                <w:szCs w:val="24"/>
              </w:rPr>
            </w:pPr>
            <w:r w:rsidRPr="00DA65DC">
              <w:rPr>
                <w:i/>
                <w:sz w:val="24"/>
                <w:szCs w:val="24"/>
              </w:rPr>
              <w:t>0</w:t>
            </w:r>
          </w:p>
        </w:tc>
        <w:tc>
          <w:tcPr>
            <w:tcW w:w="1242"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i/>
                <w:sz w:val="24"/>
                <w:szCs w:val="24"/>
              </w:rPr>
            </w:pPr>
            <w:r w:rsidRPr="00DA65DC">
              <w:rPr>
                <w:i/>
                <w:sz w:val="24"/>
                <w:szCs w:val="24"/>
              </w:rPr>
              <w:t>0</w:t>
            </w:r>
          </w:p>
        </w:tc>
        <w:tc>
          <w:tcPr>
            <w:tcW w:w="14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i/>
                <w:sz w:val="24"/>
                <w:szCs w:val="24"/>
              </w:rPr>
            </w:pPr>
            <w:r w:rsidRPr="00DA65DC">
              <w:rPr>
                <w:i/>
                <w:sz w:val="24"/>
                <w:szCs w:val="24"/>
              </w:rPr>
              <w:t>0</w:t>
            </w:r>
          </w:p>
        </w:tc>
        <w:tc>
          <w:tcPr>
            <w:tcW w:w="1064" w:type="dxa"/>
            <w:vAlign w:val="center"/>
          </w:tcPr>
          <w:p w:rsidR="0044615D" w:rsidRPr="00DA65DC" w:rsidRDefault="0044615D" w:rsidP="00DA65DC">
            <w:pPr>
              <w:widowControl w:val="0"/>
              <w:spacing w:before="60" w:after="60" w:line="276" w:lineRule="auto"/>
              <w:jc w:val="right"/>
              <w:rPr>
                <w:i/>
                <w:sz w:val="24"/>
                <w:szCs w:val="24"/>
              </w:rPr>
            </w:pPr>
            <w:r w:rsidRPr="00DA65DC">
              <w:rPr>
                <w:i/>
                <w:sz w:val="24"/>
                <w:szCs w:val="24"/>
              </w:rPr>
              <w:t>7.000</w:t>
            </w:r>
          </w:p>
        </w:tc>
      </w:tr>
      <w:tr w:rsidR="0044615D" w:rsidRPr="00DA65DC" w:rsidTr="00DA65DC">
        <w:trPr>
          <w:jc w:val="center"/>
        </w:trPr>
        <w:tc>
          <w:tcPr>
            <w:tcW w:w="2415" w:type="dxa"/>
            <w:tcBorders>
              <w:top w:val="single" w:sz="4" w:space="0" w:color="auto"/>
              <w:bottom w:val="single" w:sz="4" w:space="0" w:color="auto"/>
            </w:tcBorders>
          </w:tcPr>
          <w:p w:rsidR="0044615D" w:rsidRPr="00DA65DC" w:rsidRDefault="0044615D" w:rsidP="00DA65DC">
            <w:pPr>
              <w:widowControl w:val="0"/>
              <w:spacing w:before="60" w:after="60" w:line="276" w:lineRule="auto"/>
              <w:jc w:val="both"/>
              <w:rPr>
                <w:b/>
                <w:sz w:val="24"/>
                <w:szCs w:val="24"/>
              </w:rPr>
            </w:pPr>
            <w:r w:rsidRPr="00DA65DC">
              <w:rPr>
                <w:b/>
                <w:sz w:val="24"/>
                <w:szCs w:val="24"/>
              </w:rPr>
              <w:t>3. Số dư đầu tư</w:t>
            </w:r>
          </w:p>
        </w:tc>
        <w:tc>
          <w:tcPr>
            <w:tcW w:w="1359"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0</w:t>
            </w:r>
          </w:p>
        </w:tc>
        <w:tc>
          <w:tcPr>
            <w:tcW w:w="1331"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0</w:t>
            </w:r>
          </w:p>
        </w:tc>
        <w:tc>
          <w:tcPr>
            <w:tcW w:w="12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4.260</w:t>
            </w:r>
          </w:p>
        </w:tc>
        <w:tc>
          <w:tcPr>
            <w:tcW w:w="1242"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13.185</w:t>
            </w:r>
          </w:p>
        </w:tc>
        <w:tc>
          <w:tcPr>
            <w:tcW w:w="14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13.185</w:t>
            </w:r>
          </w:p>
        </w:tc>
        <w:tc>
          <w:tcPr>
            <w:tcW w:w="1064" w:type="dxa"/>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13.185</w:t>
            </w:r>
          </w:p>
        </w:tc>
      </w:tr>
      <w:tr w:rsidR="0044615D" w:rsidRPr="00DA65DC" w:rsidTr="00DA65DC">
        <w:trPr>
          <w:jc w:val="center"/>
        </w:trPr>
        <w:tc>
          <w:tcPr>
            <w:tcW w:w="2415" w:type="dxa"/>
            <w:tcBorders>
              <w:top w:val="single" w:sz="4" w:space="0" w:color="auto"/>
              <w:bottom w:val="single" w:sz="4" w:space="0" w:color="auto"/>
            </w:tcBorders>
          </w:tcPr>
          <w:p w:rsidR="0044615D" w:rsidRPr="00DA65DC" w:rsidRDefault="0044615D" w:rsidP="00DA65DC">
            <w:pPr>
              <w:widowControl w:val="0"/>
              <w:spacing w:before="60" w:after="60" w:line="276" w:lineRule="auto"/>
              <w:jc w:val="both"/>
              <w:rPr>
                <w:b/>
                <w:sz w:val="24"/>
                <w:szCs w:val="24"/>
              </w:rPr>
            </w:pPr>
            <w:r w:rsidRPr="00DA65DC">
              <w:rPr>
                <w:b/>
                <w:sz w:val="24"/>
                <w:szCs w:val="24"/>
              </w:rPr>
              <w:t xml:space="preserve">4. Doanh thu </w:t>
            </w:r>
          </w:p>
        </w:tc>
        <w:tc>
          <w:tcPr>
            <w:tcW w:w="1359"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p>
        </w:tc>
        <w:tc>
          <w:tcPr>
            <w:tcW w:w="1331"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5.259</w:t>
            </w:r>
          </w:p>
        </w:tc>
        <w:tc>
          <w:tcPr>
            <w:tcW w:w="12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13.365</w:t>
            </w:r>
          </w:p>
        </w:tc>
        <w:tc>
          <w:tcPr>
            <w:tcW w:w="1242"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22.964</w:t>
            </w:r>
          </w:p>
        </w:tc>
        <w:tc>
          <w:tcPr>
            <w:tcW w:w="14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27.990</w:t>
            </w:r>
          </w:p>
        </w:tc>
        <w:tc>
          <w:tcPr>
            <w:tcW w:w="1064" w:type="dxa"/>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23.694</w:t>
            </w:r>
          </w:p>
        </w:tc>
      </w:tr>
      <w:tr w:rsidR="0044615D" w:rsidRPr="00DA65DC" w:rsidTr="00DA65DC">
        <w:trPr>
          <w:trHeight w:val="640"/>
          <w:jc w:val="center"/>
        </w:trPr>
        <w:tc>
          <w:tcPr>
            <w:tcW w:w="2415" w:type="dxa"/>
            <w:tcBorders>
              <w:top w:val="single" w:sz="4" w:space="0" w:color="auto"/>
              <w:bottom w:val="single" w:sz="4" w:space="0" w:color="auto"/>
            </w:tcBorders>
          </w:tcPr>
          <w:p w:rsidR="0044615D" w:rsidRPr="00DA65DC" w:rsidRDefault="0044615D" w:rsidP="00DA65DC">
            <w:pPr>
              <w:widowControl w:val="0"/>
              <w:spacing w:before="60" w:after="60" w:line="276" w:lineRule="auto"/>
              <w:jc w:val="both"/>
              <w:rPr>
                <w:b/>
                <w:sz w:val="24"/>
                <w:szCs w:val="24"/>
              </w:rPr>
            </w:pPr>
            <w:r w:rsidRPr="00DA65DC">
              <w:rPr>
                <w:b/>
                <w:sz w:val="24"/>
                <w:szCs w:val="24"/>
              </w:rPr>
              <w:t xml:space="preserve">5. Chênh lệch thu chi </w:t>
            </w:r>
          </w:p>
        </w:tc>
        <w:tc>
          <w:tcPr>
            <w:tcW w:w="1359"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0</w:t>
            </w:r>
          </w:p>
        </w:tc>
        <w:tc>
          <w:tcPr>
            <w:tcW w:w="1331"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528</w:t>
            </w:r>
          </w:p>
        </w:tc>
        <w:tc>
          <w:tcPr>
            <w:tcW w:w="12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5.135</w:t>
            </w:r>
          </w:p>
        </w:tc>
        <w:tc>
          <w:tcPr>
            <w:tcW w:w="1242"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7.280</w:t>
            </w:r>
          </w:p>
        </w:tc>
        <w:tc>
          <w:tcPr>
            <w:tcW w:w="1417" w:type="dxa"/>
            <w:tcBorders>
              <w:top w:val="single" w:sz="4" w:space="0" w:color="auto"/>
              <w:bottom w:val="single" w:sz="4" w:space="0" w:color="auto"/>
            </w:tcBorders>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8.207</w:t>
            </w:r>
          </w:p>
        </w:tc>
        <w:tc>
          <w:tcPr>
            <w:tcW w:w="1064" w:type="dxa"/>
            <w:vAlign w:val="center"/>
          </w:tcPr>
          <w:p w:rsidR="0044615D" w:rsidRPr="00DA65DC" w:rsidRDefault="0044615D" w:rsidP="00DA65DC">
            <w:pPr>
              <w:widowControl w:val="0"/>
              <w:spacing w:before="60" w:after="60" w:line="276" w:lineRule="auto"/>
              <w:jc w:val="right"/>
              <w:rPr>
                <w:b/>
                <w:sz w:val="24"/>
                <w:szCs w:val="24"/>
              </w:rPr>
            </w:pPr>
            <w:r w:rsidRPr="00DA65DC">
              <w:rPr>
                <w:b/>
                <w:sz w:val="24"/>
                <w:szCs w:val="24"/>
              </w:rPr>
              <w:t>8.823</w:t>
            </w:r>
          </w:p>
        </w:tc>
      </w:tr>
    </w:tbl>
    <w:p w:rsidR="0044615D" w:rsidRPr="00C15010" w:rsidRDefault="0044615D" w:rsidP="00DA65DC">
      <w:pPr>
        <w:widowControl w:val="0"/>
        <w:spacing w:after="40"/>
        <w:ind w:firstLine="709"/>
        <w:jc w:val="both"/>
        <w:rPr>
          <w:b/>
        </w:rPr>
      </w:pPr>
      <w:r w:rsidRPr="00DA65DC">
        <w:rPr>
          <w:b/>
        </w:rPr>
        <w:lastRenderedPageBreak/>
        <w:t>Thuyết minh về tăng, giảm vốn điều lệ</w:t>
      </w:r>
      <w:r w:rsidRPr="00C15010">
        <w:rPr>
          <w:b/>
        </w:rPr>
        <w:t xml:space="preserve">:  </w:t>
      </w:r>
    </w:p>
    <w:p w:rsidR="0044615D" w:rsidRDefault="0044615D" w:rsidP="00DA65DC">
      <w:pPr>
        <w:widowControl w:val="0"/>
        <w:spacing w:after="40"/>
        <w:ind w:firstLine="709"/>
        <w:jc w:val="both"/>
      </w:pPr>
      <w:r>
        <w:t>- Vốn điều lệ theo Quyết định thành lập 200 tỷ đồng; vốn điều lệ thực có 135 tỷ đồng (chuyển từ Quỹ Hỗ trợ đầu tư); năm 2012, ngân sách tỉnh cấp bổ sung 10 tỷ đồng.</w:t>
      </w:r>
    </w:p>
    <w:p w:rsidR="0044615D" w:rsidRDefault="0044615D" w:rsidP="00DA65DC">
      <w:pPr>
        <w:widowControl w:val="0"/>
        <w:spacing w:after="40"/>
        <w:ind w:firstLine="709"/>
        <w:jc w:val="both"/>
      </w:pPr>
      <w:r>
        <w:t xml:space="preserve">- </w:t>
      </w:r>
      <w:r w:rsidRPr="00C15010">
        <w:t>Năm 2013,</w:t>
      </w:r>
      <w:r>
        <w:t xml:space="preserve"> vốn điều lệ giảm 35.696 triệu đồng, trong đó:</w:t>
      </w:r>
    </w:p>
    <w:p w:rsidR="0044615D" w:rsidRDefault="0044615D" w:rsidP="00DA65DC">
      <w:pPr>
        <w:widowControl w:val="0"/>
        <w:spacing w:after="40"/>
        <w:ind w:firstLine="709"/>
        <w:jc w:val="both"/>
      </w:pPr>
      <w:r>
        <w:t>+ Tăng: 45.046 triệu đồng;</w:t>
      </w:r>
    </w:p>
    <w:p w:rsidR="0044615D" w:rsidRDefault="0044615D" w:rsidP="00DA65DC">
      <w:pPr>
        <w:widowControl w:val="0"/>
        <w:spacing w:after="40"/>
        <w:ind w:firstLine="709"/>
        <w:jc w:val="both"/>
      </w:pPr>
      <w:r>
        <w:t xml:space="preserve">+ Giảm: 80.742 triệu </w:t>
      </w:r>
      <w:r w:rsidRPr="00C15010">
        <w:t>đồng</w:t>
      </w:r>
      <w:r>
        <w:t xml:space="preserve">. </w:t>
      </w:r>
    </w:p>
    <w:p w:rsidR="0044615D" w:rsidRDefault="0044615D" w:rsidP="00DA65DC">
      <w:pPr>
        <w:widowControl w:val="0"/>
        <w:spacing w:after="40"/>
        <w:ind w:firstLine="709"/>
        <w:jc w:val="both"/>
      </w:pPr>
      <w:r>
        <w:t>Nguyên nhân:</w:t>
      </w:r>
      <w:r w:rsidR="006D01C7">
        <w:t xml:space="preserve"> </w:t>
      </w:r>
      <w:r w:rsidR="00DA65DC">
        <w:t>Đ</w:t>
      </w:r>
      <w:r w:rsidRPr="00C15010">
        <w:t>ể Q</w:t>
      </w:r>
      <w:r>
        <w:t>uỹ hoạt động theo đúng quy định,</w:t>
      </w:r>
      <w:r w:rsidRPr="00C15010">
        <w:t xml:space="preserve"> có hiệu quả</w:t>
      </w:r>
      <w:r>
        <w:t xml:space="preserve"> và bảo đảm các tiêu chí của Ngân hàng thế giới </w:t>
      </w:r>
      <w:r w:rsidR="00DA65DC">
        <w:t xml:space="preserve">(WB) </w:t>
      </w:r>
      <w:r>
        <w:t xml:space="preserve">để huy động nguồn vốn </w:t>
      </w:r>
      <w:r w:rsidR="00DA65DC">
        <w:t xml:space="preserve">Ngân hàng thế giới (WB) </w:t>
      </w:r>
      <w:r>
        <w:t>đầu tư các dự án</w:t>
      </w:r>
      <w:r w:rsidRPr="00C15010">
        <w:t>, UBND tỉnh đã</w:t>
      </w:r>
      <w:r w:rsidR="00A5042E">
        <w:t xml:space="preserve"> </w:t>
      </w:r>
      <w:r w:rsidRPr="00C15010">
        <w:t xml:space="preserve">ban hành Quyết định số 1876/QĐ-UBND ngày 25/6/2013 xóa nợ cho 24 dự án; chuyển dư nợ 20 dự án không đúng đối tượng ra khỏi vốn </w:t>
      </w:r>
      <w:r>
        <w:t>chủ sở hữu</w:t>
      </w:r>
      <w:r w:rsidRPr="00C15010">
        <w:t xml:space="preserve"> và chuyển sang hình thức ủy thác thu; chuyển vay sang cấp cho Hội Liên hiệp Phụ nữ tỉnh 1 tỷ đồng và Chi nhánh Ngân hàng Chính sách xã hội tỉnh 1 tỷ đồng để các đơn vị bổ sung nguồn vốn thực hiện cho vay xóa đói giảm nghèo trên địa bàn. Do vậy</w:t>
      </w:r>
      <w:r>
        <w:t xml:space="preserve">, vốn điều lệ giảm 80.742 triệu </w:t>
      </w:r>
      <w:r w:rsidRPr="00C15010">
        <w:t>đồng; vốn chủ sở hữu giảm 107.309</w:t>
      </w:r>
      <w:r>
        <w:t xml:space="preserve"> triệu</w:t>
      </w:r>
      <w:r w:rsidRPr="00C15010">
        <w:t xml:space="preserve"> đồng;</w:t>
      </w:r>
      <w:r w:rsidR="006D01C7">
        <w:t xml:space="preserve"> </w:t>
      </w:r>
      <w:r w:rsidRPr="00C15010">
        <w:t>đồng thời ngân sách tỉnh cấp bổ sung vốn điều lệ 45.046</w:t>
      </w:r>
      <w:r>
        <w:t xml:space="preserve"> triệu</w:t>
      </w:r>
      <w:r w:rsidRPr="00C15010">
        <w:t xml:space="preserve"> đồng</w:t>
      </w:r>
      <w:r>
        <w:t xml:space="preserve"> (trong đó sử dụng dự phòng rủi ro để bổ sung 18.046 triệu đồng), </w:t>
      </w:r>
    </w:p>
    <w:p w:rsidR="0044615D" w:rsidRDefault="0044615D" w:rsidP="00DA65DC">
      <w:pPr>
        <w:widowControl w:val="0"/>
        <w:spacing w:after="40"/>
        <w:ind w:firstLine="709"/>
        <w:jc w:val="both"/>
      </w:pPr>
      <w:r>
        <w:t>- Năm 2014, vốn điều lệ tăng 30 tỷ (do ngân sách tỉnh cấp bổ sung).</w:t>
      </w:r>
    </w:p>
    <w:p w:rsidR="0044615D" w:rsidRDefault="0044615D" w:rsidP="00DA65DC">
      <w:pPr>
        <w:widowControl w:val="0"/>
        <w:spacing w:after="40"/>
        <w:ind w:firstLine="709"/>
        <w:jc w:val="both"/>
      </w:pPr>
      <w:r>
        <w:t>2. Việc tuân thủ các quy định của pháp luật:</w:t>
      </w:r>
    </w:p>
    <w:p w:rsidR="0044615D" w:rsidRDefault="0044615D" w:rsidP="00DA65DC">
      <w:pPr>
        <w:widowControl w:val="0"/>
        <w:spacing w:after="40"/>
        <w:ind w:firstLine="709"/>
        <w:jc w:val="both"/>
      </w:pPr>
      <w:r>
        <w:t>2.1. Về ban hành các văn bản pháp lý: Quỹ đã kịp thời sửa đổi, bổ sung Điều lệ tổ chức và hoạt động theo quy định tại Nghị định 37/2013/NĐ-CP; ban hành tương đối đầy đủ Quy trình, Quy chế hoạt động nghiệp vụ của Quỹ.</w:t>
      </w:r>
    </w:p>
    <w:p w:rsidR="0044615D" w:rsidRDefault="0044615D" w:rsidP="00DA65DC">
      <w:pPr>
        <w:widowControl w:val="0"/>
        <w:spacing w:after="40"/>
        <w:ind w:firstLine="709"/>
        <w:jc w:val="both"/>
      </w:pPr>
      <w:r>
        <w:t xml:space="preserve">2.2. Về hoạt động: Quỹ thực hiện các chức năng, nhiệm vụ theo đúng quy định của Chính phủ, của Điều lệ Quỹ và các quy </w:t>
      </w:r>
      <w:r w:rsidR="00DA65DC">
        <w:t>định của pháp luật có liên quan,</w:t>
      </w:r>
      <w:r w:rsidR="006D01C7">
        <w:t xml:space="preserve"> </w:t>
      </w:r>
      <w:r w:rsidR="00DA65DC">
        <w:t>c</w:t>
      </w:r>
      <w:r>
        <w:t>ụ thể:</w:t>
      </w:r>
    </w:p>
    <w:p w:rsidR="0044615D" w:rsidRDefault="0044615D" w:rsidP="00DA65DC">
      <w:pPr>
        <w:widowControl w:val="0"/>
        <w:spacing w:after="40"/>
        <w:ind w:firstLine="709"/>
        <w:jc w:val="both"/>
      </w:pPr>
      <w:r>
        <w:t xml:space="preserve">- Về quản lý tài chính: Quỹ tổ chức kế toán tuân thủ Luật kế toán; theo dõi, hạch toán các nghiệp vụ kinh tế phát sinh theo đúng chế độ kế toán hiện hành; thực hiện chế độ báo cáo đầy đủ, kịp thời. </w:t>
      </w:r>
    </w:p>
    <w:p w:rsidR="0044615D" w:rsidRDefault="0044615D" w:rsidP="00DA65DC">
      <w:pPr>
        <w:widowControl w:val="0"/>
        <w:spacing w:after="40"/>
        <w:ind w:firstLine="709"/>
        <w:jc w:val="both"/>
        <w:rPr>
          <w:spacing w:val="-6"/>
        </w:rPr>
      </w:pPr>
      <w:r>
        <w:t xml:space="preserve">- Về cho vay và đầu tư: Quỹ thực hiện cho vay bảo đảm đúng đối tượng, theo mức lãi suất của UBND tỉnh quyết định; các dự án Quỹ cho vay đều bảo đảm tỷ lệ vốn tự có, tài sản bảo đảm, chủ đầu tư có năng lực về tài chính và quản lý điều hành. </w:t>
      </w:r>
      <w:r>
        <w:rPr>
          <w:spacing w:val="-6"/>
        </w:rPr>
        <w:t>Hàng quý</w:t>
      </w:r>
      <w:r w:rsidR="00DA65DC">
        <w:rPr>
          <w:spacing w:val="-6"/>
        </w:rPr>
        <w:t>,</w:t>
      </w:r>
      <w:r>
        <w:rPr>
          <w:spacing w:val="-6"/>
        </w:rPr>
        <w:t xml:space="preserve"> Quỹ thực hiện phân loại dư nợ vào các nhóm nợ và trích lập dự phòng rủi ro theo quy định của Ngân hàng nhà nước. </w:t>
      </w:r>
    </w:p>
    <w:p w:rsidR="0044615D" w:rsidRDefault="0044615D" w:rsidP="00DA65DC">
      <w:pPr>
        <w:widowControl w:val="0"/>
        <w:spacing w:after="40"/>
        <w:ind w:firstLine="709"/>
        <w:jc w:val="both"/>
      </w:pPr>
      <w:r>
        <w:t>- Về quản lý ủy thác: Các Quỹ UBND tỉnh giao quản lý ủy thác, Quỹ đều ký hợp đồng ủy thác với Sở Tài chính (đơn vị được UBND tỉnh ủy quyền); thực hiện quản lý, điều hành hoạt động của các Quỹ nhận ủy thác theo đúng quy định của Điều lệ các Quỹ và pháp luật liên quan.</w:t>
      </w:r>
    </w:p>
    <w:p w:rsidR="0044615D" w:rsidRPr="00C15010" w:rsidRDefault="0044615D" w:rsidP="00DA65DC">
      <w:pPr>
        <w:widowControl w:val="0"/>
        <w:spacing w:after="40"/>
        <w:ind w:firstLine="709"/>
        <w:jc w:val="both"/>
      </w:pPr>
      <w:r>
        <w:t xml:space="preserve">3. Ngoài thực hiện các chức năng, nhiệm vụ của Quỹ, UBND tỉnh còn giao Quỹ thực hiện một số nhiệm vụ khác, như: Khảo sát tìm kiếm địa điểm xây dựng công viên vĩnh hằng; làm chủ đầu tư </w:t>
      </w:r>
      <w:r w:rsidRPr="00D012DE">
        <w:t>phần quy hoạch chi tiết 1/500</w:t>
      </w:r>
      <w:r w:rsidR="006D01C7">
        <w:t xml:space="preserve"> </w:t>
      </w:r>
      <w:r w:rsidRPr="00D012DE">
        <w:t>Trung tâm Logistics Vũng Áng</w:t>
      </w:r>
      <w:r>
        <w:t xml:space="preserve">; phối hợp cùng Sở </w:t>
      </w:r>
      <w:r w:rsidRPr="00D012DE">
        <w:t>Giao thông vận tải lập quy hoạch chi tiết</w:t>
      </w:r>
      <w:r w:rsidR="006D01C7">
        <w:t xml:space="preserve"> </w:t>
      </w:r>
      <w:r w:rsidRPr="00D012DE">
        <w:t>Dự án đường Hàm Nghị kéo dài</w:t>
      </w:r>
      <w:r>
        <w:t>.</w:t>
      </w:r>
    </w:p>
    <w:p w:rsidR="0044615D" w:rsidRPr="00F6711E" w:rsidRDefault="0044615D" w:rsidP="00E91CC9">
      <w:pPr>
        <w:widowControl w:val="0"/>
        <w:spacing w:before="60" w:line="247" w:lineRule="auto"/>
        <w:ind w:firstLine="709"/>
        <w:jc w:val="both"/>
        <w:rPr>
          <w:b/>
        </w:rPr>
      </w:pPr>
      <w:r>
        <w:rPr>
          <w:b/>
        </w:rPr>
        <w:lastRenderedPageBreak/>
        <w:t>III</w:t>
      </w:r>
      <w:r w:rsidRPr="00F6711E">
        <w:rPr>
          <w:b/>
        </w:rPr>
        <w:t xml:space="preserve">. Đánh giá </w:t>
      </w:r>
      <w:r>
        <w:rPr>
          <w:b/>
        </w:rPr>
        <w:t>về hiệu lực,</w:t>
      </w:r>
      <w:r w:rsidRPr="00F6711E">
        <w:rPr>
          <w:b/>
        </w:rPr>
        <w:t xml:space="preserve"> hiệu quả hoạt động</w:t>
      </w:r>
    </w:p>
    <w:p w:rsidR="0044615D" w:rsidRDefault="0044615D" w:rsidP="00E91CC9">
      <w:pPr>
        <w:widowControl w:val="0"/>
        <w:spacing w:before="60" w:line="210" w:lineRule="atLeast"/>
        <w:ind w:firstLine="709"/>
        <w:jc w:val="both"/>
      </w:pPr>
      <w:r>
        <w:t>1.</w:t>
      </w:r>
      <w:r w:rsidRPr="00BB2852">
        <w:t xml:space="preserve"> Về </w:t>
      </w:r>
      <w:r>
        <w:t xml:space="preserve">hiệu lực quản lý: </w:t>
      </w:r>
    </w:p>
    <w:p w:rsidR="0044615D" w:rsidRDefault="0044615D" w:rsidP="00E91CC9">
      <w:pPr>
        <w:widowControl w:val="0"/>
        <w:spacing w:before="60" w:line="210" w:lineRule="atLeast"/>
        <w:ind w:firstLine="709"/>
        <w:jc w:val="both"/>
      </w:pPr>
      <w:r>
        <w:t xml:space="preserve">- Hội đồng quản lý của Quỹ Đầu tư phát triển </w:t>
      </w:r>
      <w:r w:rsidR="00DA65DC">
        <w:t xml:space="preserve">Hà Tĩnh </w:t>
      </w:r>
      <w:r>
        <w:t xml:space="preserve">và các Quỹ do UBND tỉnh thành lập, ủy thác cho Quỹ quản lý, đều do Lãnh đạo UBND tỉnh làm Chủ tịch Hội đồng, đại diện Lãnh đạo các Sở, ban, ngành liên quan tham gia thành viên Hội đồng. Vì vậy, hiệu lực quản lý nhà nước được bảo đảm và tăng cường; gắn kết được trách nhiệm quản lý nhà nước của các </w:t>
      </w:r>
      <w:r w:rsidR="00DA65DC">
        <w:t>s</w:t>
      </w:r>
      <w:r>
        <w:t xml:space="preserve">ở, </w:t>
      </w:r>
      <w:r w:rsidR="00DA65DC">
        <w:t>b</w:t>
      </w:r>
      <w:r>
        <w:t xml:space="preserve">an, ngành đối với hoạt động của các Quỹ. </w:t>
      </w:r>
    </w:p>
    <w:p w:rsidR="0044615D" w:rsidRDefault="0044615D" w:rsidP="00E91CC9">
      <w:pPr>
        <w:widowControl w:val="0"/>
        <w:spacing w:before="60" w:line="247" w:lineRule="auto"/>
        <w:ind w:firstLine="709"/>
        <w:jc w:val="both"/>
      </w:pPr>
      <w:r>
        <w:t xml:space="preserve">- Tại </w:t>
      </w:r>
      <w:r w:rsidR="00DA65DC">
        <w:t>K</w:t>
      </w:r>
      <w:r>
        <w:t xml:space="preserve">hoản 12 Điều 1 Nghị định số 37/2013/NĐ-CP ngày 22/4/2013 của Chính phủ, quy định </w:t>
      </w:r>
      <w:r w:rsidRPr="00DA65DC">
        <w:rPr>
          <w:i/>
        </w:rPr>
        <w:t>“Hội đồng quản lý có tối đa 05 (năm) thành viên, Ủy ban nhân dân cấp tỉnh căn cứ điều kiện thực tế quyết định số lượng thành viên của Hội đồng quản lý Quỹ theo nguyên tắc số lượng thành viên Hội đồng quản lý Quỹ phải là số lẻ”</w:t>
      </w:r>
      <w:r>
        <w:t xml:space="preserve">. UBND tỉnh thành lập </w:t>
      </w:r>
      <w:r w:rsidR="00DA65DC">
        <w:t>Hội đồng quản lý</w:t>
      </w:r>
      <w:r>
        <w:t xml:space="preserve"> để quản lý Quỹ Đầu tư phát triển </w:t>
      </w:r>
      <w:r w:rsidR="00DA65DC">
        <w:t xml:space="preserve">Hà Tĩnh </w:t>
      </w:r>
      <w:r>
        <w:t xml:space="preserve">và Quỹ Phát triển đất với 07 thành viên, tuy vượt số lượng quy định nhưng </w:t>
      </w:r>
      <w:r w:rsidR="00D81651">
        <w:t xml:space="preserve">lại thực hiện nhiệm vụ quản lý đồng thời 02 quỹ. Do đó, tuy vượt số lượng theo quy định nhưng cần thiết để đảm bảo đủ thành phần các </w:t>
      </w:r>
      <w:r w:rsidR="00DA65DC">
        <w:t xml:space="preserve">sở, </w:t>
      </w:r>
      <w:r w:rsidR="00D81651">
        <w:t>ngành tham gia.</w:t>
      </w:r>
    </w:p>
    <w:p w:rsidR="0044615D" w:rsidRDefault="0044615D" w:rsidP="00E91CC9">
      <w:pPr>
        <w:widowControl w:val="0"/>
        <w:spacing w:before="60" w:line="247" w:lineRule="auto"/>
        <w:ind w:firstLine="709"/>
        <w:jc w:val="both"/>
      </w:pPr>
      <w:r>
        <w:t xml:space="preserve">- Việc UBND tỉnh giao Quỹ Đầu tư phát triển </w:t>
      </w:r>
      <w:r w:rsidR="00DA65DC">
        <w:t xml:space="preserve">Hà Tĩnh </w:t>
      </w:r>
      <w:r>
        <w:t xml:space="preserve">quản lý ủy thác các Quỹ tài chính khác là chủ trương đúng đắn, phù hợp với Kết luận </w:t>
      </w:r>
      <w:r w:rsidRPr="001901BC">
        <w:rPr>
          <w:lang w:val="en"/>
        </w:rPr>
        <w:t>05-KL/TU ngày 29/6/2016 của Ban Thường vụ Tỉnh ủy</w:t>
      </w:r>
      <w:r w:rsidR="00DA65DC">
        <w:rPr>
          <w:lang w:val="en"/>
        </w:rPr>
        <w:t xml:space="preserve"> nên</w:t>
      </w:r>
      <w:r>
        <w:rPr>
          <w:lang w:val="en"/>
        </w:rPr>
        <w:t xml:space="preserve"> đã </w:t>
      </w:r>
      <w:r>
        <w:t>phát huy hiệu quả trong quản lý, điều hành</w:t>
      </w:r>
      <w:r w:rsidR="00B44088">
        <w:t>.Đ</w:t>
      </w:r>
      <w:r>
        <w:t>ặc biệt</w:t>
      </w:r>
      <w:r w:rsidR="00B44088">
        <w:t>,</w:t>
      </w:r>
      <w:r>
        <w:t xml:space="preserve"> UBND tỉnh thành lập các Quỹ nhưng không làm tăng biên chế và tiết kiệm được rất lớn </w:t>
      </w:r>
      <w:r w:rsidR="00D81651">
        <w:t>chi phí hoạt động của các Quỹ</w:t>
      </w:r>
      <w:r>
        <w:t xml:space="preserve">; Các Quỹ được quản lý và điều hành bởi một bộ máy chuyên nghiệp, được tập trung vào một đầu mối nên thuận lợi cho các cơ quan quản lý nhà nước trong việc kiểm tra, giám sát hoạt động của các Quỹ; các Quỹ nhận ủy thác được Quỹ mở sổ sách theo dõi, hạch toán riêng biệt và không trực thuộc các </w:t>
      </w:r>
      <w:r w:rsidR="00B44088">
        <w:t>s</w:t>
      </w:r>
      <w:r>
        <w:t xml:space="preserve">ở chuyên ngành nên bảo đảm tính khánh quan, minh bạch cao trong quản lý, điều hành.  </w:t>
      </w:r>
    </w:p>
    <w:p w:rsidR="0044615D" w:rsidRDefault="0044615D" w:rsidP="00E91CC9">
      <w:pPr>
        <w:widowControl w:val="0"/>
        <w:spacing w:before="60" w:line="247" w:lineRule="auto"/>
        <w:ind w:firstLine="709"/>
        <w:jc w:val="both"/>
      </w:pPr>
      <w:r>
        <w:t xml:space="preserve">Mô hình giao Quỹ Đầu tư phát triển </w:t>
      </w:r>
      <w:r w:rsidR="00B44088">
        <w:t xml:space="preserve">Hà Tĩnh </w:t>
      </w:r>
      <w:r>
        <w:t xml:space="preserve">quản lý ủy thác các Quỹ khác của tỉnh Hà Tĩnh được </w:t>
      </w:r>
      <w:r w:rsidR="00B44088">
        <w:t xml:space="preserve">các </w:t>
      </w:r>
      <w:r>
        <w:t>Bộ</w:t>
      </w:r>
      <w:r w:rsidR="00B44088">
        <w:t>, ngành trung ương</w:t>
      </w:r>
      <w:r>
        <w:t>, Ngân hàng thế giới</w:t>
      </w:r>
      <w:r w:rsidR="00B56366">
        <w:t>, HĐND tỉnh, UBND tỉnh</w:t>
      </w:r>
      <w:r w:rsidR="006D01C7">
        <w:t xml:space="preserve"> </w:t>
      </w:r>
      <w:r>
        <w:t>đánh giá cao về hiệu lực và hiệu quả hoạt động; được các</w:t>
      </w:r>
      <w:r w:rsidR="00AD6784">
        <w:t xml:space="preserve"> tỉnh bạn </w:t>
      </w:r>
      <w:r>
        <w:t xml:space="preserve">học hỏi để áp dụng. </w:t>
      </w:r>
    </w:p>
    <w:p w:rsidR="0044615D" w:rsidRPr="008B5EE5" w:rsidRDefault="0044615D" w:rsidP="00E91CC9">
      <w:pPr>
        <w:widowControl w:val="0"/>
        <w:spacing w:before="60" w:line="252" w:lineRule="auto"/>
        <w:ind w:firstLine="709"/>
        <w:jc w:val="both"/>
      </w:pPr>
      <w:r>
        <w:t>2. Về hiệu quả hoạt động của Quỹ Đầu tư phát triển</w:t>
      </w:r>
      <w:r w:rsidR="0084642E">
        <w:t xml:space="preserve"> Hà Tĩnh</w:t>
      </w:r>
      <w:r>
        <w:t xml:space="preserve">: </w:t>
      </w:r>
      <w:r w:rsidR="0084642E">
        <w:t>T</w:t>
      </w:r>
      <w:r w:rsidRPr="008B5EE5">
        <w:t>uy mới</w:t>
      </w:r>
      <w:r w:rsidR="00B56366">
        <w:t xml:space="preserve"> đi vào</w:t>
      </w:r>
      <w:r w:rsidRPr="008B5EE5">
        <w:t xml:space="preserve"> hoạt động được </w:t>
      </w:r>
      <w:r>
        <w:t>4</w:t>
      </w:r>
      <w:r w:rsidRPr="008B5EE5">
        <w:t xml:space="preserve"> năm, với </w:t>
      </w:r>
      <w:r w:rsidR="00B56366">
        <w:t xml:space="preserve">40 tỷ đồng </w:t>
      </w:r>
      <w:r w:rsidRPr="008B5EE5">
        <w:t xml:space="preserve">nguồn vốn </w:t>
      </w:r>
      <w:r w:rsidR="00B56366">
        <w:t xml:space="preserve">(bằng tiền mặt) </w:t>
      </w:r>
      <w:r w:rsidRPr="008B5EE5">
        <w:t>nhận bàn giao từ Quỹ Hỗ trợ đầu tư, còn lại chủ yếu là dư nợ quá hạn và sai đối tượng, khó có khả năng thu hồi. Nhưng với bộ máy tinh gọn</w:t>
      </w:r>
      <w:r w:rsidR="00B56366">
        <w:t xml:space="preserve"> và</w:t>
      </w:r>
      <w:r w:rsidRPr="008B5EE5">
        <w:t xml:space="preserve"> sự nổ lực của Lãnh đạo và nhân viên người lao động, đến nay nguồn vốn hoạt động của Quỹ đạt 4</w:t>
      </w:r>
      <w:r>
        <w:t>09</w:t>
      </w:r>
      <w:r w:rsidRPr="008B5EE5">
        <w:t xml:space="preserve">,3 tỷ đồng và hoạt động của Quỹ đã đưa lại hiệu quả trên nhiều mặt, </w:t>
      </w:r>
      <w:r w:rsidR="00B56366">
        <w:t>cụ thể</w:t>
      </w:r>
      <w:r w:rsidRPr="008B5EE5">
        <w:t xml:space="preserve">: </w:t>
      </w:r>
    </w:p>
    <w:p w:rsidR="0044615D" w:rsidRPr="008C1CBB" w:rsidRDefault="0044615D" w:rsidP="00E91CC9">
      <w:pPr>
        <w:widowControl w:val="0"/>
        <w:spacing w:before="60" w:line="210" w:lineRule="atLeast"/>
        <w:ind w:firstLine="709"/>
        <w:jc w:val="both"/>
      </w:pPr>
      <w:r>
        <w:t>- Thực hiện chủ trươ</w:t>
      </w:r>
      <w:r w:rsidRPr="008C1CBB">
        <w:t xml:space="preserve">ng xã hội hóa đầu tư: Quỹ đã huy động được nguồn vốn </w:t>
      </w:r>
      <w:r w:rsidR="00B56366">
        <w:t>Ngân hàng thế giới (</w:t>
      </w:r>
      <w:r w:rsidRPr="008C1CBB">
        <w:t>WB</w:t>
      </w:r>
      <w:r w:rsidR="00B56366">
        <w:t>)</w:t>
      </w:r>
      <w:r w:rsidRPr="008C1CBB">
        <w:t xml:space="preserve"> và các nguồn vốn trong xã hội để đầu tư các dự án xây dựng hạ tầng kinh tế - xã hội </w:t>
      </w:r>
      <w:r>
        <w:t xml:space="preserve">ưu tiên phát triển của tỉnh, </w:t>
      </w:r>
      <w:r w:rsidRPr="008C1CBB">
        <w:t xml:space="preserve">góp phần giảm gánh nặng cho ngân sách và giảm </w:t>
      </w:r>
      <w:r>
        <w:t xml:space="preserve">đáng kể </w:t>
      </w:r>
      <w:r w:rsidRPr="008C1CBB">
        <w:t>nợ công.</w:t>
      </w:r>
      <w:r>
        <w:t xml:space="preserve"> Quỹ Đầu tư phát triển </w:t>
      </w:r>
      <w:r w:rsidR="00B56366">
        <w:t xml:space="preserve">Hà Tĩnh </w:t>
      </w:r>
      <w:r>
        <w:t xml:space="preserve">là đầu tàu thu hút nguồn lực trong xã hội vào đầu tư xã hội hóa, tạo tiền đề và động </w:t>
      </w:r>
      <w:r>
        <w:lastRenderedPageBreak/>
        <w:t xml:space="preserve">lực cho các doanh nghiệp trong tỉnh đầu tư vào lĩnh vực kết cấu hạ tầng kinh tế - xã hội. </w:t>
      </w:r>
    </w:p>
    <w:p w:rsidR="0044615D" w:rsidRDefault="0044615D" w:rsidP="00E91CC9">
      <w:pPr>
        <w:widowControl w:val="0"/>
        <w:spacing w:before="60" w:line="210" w:lineRule="atLeast"/>
        <w:ind w:firstLine="709"/>
        <w:jc w:val="both"/>
      </w:pPr>
      <w:r w:rsidRPr="008C1CBB">
        <w:t xml:space="preserve">- Về mặt kinh tế: </w:t>
      </w:r>
      <w:r>
        <w:t xml:space="preserve">Tăng thu, </w:t>
      </w:r>
      <w:r w:rsidRPr="008C1CBB">
        <w:t>giảm chi ngân sách do chuyển đổi mô hình từ đơn</w:t>
      </w:r>
      <w:r>
        <w:t xml:space="preserve"> vị sự nghiệp sang doanh nghiệp của các dự án Quỹ cho vay, đầu tư; </w:t>
      </w:r>
      <w:r w:rsidR="00B56366">
        <w:t>v</w:t>
      </w:r>
      <w:r w:rsidRPr="008C1CBB">
        <w:t xml:space="preserve">ốn huy động </w:t>
      </w:r>
      <w:r w:rsidR="00B56366">
        <w:t>Ngân hàng thế giới (</w:t>
      </w:r>
      <w:r w:rsidRPr="008C1CBB">
        <w:t>WB</w:t>
      </w:r>
      <w:r w:rsidR="00B56366">
        <w:t>)</w:t>
      </w:r>
      <w:r w:rsidRPr="008C1CBB">
        <w:t xml:space="preserve"> với thời hạn vay 25 năm, trong lúc Quỹ cho vay các dự án từ 7 đến 12 năm; nên vốn </w:t>
      </w:r>
      <w:r>
        <w:t xml:space="preserve">được quay vòng sử dụng để cho vay, đầu tư </w:t>
      </w:r>
      <w:r w:rsidRPr="008C1CBB">
        <w:t xml:space="preserve">các dự án </w:t>
      </w:r>
      <w:r>
        <w:t>tiếp theo</w:t>
      </w:r>
      <w:r w:rsidRPr="008C1CBB">
        <w:t>.</w:t>
      </w:r>
    </w:p>
    <w:p w:rsidR="0044615D" w:rsidRDefault="0044615D" w:rsidP="00E91CC9">
      <w:pPr>
        <w:widowControl w:val="0"/>
        <w:spacing w:before="60" w:line="210" w:lineRule="atLeast"/>
        <w:ind w:firstLine="709"/>
        <w:jc w:val="both"/>
      </w:pPr>
      <w:r w:rsidRPr="008C1CBB">
        <w:t xml:space="preserve">- Về mặt xã hội: Các dự án Quỹ đầu tư và cho vay đầu tư đều đảm bảo </w:t>
      </w:r>
      <w:r>
        <w:t xml:space="preserve">các </w:t>
      </w:r>
      <w:r w:rsidRPr="008C1CBB">
        <w:t xml:space="preserve">tiêu chuẩn theo quy định, đáp ứng các tiêu chí về </w:t>
      </w:r>
      <w:r>
        <w:t xml:space="preserve">quy hoạch, </w:t>
      </w:r>
      <w:r w:rsidRPr="008C1CBB">
        <w:t>chất lượng, cảnh quan, môi trường…</w:t>
      </w:r>
      <w:r>
        <w:t xml:space="preserve"> Do đó, đã mang lại hiệu quả lớn về mặt xã hội như: Phát triển, hiện đại hóa hạ tầng đô thị; nâng cao chất lượng giáo dục mầm non; quy chuẩn hệ thống chợ, góp phần nâng cao chất lượng dịch vụ thương mại; giải quyết nhu cầu và cải thiện chất lượng về giao thông đi lại của nhân dân; </w:t>
      </w:r>
      <w:r w:rsidRPr="008C1CBB">
        <w:t xml:space="preserve">bảo đảm an ninh trật tự, </w:t>
      </w:r>
      <w:r>
        <w:t xml:space="preserve">an sinh xã hội và </w:t>
      </w:r>
      <w:r w:rsidRPr="008C1CBB">
        <w:t>an toàn giao thông</w:t>
      </w:r>
      <w:r>
        <w:t>; tạo thêm</w:t>
      </w:r>
      <w:r w:rsidRPr="008C1CBB">
        <w:t xml:space="preserve"> công ăn, việc làm cho người lao động trên địa bàn</w:t>
      </w:r>
      <w:r>
        <w:t xml:space="preserve"> tỉnh.</w:t>
      </w:r>
    </w:p>
    <w:p w:rsidR="0044615D" w:rsidRDefault="0044615D" w:rsidP="00E91CC9">
      <w:pPr>
        <w:widowControl w:val="0"/>
        <w:spacing w:before="60" w:line="210" w:lineRule="atLeast"/>
        <w:ind w:firstLine="709"/>
        <w:jc w:val="center"/>
        <w:rPr>
          <w:b/>
        </w:rPr>
      </w:pPr>
    </w:p>
    <w:p w:rsidR="0044615D" w:rsidRPr="00783455" w:rsidRDefault="0044615D" w:rsidP="00E91CC9">
      <w:pPr>
        <w:widowControl w:val="0"/>
        <w:spacing w:before="60" w:line="210" w:lineRule="atLeast"/>
        <w:ind w:firstLine="709"/>
        <w:jc w:val="center"/>
        <w:rPr>
          <w:b/>
        </w:rPr>
      </w:pPr>
      <w:r w:rsidRPr="00783455">
        <w:rPr>
          <w:b/>
        </w:rPr>
        <w:t>PHẦN II</w:t>
      </w:r>
    </w:p>
    <w:p w:rsidR="0044615D" w:rsidRDefault="0044615D" w:rsidP="00E91CC9">
      <w:pPr>
        <w:widowControl w:val="0"/>
        <w:spacing w:before="60" w:line="210" w:lineRule="atLeast"/>
        <w:ind w:firstLine="709"/>
        <w:jc w:val="center"/>
        <w:rPr>
          <w:b/>
        </w:rPr>
      </w:pPr>
      <w:r w:rsidRPr="00783455">
        <w:rPr>
          <w:b/>
        </w:rPr>
        <w:t xml:space="preserve">KIỆN TOÀN TỔ CHỨC VÀ HOẠT ĐỘNG </w:t>
      </w:r>
    </w:p>
    <w:p w:rsidR="0044615D" w:rsidRPr="00783455" w:rsidRDefault="0044615D" w:rsidP="00E91CC9">
      <w:pPr>
        <w:widowControl w:val="0"/>
        <w:spacing w:line="210" w:lineRule="atLeast"/>
        <w:ind w:firstLine="709"/>
        <w:jc w:val="center"/>
        <w:rPr>
          <w:b/>
        </w:rPr>
      </w:pPr>
      <w:r w:rsidRPr="00783455">
        <w:rPr>
          <w:b/>
        </w:rPr>
        <w:t>QUỸ ĐẦU TƯ PHÁT TRIỂN</w:t>
      </w:r>
      <w:r>
        <w:rPr>
          <w:b/>
        </w:rPr>
        <w:t xml:space="preserve"> HÀ TĨNH</w:t>
      </w:r>
    </w:p>
    <w:p w:rsidR="0044615D" w:rsidRDefault="0044615D" w:rsidP="00E91CC9">
      <w:pPr>
        <w:widowControl w:val="0"/>
        <w:spacing w:before="60" w:line="210" w:lineRule="atLeast"/>
        <w:ind w:firstLine="709"/>
        <w:jc w:val="both"/>
        <w:rPr>
          <w:b/>
        </w:rPr>
      </w:pPr>
      <w:r w:rsidRPr="00CD54D6">
        <w:rPr>
          <w:b/>
        </w:rPr>
        <w:t>I</w:t>
      </w:r>
      <w:r>
        <w:rPr>
          <w:b/>
        </w:rPr>
        <w:t>.</w:t>
      </w:r>
      <w:r w:rsidR="006D01C7">
        <w:rPr>
          <w:b/>
        </w:rPr>
        <w:t xml:space="preserve"> </w:t>
      </w:r>
      <w:r>
        <w:rPr>
          <w:b/>
        </w:rPr>
        <w:t>Sự cần thiết kiện toàn tổ chức và hoạt động Quỹ Đầu tư phát triển</w:t>
      </w:r>
      <w:r w:rsidR="00B56366">
        <w:rPr>
          <w:b/>
        </w:rPr>
        <w:t xml:space="preserve"> Hà Tĩnh</w:t>
      </w:r>
    </w:p>
    <w:p w:rsidR="0044615D" w:rsidRDefault="0044615D" w:rsidP="00E91CC9">
      <w:pPr>
        <w:widowControl w:val="0"/>
        <w:spacing w:before="60" w:line="210" w:lineRule="atLeast"/>
        <w:ind w:firstLine="709"/>
        <w:jc w:val="both"/>
      </w:pPr>
      <w:r>
        <w:t xml:space="preserve">1. Ủy ban nhân dân tỉnh thành lập Quỹ Đầu tư phát triển </w:t>
      </w:r>
      <w:r w:rsidR="00B56366">
        <w:t xml:space="preserve">Hà Tĩnh </w:t>
      </w:r>
      <w:r>
        <w:t xml:space="preserve">trên cơ sở Quỹ Hỗ trợ đầu tư, các quy định tại Nghị định số 138/2007/NĐ-CP ngày 28/8/2007 của Chính phủ, sau khi có ý kiến đồng ý của Thường </w:t>
      </w:r>
      <w:r w:rsidR="00567CAA">
        <w:t>trực HĐND tỉnh tại Văn bản số 28</w:t>
      </w:r>
      <w:r>
        <w:t>3</w:t>
      </w:r>
      <w:bookmarkStart w:id="0" w:name="_GoBack"/>
      <w:bookmarkEnd w:id="0"/>
      <w:r>
        <w:t>/HĐND ngày 04/11/2011</w:t>
      </w:r>
      <w:r w:rsidR="00396F7F">
        <w:t>.</w:t>
      </w:r>
      <w:r>
        <w:t xml:space="preserve"> </w:t>
      </w:r>
      <w:r w:rsidR="00396F7F">
        <w:t>T</w:t>
      </w:r>
      <w:r>
        <w:t xml:space="preserve">uy </w:t>
      </w:r>
      <w:r w:rsidR="00B56366">
        <w:t>vậy</w:t>
      </w:r>
      <w:r>
        <w:t xml:space="preserve">, Đề án thành lập Quỹ chưa được HĐND tỉnh thông qua theo quy định tại </w:t>
      </w:r>
      <w:r w:rsidR="00B56366">
        <w:t>K</w:t>
      </w:r>
      <w:r>
        <w:t xml:space="preserve">hoản 1 Điều 30 Nghị định </w:t>
      </w:r>
      <w:r w:rsidR="00AD6784">
        <w:t>số</w:t>
      </w:r>
      <w:r>
        <w:t>138/2007/NĐ-CP. Vì vậy, cần thiết phải kiện toàn để bảo đảm cơ sở pháp lý vững chắc cho Quỹ hoạt động.</w:t>
      </w:r>
    </w:p>
    <w:p w:rsidR="0044615D" w:rsidRDefault="0044615D" w:rsidP="00E91CC9">
      <w:pPr>
        <w:widowControl w:val="0"/>
        <w:spacing w:before="60" w:line="210" w:lineRule="atLeast"/>
        <w:ind w:firstLine="709"/>
        <w:jc w:val="both"/>
      </w:pPr>
      <w:r>
        <w:t xml:space="preserve">2. Hiệu quả hoạt động của Quỹ đã được khẳng định thông qua các dự án Quỹ đầu tư, cho vay đầu tư và kết quả hoạt động của các Quỹ nhận ủy thác; kiện toàn tổ chức và hoạt động </w:t>
      </w:r>
      <w:r w:rsidR="00B56366">
        <w:t>để</w:t>
      </w:r>
      <w:r>
        <w:t xml:space="preserve"> nâng cao hiệu lực, hiệu </w:t>
      </w:r>
      <w:r w:rsidR="00AD6784">
        <w:t>quả hoạt động của Quỹ, tinh giản</w:t>
      </w:r>
      <w:r>
        <w:t xml:space="preserve"> bộ máy, biên chế theo Kết luận </w:t>
      </w:r>
      <w:r w:rsidRPr="001901BC">
        <w:rPr>
          <w:lang w:val="en"/>
        </w:rPr>
        <w:t>05-KL/TU ngày 29/6/2016 của Ban Thường vụ Tỉnh ủy</w:t>
      </w:r>
      <w:r>
        <w:t>.</w:t>
      </w:r>
    </w:p>
    <w:p w:rsidR="0044615D" w:rsidRPr="002D64F0" w:rsidRDefault="0044615D" w:rsidP="00E91CC9">
      <w:pPr>
        <w:widowControl w:val="0"/>
        <w:spacing w:before="60" w:line="210" w:lineRule="atLeast"/>
        <w:ind w:firstLine="709"/>
        <w:jc w:val="both"/>
      </w:pPr>
      <w:r>
        <w:t xml:space="preserve">3. Vốn điều lệ của Quỹ theo Quyết định thành lập là 200 tỷ đồng, chưa </w:t>
      </w:r>
      <w:r w:rsidR="00D43301">
        <w:t>phù hợp</w:t>
      </w:r>
      <w:r>
        <w:t xml:space="preserve"> với vai trò, vị thế của Quỹ trong việc phát triển hạ tầng kinh tế - xã hội của tỉnh; vì thế cần thiết phải tăng nguồn lực cho Quỹ để đáp ứng nhu cầu vốn đầu tư kết cấu hạ tầng trên địa bàn tỉnh.   </w:t>
      </w:r>
    </w:p>
    <w:p w:rsidR="0044615D" w:rsidRDefault="0044615D" w:rsidP="00E91CC9">
      <w:pPr>
        <w:widowControl w:val="0"/>
        <w:spacing w:before="60" w:line="210" w:lineRule="atLeast"/>
        <w:ind w:firstLine="709"/>
        <w:jc w:val="both"/>
        <w:rPr>
          <w:b/>
        </w:rPr>
      </w:pPr>
      <w:r>
        <w:rPr>
          <w:b/>
        </w:rPr>
        <w:t>II. Cơ sở pháp lý, địa vị, phạm vi, nguyên tắc hoạt động của Quỹ</w:t>
      </w:r>
    </w:p>
    <w:p w:rsidR="0044615D" w:rsidRDefault="0044615D" w:rsidP="00E91CC9">
      <w:pPr>
        <w:widowControl w:val="0"/>
        <w:spacing w:before="60" w:line="210" w:lineRule="atLeast"/>
        <w:ind w:firstLine="709"/>
        <w:jc w:val="both"/>
      </w:pPr>
      <w:r>
        <w:t xml:space="preserve">1. Cơ sở pháp lý: </w:t>
      </w:r>
    </w:p>
    <w:p w:rsidR="0044615D" w:rsidRDefault="0044615D" w:rsidP="00E91CC9">
      <w:pPr>
        <w:widowControl w:val="0"/>
        <w:spacing w:before="60" w:line="210" w:lineRule="atLeast"/>
        <w:ind w:firstLine="709"/>
        <w:jc w:val="both"/>
      </w:pPr>
      <w:r>
        <w:t xml:space="preserve">- </w:t>
      </w:r>
      <w:r w:rsidRPr="00841E60">
        <w:t xml:space="preserve">Nghị </w:t>
      </w:r>
      <w:r w:rsidR="00AD6784">
        <w:t xml:space="preserve">định </w:t>
      </w:r>
      <w:r>
        <w:t>số 138/2007/NĐ-CP ngày 28/8/2007 của Chính phủ về tổ chức và hoạt động của Quỹ đầu tư phát triển địa phương; Nghị định số 37/2013/NĐ-CP ngày 22/4/2013 của Chính phủ sửa đổi, bổ sung Nghị định 138/2007/NĐ-CP;</w:t>
      </w:r>
    </w:p>
    <w:p w:rsidR="0044615D" w:rsidRDefault="0044615D" w:rsidP="00E91CC9">
      <w:pPr>
        <w:widowControl w:val="0"/>
        <w:spacing w:before="60" w:line="210" w:lineRule="atLeast"/>
        <w:ind w:firstLine="709"/>
        <w:jc w:val="both"/>
      </w:pPr>
      <w:r>
        <w:lastRenderedPageBreak/>
        <w:t>- Thông tư số 28/2014/TT-BTC ngày 25/02/2014 của Bộ Tài chính hướng dẫn cơ chế quản lý tài chính đối với Quỹ đầu tư phát triển địa phương;</w:t>
      </w:r>
    </w:p>
    <w:p w:rsidR="0044615D" w:rsidRDefault="0044615D" w:rsidP="00E91CC9">
      <w:pPr>
        <w:widowControl w:val="0"/>
        <w:spacing w:before="60" w:line="210" w:lineRule="atLeast"/>
        <w:ind w:firstLine="709"/>
        <w:jc w:val="both"/>
      </w:pPr>
      <w:r>
        <w:t>- Thông tư số 42/2014/TT-BTC ngày 08/4/2014 của Bộ Tài chính ban hành điều lệ mẫu áp dụng cho Quỹ đ</w:t>
      </w:r>
      <w:r w:rsidR="00B56366">
        <w:t>ầu tư phát triển địa phương;</w:t>
      </w:r>
    </w:p>
    <w:p w:rsidR="001304A1" w:rsidRDefault="001304A1" w:rsidP="00E91CC9">
      <w:pPr>
        <w:widowControl w:val="0"/>
        <w:spacing w:before="60" w:line="210" w:lineRule="atLeast"/>
        <w:ind w:firstLine="709"/>
        <w:jc w:val="both"/>
      </w:pPr>
      <w:r>
        <w:t xml:space="preserve">- </w:t>
      </w:r>
      <w:r w:rsidRPr="001316DD">
        <w:t>Kết luận số 05-KL/TU về một số chủ trương nâng cao năng lực, đổi mới phương thức lãnh đạo của Đảng về sắp xếp, tinh giản bộ máy, biên chế, hoạt động hiệu lực, h</w:t>
      </w:r>
      <w:r>
        <w:t>iệu quả của các cơ quan, đơn vị</w:t>
      </w:r>
      <w:r w:rsidR="00B56366">
        <w:t>.</w:t>
      </w:r>
    </w:p>
    <w:p w:rsidR="0044615D" w:rsidRDefault="0044615D" w:rsidP="00E91CC9">
      <w:pPr>
        <w:widowControl w:val="0"/>
        <w:spacing w:before="60" w:line="210" w:lineRule="atLeast"/>
        <w:ind w:firstLine="709"/>
        <w:jc w:val="both"/>
      </w:pPr>
      <w:r>
        <w:t>2. Địa vị pháp lý: Quỹ Đầu tư phát triển Hà Tĩnh là tổ chức tài chính nhà nước trực thuộc UBND tỉnh, hoạt động độc lập, có tư cách pháp nhân, có vốn điều lệ, có con dấu,</w:t>
      </w:r>
      <w:r w:rsidR="00304661">
        <w:t xml:space="preserve"> được mở tài khoản tại Kho bạc N</w:t>
      </w:r>
      <w:r>
        <w:t>hà nước và các ngân hàng thương mại hoạt động hợp pháp trên địa bàn tỉnh.</w:t>
      </w:r>
    </w:p>
    <w:p w:rsidR="0044615D" w:rsidRDefault="0044615D" w:rsidP="00E91CC9">
      <w:pPr>
        <w:widowControl w:val="0"/>
        <w:spacing w:before="60" w:line="210" w:lineRule="atLeast"/>
        <w:ind w:firstLine="709"/>
        <w:jc w:val="both"/>
      </w:pPr>
      <w:r>
        <w:t xml:space="preserve">3. Phạm vi, nguyên tắc hoạt động: </w:t>
      </w:r>
    </w:p>
    <w:p w:rsidR="0044615D" w:rsidRDefault="0044615D" w:rsidP="00E91CC9">
      <w:pPr>
        <w:widowControl w:val="0"/>
        <w:spacing w:before="60" w:line="210" w:lineRule="atLeast"/>
        <w:ind w:firstLine="709"/>
        <w:jc w:val="both"/>
      </w:pPr>
      <w:r>
        <w:t xml:space="preserve">3.1. Phạm vi hoạt động: </w:t>
      </w:r>
    </w:p>
    <w:p w:rsidR="0044615D" w:rsidRPr="00811592" w:rsidRDefault="0044615D" w:rsidP="00E91CC9">
      <w:pPr>
        <w:widowControl w:val="0"/>
        <w:spacing w:before="60" w:line="210" w:lineRule="atLeast"/>
        <w:ind w:firstLine="709"/>
        <w:jc w:val="both"/>
      </w:pPr>
      <w:r>
        <w:t>-</w:t>
      </w:r>
      <w:r w:rsidRPr="00811592">
        <w:t xml:space="preserve"> Huy động vốn trung, dài hạn từ các tổ chức, cá nhân trong và ngoài nước theo quy định của pháp luật;</w:t>
      </w:r>
    </w:p>
    <w:p w:rsidR="0044615D" w:rsidRPr="00811592" w:rsidRDefault="0044615D" w:rsidP="00E91CC9">
      <w:pPr>
        <w:widowControl w:val="0"/>
        <w:spacing w:before="60" w:line="210" w:lineRule="atLeast"/>
        <w:ind w:firstLine="709"/>
        <w:jc w:val="both"/>
      </w:pPr>
      <w:r>
        <w:t>-</w:t>
      </w:r>
      <w:r w:rsidRPr="00811592">
        <w:t xml:space="preserve"> Đầu tư, bao gồm đầu tư trực tiếp vào các dự án; cho vay đầu tư; góp vốn thành lập doanh nghiệp hoạt động trong các lĩnh vực phát triển kết cấu hạ tầng kinh tế - xã hội</w:t>
      </w:r>
      <w:r w:rsidR="004969F9">
        <w:t xml:space="preserve"> ưu tiên phát triển của tỉnh</w:t>
      </w:r>
      <w:r w:rsidRPr="00811592">
        <w:t>;</w:t>
      </w:r>
    </w:p>
    <w:p w:rsidR="0044615D" w:rsidRDefault="0044615D" w:rsidP="00E91CC9">
      <w:pPr>
        <w:widowControl w:val="0"/>
        <w:spacing w:before="60" w:line="210" w:lineRule="atLeast"/>
        <w:ind w:firstLine="709"/>
        <w:jc w:val="both"/>
      </w:pPr>
      <w:r>
        <w:t>-</w:t>
      </w:r>
      <w:r w:rsidRPr="00811592">
        <w:t xml:space="preserve"> Ủy thác cho vay đầu tư, thu hồi nợ; nhận uỷ thác quản lý </w:t>
      </w:r>
      <w:r w:rsidR="004969F9">
        <w:t xml:space="preserve">các Quỹ do UBND tỉnh thành lập; </w:t>
      </w:r>
      <w:r w:rsidR="004969F9" w:rsidRPr="00811592">
        <w:t xml:space="preserve">nhận uỷ thác quản lý </w:t>
      </w:r>
      <w:r w:rsidRPr="00811592">
        <w:t xml:space="preserve">nguồn vốn đầu tư, cho vay đầu tư, thu hồi nợ, cấp phát vốn đầu tư, phát hành trái phiếu chính quyền địa phương để huy động vốn cho ngân sách địa phương theo uỷ quyền của </w:t>
      </w:r>
      <w:r w:rsidR="00304661">
        <w:t>UBND tỉnh.</w:t>
      </w:r>
    </w:p>
    <w:p w:rsidR="0044615D" w:rsidRDefault="0044615D" w:rsidP="00E91CC9">
      <w:pPr>
        <w:widowControl w:val="0"/>
        <w:spacing w:before="60" w:line="210" w:lineRule="atLeast"/>
        <w:ind w:firstLine="709"/>
        <w:jc w:val="both"/>
      </w:pPr>
      <w:r>
        <w:t xml:space="preserve">3.2. Nguyên tắc hoạt động: Quỹ đầu tư phát triển Hà Tĩnh hoạt động theo mô hình ngân hàng chính sách, thực hiện nguyên tắc tự chủ về tài chính, không vì mục tiêu lợi nhuận, bảo toàn và phát triển vốn. </w:t>
      </w:r>
    </w:p>
    <w:p w:rsidR="0044615D" w:rsidRDefault="0044615D" w:rsidP="00E91CC9">
      <w:pPr>
        <w:widowControl w:val="0"/>
        <w:spacing w:before="60" w:line="210" w:lineRule="atLeast"/>
        <w:ind w:firstLine="709"/>
        <w:jc w:val="both"/>
        <w:rPr>
          <w:b/>
        </w:rPr>
      </w:pPr>
      <w:r>
        <w:rPr>
          <w:b/>
        </w:rPr>
        <w:t>III. Chức năng, nhiệm vụ và tổ chức bộ máy của Quỹ</w:t>
      </w:r>
    </w:p>
    <w:p w:rsidR="0044615D" w:rsidRPr="007D3FF4" w:rsidRDefault="0044615D" w:rsidP="00E91CC9">
      <w:pPr>
        <w:widowControl w:val="0"/>
        <w:spacing w:before="60" w:line="210" w:lineRule="atLeast"/>
        <w:ind w:firstLine="709"/>
        <w:jc w:val="both"/>
      </w:pPr>
      <w:r>
        <w:t>1</w:t>
      </w:r>
      <w:r w:rsidRPr="005E24A2">
        <w:t>. Chức năng, nhiệm vụ</w:t>
      </w:r>
      <w:r>
        <w:t xml:space="preserve"> và quyền hạn của Quỹ: </w:t>
      </w:r>
      <w:r w:rsidRPr="007D3FF4">
        <w:t xml:space="preserve">Chức năng, nhiệm vụ </w:t>
      </w:r>
      <w:r>
        <w:t xml:space="preserve">và </w:t>
      </w:r>
      <w:r w:rsidRPr="007D3FF4">
        <w:t xml:space="preserve">quyền hạn </w:t>
      </w:r>
      <w:r>
        <w:t>của Quỹ</w:t>
      </w:r>
      <w:r w:rsidR="00A5042E">
        <w:t xml:space="preserve"> </w:t>
      </w:r>
      <w:r>
        <w:t>được</w:t>
      </w:r>
      <w:r w:rsidRPr="007D3FF4">
        <w:t xml:space="preserve"> quy định tại Nghị định </w:t>
      </w:r>
      <w:r w:rsidR="00304661">
        <w:t xml:space="preserve">số </w:t>
      </w:r>
      <w:r w:rsidRPr="007D3FF4">
        <w:t>138/2007/NĐ-CP ngày 28/8/2007</w:t>
      </w:r>
      <w:r>
        <w:t>;</w:t>
      </w:r>
      <w:r w:rsidRPr="007D3FF4">
        <w:t xml:space="preserve"> Nghị định </w:t>
      </w:r>
      <w:r w:rsidR="00304661">
        <w:t xml:space="preserve">số </w:t>
      </w:r>
      <w:r w:rsidRPr="007D3FF4">
        <w:t>37/2013/NĐ-CP ngày 22/4/2013 của Chính phủ và Điều lệ tổ chức, hoạt động của Quỹ Đầu tư phát triển</w:t>
      </w:r>
      <w:r>
        <w:t xml:space="preserve"> Hà Tĩnh</w:t>
      </w:r>
      <w:r w:rsidRPr="007D3FF4">
        <w:t>.</w:t>
      </w:r>
    </w:p>
    <w:p w:rsidR="0044615D" w:rsidRDefault="0044615D" w:rsidP="00E91CC9">
      <w:pPr>
        <w:widowControl w:val="0"/>
        <w:spacing w:before="60" w:line="210" w:lineRule="atLeast"/>
        <w:ind w:firstLine="709"/>
        <w:jc w:val="both"/>
      </w:pPr>
      <w:r>
        <w:t>2. Tổ chức bộ máy Quỹ Đầu tư phát triển Hà Tĩnh bao gồm: Hội đồng quản lý, Ban kiểm soát và Bộ máy điều hành.</w:t>
      </w:r>
    </w:p>
    <w:p w:rsidR="00396F7F" w:rsidRPr="009575ED" w:rsidRDefault="009D26C7" w:rsidP="009575ED">
      <w:pPr>
        <w:widowControl w:val="0"/>
        <w:spacing w:before="60" w:line="210" w:lineRule="atLeast"/>
        <w:ind w:firstLine="709"/>
        <w:jc w:val="both"/>
        <w:rPr>
          <w:lang w:val="en"/>
        </w:rPr>
      </w:pPr>
      <w:r>
        <w:t>2</w:t>
      </w:r>
      <w:r w:rsidR="0044615D">
        <w:t xml:space="preserve">.1. Hội đồng quản lý (HĐQL): HĐQL Quỹ Đầu tư phát triển có tối đa 05 thành viên, nhưng để nâng cao hiệu lực, hiệu quả hoạt động và tinh giảm bộ máy, biên chế theo Kết luận </w:t>
      </w:r>
      <w:r w:rsidR="00304661">
        <w:t xml:space="preserve">số </w:t>
      </w:r>
      <w:r w:rsidR="0044615D" w:rsidRPr="001901BC">
        <w:rPr>
          <w:lang w:val="en"/>
        </w:rPr>
        <w:t>05-KL/TU ngày 29/6/2016 của Ban Thường vụ Tỉnh ủy</w:t>
      </w:r>
      <w:r w:rsidR="0044615D">
        <w:t xml:space="preserve">, HĐQL Quỹ Đầu tư phát triển bao gồm </w:t>
      </w:r>
      <w:r w:rsidR="00B56366">
        <w:t>0</w:t>
      </w:r>
      <w:r w:rsidR="0044615D">
        <w:t xml:space="preserve">7 thành viên để đồng thời là HĐQL các Quỹ: Quỹ Phát triển đất; Quỹ Bảo vệ môi trường và các Quỹ khác do UBND tỉnh thành lập có chức năng, nhiệm vụ </w:t>
      </w:r>
      <w:r w:rsidR="0044615D" w:rsidRPr="009575ED">
        <w:t xml:space="preserve">tương đồng. </w:t>
      </w:r>
      <w:r w:rsidR="00396F7F" w:rsidRPr="009575ED">
        <w:t>Như vậy, 03 Quỹ (Quỹ Đầu tư phát triển, Quỹ Phát triển đất, Quỹ Bảo vệ môi trường) sẽ có chung một Hội đồng quản lý</w:t>
      </w:r>
      <w:r w:rsidR="009575ED" w:rsidRPr="009575ED">
        <w:t>.</w:t>
      </w:r>
    </w:p>
    <w:p w:rsidR="0044615D" w:rsidRDefault="0044615D" w:rsidP="00E91CC9">
      <w:pPr>
        <w:widowControl w:val="0"/>
        <w:spacing w:before="60" w:line="210" w:lineRule="atLeast"/>
        <w:ind w:firstLine="709"/>
        <w:jc w:val="both"/>
      </w:pPr>
      <w:r>
        <w:t xml:space="preserve">- Chủ tịch HĐQL do Lãnh đạo UBND tỉnh kiêm nhiệm; </w:t>
      </w:r>
    </w:p>
    <w:p w:rsidR="0044615D" w:rsidRPr="00304661" w:rsidRDefault="0044615D" w:rsidP="00E91CC9">
      <w:pPr>
        <w:widowControl w:val="0"/>
        <w:spacing w:before="60" w:line="210" w:lineRule="atLeast"/>
        <w:ind w:firstLine="709"/>
        <w:jc w:val="both"/>
        <w:rPr>
          <w:spacing w:val="-8"/>
        </w:rPr>
      </w:pPr>
      <w:r w:rsidRPr="00304661">
        <w:rPr>
          <w:spacing w:val="-8"/>
        </w:rPr>
        <w:t xml:space="preserve">- 01 Phó Chủ tịch </w:t>
      </w:r>
      <w:r w:rsidR="00B13886" w:rsidRPr="00304661">
        <w:rPr>
          <w:spacing w:val="-8"/>
        </w:rPr>
        <w:t>T</w:t>
      </w:r>
      <w:r w:rsidRPr="00304661">
        <w:rPr>
          <w:spacing w:val="-8"/>
        </w:rPr>
        <w:t xml:space="preserve">hường trực HĐQL do Giám đốc Sở Tài chính kiêm nhiệm; </w:t>
      </w:r>
    </w:p>
    <w:p w:rsidR="0044615D" w:rsidRDefault="0044615D" w:rsidP="00E91CC9">
      <w:pPr>
        <w:widowControl w:val="0"/>
        <w:spacing w:before="60" w:line="210" w:lineRule="atLeast"/>
        <w:ind w:firstLine="709"/>
        <w:jc w:val="both"/>
      </w:pPr>
      <w:r>
        <w:lastRenderedPageBreak/>
        <w:t xml:space="preserve">- 01 Phó Chủ tịch HĐQL do Giám đốc Sở Tài nguyên và Môi trường kiêm nhiệm; </w:t>
      </w:r>
    </w:p>
    <w:p w:rsidR="0044615D" w:rsidRDefault="0044615D" w:rsidP="00E91CC9">
      <w:pPr>
        <w:widowControl w:val="0"/>
        <w:spacing w:before="60" w:line="210" w:lineRule="atLeast"/>
        <w:ind w:firstLine="709"/>
        <w:jc w:val="both"/>
      </w:pPr>
      <w:r>
        <w:t xml:space="preserve">- 01 Phó Chủ tịch HĐQL là Giám đốc Quỹ Đầu tư phát triển; </w:t>
      </w:r>
    </w:p>
    <w:p w:rsidR="0044615D" w:rsidRDefault="0044615D" w:rsidP="00E91CC9">
      <w:pPr>
        <w:widowControl w:val="0"/>
        <w:spacing w:before="60" w:line="210" w:lineRule="atLeast"/>
        <w:ind w:firstLine="709"/>
        <w:jc w:val="both"/>
      </w:pPr>
      <w:r>
        <w:t xml:space="preserve">- Các thành viên HĐQL còn lại do Lãnh đạo Sở Kế hoạch và Đầu tư, Ngân hàng </w:t>
      </w:r>
      <w:r w:rsidR="00304661">
        <w:t>N</w:t>
      </w:r>
      <w:r>
        <w:t xml:space="preserve">hà nước </w:t>
      </w:r>
      <w:r w:rsidR="00304661">
        <w:t>C</w:t>
      </w:r>
      <w:r>
        <w:t>hi nhánh Hà Tĩnh, K</w:t>
      </w:r>
      <w:r w:rsidR="007107E7">
        <w:t xml:space="preserve">ho bạc </w:t>
      </w:r>
      <w:r w:rsidR="00304661">
        <w:t>N</w:t>
      </w:r>
      <w:r w:rsidR="007107E7">
        <w:t>hà nước tỉnh kiêm nhiệm;</w:t>
      </w:r>
    </w:p>
    <w:p w:rsidR="0044615D" w:rsidRDefault="0044615D" w:rsidP="00E91CC9">
      <w:pPr>
        <w:widowControl w:val="0"/>
        <w:spacing w:before="60" w:line="210" w:lineRule="atLeast"/>
        <w:ind w:firstLine="709"/>
        <w:jc w:val="both"/>
      </w:pPr>
      <w:r>
        <w:t>- HĐQL được thành lập Tổ giúp việc để tham mưu, giúp việc cho các thành viên</w:t>
      </w:r>
      <w:r w:rsidR="004969F9">
        <w:t xml:space="preserve"> HĐQL</w:t>
      </w:r>
      <w:r w:rsidR="007107E7">
        <w:t>;</w:t>
      </w:r>
    </w:p>
    <w:p w:rsidR="0044615D" w:rsidRDefault="0044615D" w:rsidP="00E91CC9">
      <w:pPr>
        <w:widowControl w:val="0"/>
        <w:spacing w:before="60" w:line="210" w:lineRule="atLeast"/>
        <w:ind w:firstLine="709"/>
        <w:jc w:val="both"/>
      </w:pPr>
      <w:r>
        <w:t>Nhiệm vụ, quyền hạn của HĐQL Quỹ thực hiện theo quy định tại Điều 37 Nghị định số 138/2007/NĐ-CP của Chính phủ.</w:t>
      </w:r>
    </w:p>
    <w:p w:rsidR="0044615D" w:rsidRDefault="009D26C7" w:rsidP="00E91CC9">
      <w:pPr>
        <w:widowControl w:val="0"/>
        <w:spacing w:before="60" w:line="210" w:lineRule="atLeast"/>
        <w:ind w:firstLine="709"/>
        <w:jc w:val="both"/>
      </w:pPr>
      <w:r>
        <w:t>2</w:t>
      </w:r>
      <w:r w:rsidR="0044615D">
        <w:t>.2. Ban Kiểm soát: Ban kiểm soát Quỹ Đầu tư phát triển có tối đa 03 thành viên và đồng thời là Ban kiểm soát của Quỹ Phát triển đất và Quỹ Bảo vệ môi trường. Trưởng Ban kiểm soát do Chủ tịch UBND tỉnh bổ nhiệm</w:t>
      </w:r>
      <w:r w:rsidR="00B56366">
        <w:t>,m</w:t>
      </w:r>
      <w:r w:rsidR="0044615D">
        <w:t>iễn nhiệm theo đề nghị của HĐQL Quỹ; thời hạn bổ nhiệm tối đa 05 năm và có thể được bổ nhiệm lại.</w:t>
      </w:r>
    </w:p>
    <w:p w:rsidR="0044615D" w:rsidRDefault="009D26C7" w:rsidP="00E91CC9">
      <w:pPr>
        <w:widowControl w:val="0"/>
        <w:spacing w:before="60" w:line="210" w:lineRule="atLeast"/>
        <w:ind w:firstLine="709"/>
        <w:jc w:val="both"/>
      </w:pPr>
      <w:r>
        <w:t>3</w:t>
      </w:r>
      <w:r w:rsidR="0044615D">
        <w:t xml:space="preserve">.3. Bộ máy điều hành: Bộ máy điều hành Quỹ gồm, Giám đốc, các Phó Giám đốc, Kế toán trưởng và các phòng nghiệp vụ, hoạt động theo chế độ chuyên trách. </w:t>
      </w:r>
    </w:p>
    <w:p w:rsidR="0044615D" w:rsidRPr="00304661" w:rsidRDefault="0044615D" w:rsidP="00E91CC9">
      <w:pPr>
        <w:widowControl w:val="0"/>
        <w:spacing w:before="60" w:line="210" w:lineRule="atLeast"/>
        <w:ind w:firstLine="709"/>
        <w:jc w:val="both"/>
        <w:rPr>
          <w:spacing w:val="-2"/>
        </w:rPr>
      </w:pPr>
      <w:r w:rsidRPr="00304661">
        <w:rPr>
          <w:spacing w:val="-2"/>
        </w:rPr>
        <w:t>- Giám đốc Quỹ là thành viên HĐQL do Chủ tịch UBND tỉnh bổ nhiệm, là người đại diện pháp nhân của Quỹ, chịu trách nhiệm trước UBND tỉnh, HĐQL và trước pháp luật về toàn bộ hoạt động củ</w:t>
      </w:r>
      <w:r w:rsidR="00B56366" w:rsidRPr="00304661">
        <w:rPr>
          <w:spacing w:val="-2"/>
        </w:rPr>
        <w:t>a Quỹ Đầu tư phát triển Hà Tĩnh;</w:t>
      </w:r>
    </w:p>
    <w:p w:rsidR="0044615D" w:rsidRDefault="0044615D" w:rsidP="00E91CC9">
      <w:pPr>
        <w:widowControl w:val="0"/>
        <w:spacing w:before="60" w:line="210" w:lineRule="atLeast"/>
        <w:ind w:firstLine="709"/>
        <w:jc w:val="both"/>
      </w:pPr>
      <w:r>
        <w:t>- Phó Giám đốc, Kế toán trưởng do Giám đốc Quỹ đề nghị, HĐQL xem xét, trình Chủ tịch UBND tỉnh bổ nhiệ</w:t>
      </w:r>
      <w:r w:rsidR="00B56366">
        <w:t>m, miễn nhiệm hoặc bãi nhiệm;</w:t>
      </w:r>
    </w:p>
    <w:p w:rsidR="0044615D" w:rsidRDefault="0044615D" w:rsidP="00E91CC9">
      <w:pPr>
        <w:widowControl w:val="0"/>
        <w:spacing w:before="60" w:line="210" w:lineRule="atLeast"/>
        <w:ind w:firstLine="709"/>
        <w:jc w:val="both"/>
      </w:pPr>
      <w:r>
        <w:t xml:space="preserve">Giám đốc Quỹ Đầu tư phát triển Hà Tĩnh có nhiệm vụ </w:t>
      </w:r>
      <w:r w:rsidR="00B56366">
        <w:t>và quyền hạn được quy định tại K</w:t>
      </w:r>
      <w:r>
        <w:t>hoản 5 Điều 39 Nghị định 138/2007/NĐ-CP ngày 28/8/2007 của Chính phủ.</w:t>
      </w:r>
    </w:p>
    <w:p w:rsidR="0044615D" w:rsidRPr="00F14674" w:rsidRDefault="0044615D" w:rsidP="00E91CC9">
      <w:pPr>
        <w:widowControl w:val="0"/>
        <w:spacing w:before="60" w:line="210" w:lineRule="atLeast"/>
        <w:ind w:firstLine="709"/>
        <w:jc w:val="both"/>
      </w:pPr>
      <w:r w:rsidRPr="00F14674">
        <w:t>3. Cơ chế ủy thác</w:t>
      </w:r>
      <w:r>
        <w:t>:</w:t>
      </w:r>
    </w:p>
    <w:p w:rsidR="0044615D" w:rsidRDefault="0044615D" w:rsidP="00E91CC9">
      <w:pPr>
        <w:widowControl w:val="0"/>
        <w:spacing w:before="60" w:line="210" w:lineRule="atLeast"/>
        <w:ind w:firstLine="709"/>
        <w:jc w:val="both"/>
      </w:pPr>
      <w:r>
        <w:t xml:space="preserve">Quỹ Đầu tư phát triển Hà Tĩnh được ủy thác và nhận ủy thác theo quy định tại </w:t>
      </w:r>
      <w:r w:rsidRPr="007D3FF4">
        <w:t>Nghị định 138/2007/NĐ-CP ngày 28/8/2007</w:t>
      </w:r>
      <w:r>
        <w:t>;</w:t>
      </w:r>
      <w:r w:rsidRPr="007D3FF4">
        <w:t xml:space="preserve"> Nghị định 37/2013/NĐ-CP ngày 22/4/2013 của Chính phủ </w:t>
      </w:r>
      <w:r>
        <w:t xml:space="preserve">của các quy định khác của pháp luật. </w:t>
      </w:r>
    </w:p>
    <w:p w:rsidR="009575ED" w:rsidRDefault="009575ED" w:rsidP="009575ED">
      <w:pPr>
        <w:widowControl w:val="0"/>
        <w:spacing w:before="60" w:line="210" w:lineRule="atLeast"/>
        <w:ind w:firstLine="709"/>
        <w:jc w:val="both"/>
      </w:pPr>
      <w:r w:rsidRPr="009575ED">
        <w:t>Hiện tại, Quỹ Đầu tư phát triển Hà Tĩnh đang nhận ủy thác quản lý 05 Quỹ, bao gồm: Quỹ Phát triển đất, Quỹ Bảo vệ và Phát triển rừng tỉnh, Quỹ Bảo trì đường bộ tỉnh, Quỹ Bảo lãnh tín dụng cho các doanh nghiệp nhỏ và vừa và Quỹ Bảo vệ môi trường. Trong thời gian tới, tiếp tục thực hiện ủy thác cho Quỹ đầu tư phát triển tỉnh quản lý đối với 05 Quỹ và một số Quỹ do UBND tỉnh thành lập.</w:t>
      </w:r>
    </w:p>
    <w:p w:rsidR="0044615D" w:rsidRPr="00F14674" w:rsidRDefault="0044615D" w:rsidP="00E91CC9">
      <w:pPr>
        <w:widowControl w:val="0"/>
        <w:spacing w:before="60" w:line="210" w:lineRule="atLeast"/>
        <w:ind w:firstLine="709"/>
        <w:jc w:val="both"/>
      </w:pPr>
      <w:r w:rsidRPr="00F14674">
        <w:t>4. Nguồn vốn của Quỹ</w:t>
      </w:r>
    </w:p>
    <w:p w:rsidR="0044615D" w:rsidRDefault="0044615D" w:rsidP="00E91CC9">
      <w:pPr>
        <w:widowControl w:val="0"/>
        <w:spacing w:before="60" w:line="210" w:lineRule="atLeast"/>
        <w:ind w:firstLine="709"/>
        <w:jc w:val="both"/>
      </w:pPr>
      <w:r>
        <w:t xml:space="preserve">4.1. Vốn điều lệ: Vốn điều lệ của Quỹ Đầu tư phát triển Hà Tĩnh </w:t>
      </w:r>
      <w:r w:rsidR="00D43301">
        <w:t>3</w:t>
      </w:r>
      <w:r>
        <w:t>00 tỷ đồng, được hình thành như sau:</w:t>
      </w:r>
    </w:p>
    <w:p w:rsidR="00D43301" w:rsidRDefault="00D43301" w:rsidP="00E91CC9">
      <w:pPr>
        <w:widowControl w:val="0"/>
        <w:spacing w:before="80"/>
        <w:ind w:firstLine="709"/>
        <w:jc w:val="both"/>
      </w:pPr>
      <w:r>
        <w:t>a) Ngân sách tỉnh cân đối, ưu tiên bố trí đảm bảo đủ mức 200 tỷ đồng đã quy định theo Quyết định thành lập số 3869/QĐ-UBND ngày 06/12/2011 của Ủy ban nhân dân tỉnh; đồng thời bổ sung nguồn vốn hàng năm cho Quỹ theo khả năng ngân sách địa phương</w:t>
      </w:r>
    </w:p>
    <w:p w:rsidR="00D43301" w:rsidRDefault="00D43301" w:rsidP="00E91CC9">
      <w:pPr>
        <w:widowControl w:val="0"/>
        <w:spacing w:before="80"/>
        <w:ind w:firstLine="709"/>
        <w:jc w:val="both"/>
        <w:rPr>
          <w:lang w:val="en"/>
        </w:rPr>
      </w:pPr>
      <w:r>
        <w:lastRenderedPageBreak/>
        <w:t>b) Bổ sung từ kết quả hoạt động hàng năm của Quỹ.</w:t>
      </w:r>
    </w:p>
    <w:p w:rsidR="0044615D" w:rsidRDefault="0044615D" w:rsidP="00E91CC9">
      <w:pPr>
        <w:widowControl w:val="0"/>
        <w:spacing w:before="60" w:line="210" w:lineRule="atLeast"/>
        <w:ind w:firstLine="709"/>
        <w:jc w:val="both"/>
      </w:pPr>
      <w:r>
        <w:t>4.2. Vốn chủ sở hữu khác: Bao gồm, quỹ dự phòng tài chính, quỹ đầu tư phát triển và các nguồn vốn hợp pháp khác.</w:t>
      </w:r>
    </w:p>
    <w:p w:rsidR="0044615D" w:rsidRDefault="0044615D" w:rsidP="00E91CC9">
      <w:pPr>
        <w:widowControl w:val="0"/>
        <w:spacing w:before="60" w:line="210" w:lineRule="atLeast"/>
        <w:ind w:firstLine="709"/>
        <w:jc w:val="both"/>
      </w:pPr>
      <w:r>
        <w:t xml:space="preserve">4.3. Vốn huy động: Quỹ Đầu tư phát triển </w:t>
      </w:r>
      <w:r w:rsidR="00304661">
        <w:t xml:space="preserve">Hà Tĩnh </w:t>
      </w:r>
      <w:r>
        <w:t>được huy động nguồn vốn trung và dài hạn của các tổ chức, cá nhân trong và ngoài nước, bao gồm:</w:t>
      </w:r>
    </w:p>
    <w:p w:rsidR="0044615D" w:rsidRDefault="0044615D" w:rsidP="00E91CC9">
      <w:pPr>
        <w:widowControl w:val="0"/>
        <w:spacing w:before="60" w:line="210" w:lineRule="atLeast"/>
        <w:ind w:firstLine="709"/>
        <w:jc w:val="both"/>
      </w:pPr>
      <w:r>
        <w:t>- Vay của các tổ chức tài chính quốc tế;</w:t>
      </w:r>
    </w:p>
    <w:p w:rsidR="0044615D" w:rsidRDefault="0044615D" w:rsidP="00E91CC9">
      <w:pPr>
        <w:widowControl w:val="0"/>
        <w:spacing w:before="60" w:line="210" w:lineRule="atLeast"/>
        <w:ind w:firstLine="709"/>
        <w:jc w:val="both"/>
      </w:pPr>
      <w:r>
        <w:t>- Huy động từ các Quỹ tài chính khác của tỉnh (kể cả các Quỹ nhận ủy thác);</w:t>
      </w:r>
    </w:p>
    <w:p w:rsidR="0044615D" w:rsidRDefault="0044615D" w:rsidP="00E91CC9">
      <w:pPr>
        <w:widowControl w:val="0"/>
        <w:spacing w:before="60" w:line="210" w:lineRule="atLeast"/>
        <w:ind w:firstLine="709"/>
        <w:jc w:val="both"/>
      </w:pPr>
      <w:r>
        <w:t>- Phát hành trái phiếu Quỹ đầu tư phát triển theo quy định của pháp luật;</w:t>
      </w:r>
    </w:p>
    <w:p w:rsidR="0044615D" w:rsidRPr="00F84B20" w:rsidRDefault="0044615D" w:rsidP="00E91CC9">
      <w:pPr>
        <w:widowControl w:val="0"/>
        <w:spacing w:before="60" w:line="210" w:lineRule="atLeast"/>
        <w:ind w:firstLine="709"/>
        <w:jc w:val="both"/>
      </w:pPr>
      <w:r>
        <w:t>- Các hình thức huy động vốn trung và dài hạn khác theo quy định của pháp luật.</w:t>
      </w:r>
    </w:p>
    <w:p w:rsidR="0044615D" w:rsidRDefault="0044615D" w:rsidP="00E91CC9">
      <w:pPr>
        <w:widowControl w:val="0"/>
        <w:spacing w:before="60" w:line="247" w:lineRule="auto"/>
        <w:ind w:firstLine="709"/>
        <w:jc w:val="both"/>
      </w:pPr>
      <w:r>
        <w:t xml:space="preserve">Trên đây là </w:t>
      </w:r>
      <w:r w:rsidR="004969F9">
        <w:t>Đề án</w:t>
      </w:r>
      <w:r>
        <w:t xml:space="preserve"> kiện toàn tổ chức bộ máy và hoạt động của Quỹ Đầu tư phát triển</w:t>
      </w:r>
      <w:r w:rsidR="004969F9">
        <w:t xml:space="preserve"> Hà Tĩnh</w:t>
      </w:r>
      <w:r>
        <w:t>. Kính đề nghị H</w:t>
      </w:r>
      <w:r w:rsidR="00410B14">
        <w:t>ội đồng nhân dân tỉnh thông qua</w:t>
      </w:r>
      <w:r>
        <w:t>./.</w:t>
      </w:r>
    </w:p>
    <w:p w:rsidR="0044615D" w:rsidRDefault="0044615D" w:rsidP="0044615D">
      <w:pPr>
        <w:widowControl w:val="0"/>
        <w:spacing w:before="60" w:line="247" w:lineRule="auto"/>
        <w:ind w:firstLine="560"/>
        <w:jc w:val="both"/>
      </w:pPr>
    </w:p>
    <w:tbl>
      <w:tblPr>
        <w:tblW w:w="0" w:type="auto"/>
        <w:jc w:val="center"/>
        <w:tblInd w:w="-142" w:type="dxa"/>
        <w:tblLook w:val="04A0" w:firstRow="1" w:lastRow="0" w:firstColumn="1" w:lastColumn="0" w:noHBand="0" w:noVBand="1"/>
      </w:tblPr>
      <w:tblGrid>
        <w:gridCol w:w="3890"/>
        <w:gridCol w:w="5111"/>
      </w:tblGrid>
      <w:tr w:rsidR="0044615D" w:rsidRPr="00E35FB5" w:rsidTr="007107E7">
        <w:trPr>
          <w:jc w:val="center"/>
        </w:trPr>
        <w:tc>
          <w:tcPr>
            <w:tcW w:w="3890" w:type="dxa"/>
          </w:tcPr>
          <w:p w:rsidR="0044615D" w:rsidRPr="00E35FB5" w:rsidRDefault="0044615D" w:rsidP="00410B14">
            <w:pPr>
              <w:ind w:firstLine="567"/>
            </w:pPr>
          </w:p>
        </w:tc>
        <w:tc>
          <w:tcPr>
            <w:tcW w:w="5111" w:type="dxa"/>
          </w:tcPr>
          <w:p w:rsidR="0044615D" w:rsidRPr="006955C5" w:rsidRDefault="00410B14" w:rsidP="00A5042E">
            <w:pPr>
              <w:spacing w:before="60"/>
              <w:jc w:val="center"/>
            </w:pPr>
            <w:r>
              <w:rPr>
                <w:b/>
                <w:sz w:val="26"/>
                <w:szCs w:val="26"/>
              </w:rPr>
              <w:t>ỦY BAN NHÂN DÂN TỈNH</w:t>
            </w:r>
          </w:p>
        </w:tc>
      </w:tr>
    </w:tbl>
    <w:p w:rsidR="0044615D" w:rsidRDefault="0044615D" w:rsidP="0044615D">
      <w:pPr>
        <w:widowControl w:val="0"/>
        <w:spacing w:line="252" w:lineRule="auto"/>
        <w:ind w:firstLine="561"/>
        <w:jc w:val="both"/>
      </w:pPr>
    </w:p>
    <w:p w:rsidR="0044615D" w:rsidRDefault="0044615D" w:rsidP="0044615D">
      <w:pPr>
        <w:widowControl w:val="0"/>
        <w:spacing w:line="252" w:lineRule="auto"/>
        <w:ind w:firstLine="561"/>
        <w:jc w:val="both"/>
      </w:pPr>
    </w:p>
    <w:p w:rsidR="0044615D" w:rsidRDefault="0044615D" w:rsidP="0044615D">
      <w:pPr>
        <w:widowControl w:val="0"/>
        <w:spacing w:line="252" w:lineRule="auto"/>
        <w:ind w:firstLine="561"/>
        <w:jc w:val="both"/>
      </w:pPr>
    </w:p>
    <w:p w:rsidR="0044615D" w:rsidRDefault="0044615D" w:rsidP="0044615D">
      <w:pPr>
        <w:widowControl w:val="0"/>
        <w:spacing w:line="252" w:lineRule="auto"/>
        <w:ind w:firstLine="561"/>
        <w:jc w:val="both"/>
      </w:pPr>
    </w:p>
    <w:p w:rsidR="0044615D" w:rsidRDefault="0044615D" w:rsidP="0044615D">
      <w:pPr>
        <w:widowControl w:val="0"/>
        <w:spacing w:line="252" w:lineRule="auto"/>
        <w:ind w:firstLine="561"/>
        <w:jc w:val="both"/>
      </w:pPr>
    </w:p>
    <w:p w:rsidR="0044615D" w:rsidRDefault="0044615D" w:rsidP="0044615D">
      <w:pPr>
        <w:widowControl w:val="0"/>
        <w:spacing w:line="252" w:lineRule="auto"/>
        <w:ind w:firstLine="561"/>
        <w:jc w:val="both"/>
      </w:pPr>
    </w:p>
    <w:p w:rsidR="0044615D" w:rsidRDefault="0044615D" w:rsidP="0044615D">
      <w:pPr>
        <w:widowControl w:val="0"/>
        <w:spacing w:line="252" w:lineRule="auto"/>
        <w:ind w:firstLine="561"/>
        <w:jc w:val="both"/>
      </w:pPr>
    </w:p>
    <w:p w:rsidR="0044615D" w:rsidRDefault="0044615D" w:rsidP="0044615D">
      <w:pPr>
        <w:widowControl w:val="0"/>
        <w:spacing w:line="252" w:lineRule="auto"/>
        <w:ind w:firstLine="561"/>
        <w:jc w:val="both"/>
      </w:pPr>
    </w:p>
    <w:p w:rsidR="0044615D" w:rsidRDefault="0044615D" w:rsidP="00C324F6">
      <w:pPr>
        <w:pStyle w:val="BodyText"/>
        <w:spacing w:before="120" w:line="264" w:lineRule="auto"/>
        <w:ind w:firstLine="720"/>
      </w:pPr>
    </w:p>
    <w:sectPr w:rsidR="0044615D" w:rsidSect="009E07AE">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F1" w:rsidRDefault="002E27F1" w:rsidP="00A5042E">
      <w:r>
        <w:separator/>
      </w:r>
    </w:p>
  </w:endnote>
  <w:endnote w:type="continuationSeparator" w:id="0">
    <w:p w:rsidR="002E27F1" w:rsidRDefault="002E27F1" w:rsidP="00A5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2E" w:rsidRDefault="00A5042E" w:rsidP="00A5042E">
    <w:pPr>
      <w:pStyle w:val="Footer"/>
      <w:jc w:val="center"/>
    </w:pPr>
    <w:r>
      <w:fldChar w:fldCharType="begin"/>
    </w:r>
    <w:r>
      <w:instrText xml:space="preserve"> PAGE   \* MERGEFORMAT </w:instrText>
    </w:r>
    <w:r>
      <w:fldChar w:fldCharType="separate"/>
    </w:r>
    <w:r w:rsidR="00567CA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F1" w:rsidRDefault="002E27F1" w:rsidP="00A5042E">
      <w:r>
        <w:separator/>
      </w:r>
    </w:p>
  </w:footnote>
  <w:footnote w:type="continuationSeparator" w:id="0">
    <w:p w:rsidR="002E27F1" w:rsidRDefault="002E27F1" w:rsidP="00A50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C1FDA"/>
    <w:multiLevelType w:val="hybridMultilevel"/>
    <w:tmpl w:val="861EB372"/>
    <w:lvl w:ilvl="0" w:tplc="706EAD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5A5B98"/>
    <w:multiLevelType w:val="hybridMultilevel"/>
    <w:tmpl w:val="69263924"/>
    <w:lvl w:ilvl="0" w:tplc="BAA03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EC2BDE"/>
    <w:multiLevelType w:val="hybridMultilevel"/>
    <w:tmpl w:val="9ADC9376"/>
    <w:lvl w:ilvl="0" w:tplc="8876B98A">
      <w:start w:val="5"/>
      <w:numFmt w:val="bullet"/>
      <w:lvlText w:val="-"/>
      <w:lvlJc w:val="left"/>
      <w:pPr>
        <w:ind w:left="2055" w:hanging="360"/>
      </w:pPr>
      <w:rPr>
        <w:rFonts w:ascii="Times New Roman" w:eastAsia="Times New Roman" w:hAnsi="Times New Roman" w:cs="Times New Roman"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3">
    <w:nsid w:val="54354186"/>
    <w:multiLevelType w:val="hybridMultilevel"/>
    <w:tmpl w:val="A74ED3FC"/>
    <w:lvl w:ilvl="0" w:tplc="A27C1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93936"/>
    <w:multiLevelType w:val="hybridMultilevel"/>
    <w:tmpl w:val="22F47502"/>
    <w:lvl w:ilvl="0" w:tplc="F1C019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F75062"/>
    <w:multiLevelType w:val="hybridMultilevel"/>
    <w:tmpl w:val="BFD28272"/>
    <w:lvl w:ilvl="0" w:tplc="84089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AB5B5D"/>
    <w:multiLevelType w:val="hybridMultilevel"/>
    <w:tmpl w:val="9860483A"/>
    <w:lvl w:ilvl="0" w:tplc="FD7080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27C3E7D"/>
    <w:multiLevelType w:val="hybridMultilevel"/>
    <w:tmpl w:val="F6EEAE62"/>
    <w:lvl w:ilvl="0" w:tplc="FD706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5E"/>
    <w:rsid w:val="00012C14"/>
    <w:rsid w:val="00013BC7"/>
    <w:rsid w:val="00016E83"/>
    <w:rsid w:val="0002504B"/>
    <w:rsid w:val="00034F0C"/>
    <w:rsid w:val="0003577E"/>
    <w:rsid w:val="0003627E"/>
    <w:rsid w:val="0004162B"/>
    <w:rsid w:val="00054916"/>
    <w:rsid w:val="00056DD2"/>
    <w:rsid w:val="000610F6"/>
    <w:rsid w:val="0006676D"/>
    <w:rsid w:val="000712C3"/>
    <w:rsid w:val="00076BF7"/>
    <w:rsid w:val="000A164E"/>
    <w:rsid w:val="000A2EC9"/>
    <w:rsid w:val="000B19EC"/>
    <w:rsid w:val="000B1DDF"/>
    <w:rsid w:val="000B2390"/>
    <w:rsid w:val="000B4E45"/>
    <w:rsid w:val="000C7AED"/>
    <w:rsid w:val="000D046D"/>
    <w:rsid w:val="000D0C3C"/>
    <w:rsid w:val="000D2537"/>
    <w:rsid w:val="000D72EE"/>
    <w:rsid w:val="000F2D83"/>
    <w:rsid w:val="000F4AF6"/>
    <w:rsid w:val="000F702C"/>
    <w:rsid w:val="00103C46"/>
    <w:rsid w:val="0010431F"/>
    <w:rsid w:val="001045BE"/>
    <w:rsid w:val="001304A1"/>
    <w:rsid w:val="00132AA5"/>
    <w:rsid w:val="00135519"/>
    <w:rsid w:val="00137B89"/>
    <w:rsid w:val="001448FA"/>
    <w:rsid w:val="00147FB2"/>
    <w:rsid w:val="00151EEB"/>
    <w:rsid w:val="00157C32"/>
    <w:rsid w:val="00160860"/>
    <w:rsid w:val="001722D6"/>
    <w:rsid w:val="0017794A"/>
    <w:rsid w:val="00185AC5"/>
    <w:rsid w:val="001866AC"/>
    <w:rsid w:val="001867B9"/>
    <w:rsid w:val="00187EF0"/>
    <w:rsid w:val="00187FF8"/>
    <w:rsid w:val="001B0392"/>
    <w:rsid w:val="001B3095"/>
    <w:rsid w:val="001C5866"/>
    <w:rsid w:val="001C6E1E"/>
    <w:rsid w:val="001D66D8"/>
    <w:rsid w:val="001E079F"/>
    <w:rsid w:val="001E222C"/>
    <w:rsid w:val="001E3493"/>
    <w:rsid w:val="001F09E4"/>
    <w:rsid w:val="001F266C"/>
    <w:rsid w:val="001F4DC7"/>
    <w:rsid w:val="001F63AC"/>
    <w:rsid w:val="001F6F13"/>
    <w:rsid w:val="00202B66"/>
    <w:rsid w:val="0020380C"/>
    <w:rsid w:val="00212C63"/>
    <w:rsid w:val="00216AC3"/>
    <w:rsid w:val="00232ED2"/>
    <w:rsid w:val="00242C45"/>
    <w:rsid w:val="002518EB"/>
    <w:rsid w:val="00256F3D"/>
    <w:rsid w:val="00257155"/>
    <w:rsid w:val="00261958"/>
    <w:rsid w:val="002650C8"/>
    <w:rsid w:val="00266712"/>
    <w:rsid w:val="002746ED"/>
    <w:rsid w:val="00274B4B"/>
    <w:rsid w:val="002855FB"/>
    <w:rsid w:val="0029415B"/>
    <w:rsid w:val="002A7D30"/>
    <w:rsid w:val="002B0E35"/>
    <w:rsid w:val="002B4DC6"/>
    <w:rsid w:val="002B5F9C"/>
    <w:rsid w:val="002C2E52"/>
    <w:rsid w:val="002E27F1"/>
    <w:rsid w:val="002F006E"/>
    <w:rsid w:val="002F365C"/>
    <w:rsid w:val="002F780B"/>
    <w:rsid w:val="00304661"/>
    <w:rsid w:val="00314372"/>
    <w:rsid w:val="00314836"/>
    <w:rsid w:val="00317967"/>
    <w:rsid w:val="003250AF"/>
    <w:rsid w:val="0032643D"/>
    <w:rsid w:val="00331412"/>
    <w:rsid w:val="00332887"/>
    <w:rsid w:val="00336C45"/>
    <w:rsid w:val="003417C1"/>
    <w:rsid w:val="00356B91"/>
    <w:rsid w:val="0036293D"/>
    <w:rsid w:val="0036688A"/>
    <w:rsid w:val="00367D58"/>
    <w:rsid w:val="003807FF"/>
    <w:rsid w:val="003820E5"/>
    <w:rsid w:val="00384153"/>
    <w:rsid w:val="00396F7F"/>
    <w:rsid w:val="003971B6"/>
    <w:rsid w:val="003978DF"/>
    <w:rsid w:val="003A15F6"/>
    <w:rsid w:val="003B07AD"/>
    <w:rsid w:val="003D6406"/>
    <w:rsid w:val="003D70F1"/>
    <w:rsid w:val="003E52B1"/>
    <w:rsid w:val="003F5CC3"/>
    <w:rsid w:val="004049FA"/>
    <w:rsid w:val="00410B14"/>
    <w:rsid w:val="00411948"/>
    <w:rsid w:val="00411E51"/>
    <w:rsid w:val="004129D3"/>
    <w:rsid w:val="00424DD4"/>
    <w:rsid w:val="00433D68"/>
    <w:rsid w:val="004400F6"/>
    <w:rsid w:val="004413B4"/>
    <w:rsid w:val="0044615D"/>
    <w:rsid w:val="0045557E"/>
    <w:rsid w:val="00466188"/>
    <w:rsid w:val="00466B89"/>
    <w:rsid w:val="004775CD"/>
    <w:rsid w:val="00482DF1"/>
    <w:rsid w:val="00493AEA"/>
    <w:rsid w:val="004969F9"/>
    <w:rsid w:val="004A2AB9"/>
    <w:rsid w:val="004C7F00"/>
    <w:rsid w:val="004E2BE6"/>
    <w:rsid w:val="004E393E"/>
    <w:rsid w:val="0052032B"/>
    <w:rsid w:val="00521088"/>
    <w:rsid w:val="0052155C"/>
    <w:rsid w:val="00533286"/>
    <w:rsid w:val="00534369"/>
    <w:rsid w:val="00543E21"/>
    <w:rsid w:val="00544B8E"/>
    <w:rsid w:val="00545E9D"/>
    <w:rsid w:val="005502D9"/>
    <w:rsid w:val="00550E70"/>
    <w:rsid w:val="005570A1"/>
    <w:rsid w:val="00567CAA"/>
    <w:rsid w:val="00576177"/>
    <w:rsid w:val="00577A2C"/>
    <w:rsid w:val="00593C66"/>
    <w:rsid w:val="005A0787"/>
    <w:rsid w:val="005B2B81"/>
    <w:rsid w:val="005B3662"/>
    <w:rsid w:val="005B77B3"/>
    <w:rsid w:val="005C5390"/>
    <w:rsid w:val="005C78A0"/>
    <w:rsid w:val="005D0591"/>
    <w:rsid w:val="005D6475"/>
    <w:rsid w:val="005E4592"/>
    <w:rsid w:val="005F0A1F"/>
    <w:rsid w:val="005F17C3"/>
    <w:rsid w:val="005F31EC"/>
    <w:rsid w:val="0060096C"/>
    <w:rsid w:val="0061411D"/>
    <w:rsid w:val="00620142"/>
    <w:rsid w:val="00637CD6"/>
    <w:rsid w:val="00640E6B"/>
    <w:rsid w:val="00641124"/>
    <w:rsid w:val="00646AF6"/>
    <w:rsid w:val="00647B62"/>
    <w:rsid w:val="00651B05"/>
    <w:rsid w:val="00652C88"/>
    <w:rsid w:val="00666853"/>
    <w:rsid w:val="00672084"/>
    <w:rsid w:val="00675D86"/>
    <w:rsid w:val="00687146"/>
    <w:rsid w:val="006949E6"/>
    <w:rsid w:val="006B2268"/>
    <w:rsid w:val="006B44DD"/>
    <w:rsid w:val="006B5B33"/>
    <w:rsid w:val="006C5537"/>
    <w:rsid w:val="006C75E1"/>
    <w:rsid w:val="006D01C7"/>
    <w:rsid w:val="006D306C"/>
    <w:rsid w:val="006E2B5F"/>
    <w:rsid w:val="006E40D7"/>
    <w:rsid w:val="006E62EF"/>
    <w:rsid w:val="006F1AD6"/>
    <w:rsid w:val="006F20B5"/>
    <w:rsid w:val="006F3DDF"/>
    <w:rsid w:val="006F443F"/>
    <w:rsid w:val="006F530A"/>
    <w:rsid w:val="006F6657"/>
    <w:rsid w:val="006F718A"/>
    <w:rsid w:val="007023CA"/>
    <w:rsid w:val="00703098"/>
    <w:rsid w:val="00703F0E"/>
    <w:rsid w:val="007107E7"/>
    <w:rsid w:val="00714381"/>
    <w:rsid w:val="00714F3F"/>
    <w:rsid w:val="00722081"/>
    <w:rsid w:val="0073031A"/>
    <w:rsid w:val="007358E6"/>
    <w:rsid w:val="007406CD"/>
    <w:rsid w:val="00750551"/>
    <w:rsid w:val="00751701"/>
    <w:rsid w:val="00771227"/>
    <w:rsid w:val="00780E35"/>
    <w:rsid w:val="0078313F"/>
    <w:rsid w:val="007850F9"/>
    <w:rsid w:val="00791033"/>
    <w:rsid w:val="00794C38"/>
    <w:rsid w:val="007A1F58"/>
    <w:rsid w:val="007A32A4"/>
    <w:rsid w:val="007A5024"/>
    <w:rsid w:val="007A7D89"/>
    <w:rsid w:val="007B33F3"/>
    <w:rsid w:val="007B74D6"/>
    <w:rsid w:val="007B7C2E"/>
    <w:rsid w:val="007C421A"/>
    <w:rsid w:val="007C44F0"/>
    <w:rsid w:val="007D04EB"/>
    <w:rsid w:val="007D20AC"/>
    <w:rsid w:val="007D3164"/>
    <w:rsid w:val="007D58DD"/>
    <w:rsid w:val="007D6171"/>
    <w:rsid w:val="007D63FC"/>
    <w:rsid w:val="007D77AF"/>
    <w:rsid w:val="007E00AC"/>
    <w:rsid w:val="007E69DA"/>
    <w:rsid w:val="007F425B"/>
    <w:rsid w:val="00803BD3"/>
    <w:rsid w:val="0081225A"/>
    <w:rsid w:val="0081262E"/>
    <w:rsid w:val="00817708"/>
    <w:rsid w:val="00823B75"/>
    <w:rsid w:val="00833545"/>
    <w:rsid w:val="00834E21"/>
    <w:rsid w:val="00835747"/>
    <w:rsid w:val="008404AD"/>
    <w:rsid w:val="00840D6F"/>
    <w:rsid w:val="00843EBB"/>
    <w:rsid w:val="0084642E"/>
    <w:rsid w:val="0084665F"/>
    <w:rsid w:val="008500AF"/>
    <w:rsid w:val="0085169C"/>
    <w:rsid w:val="00864F7A"/>
    <w:rsid w:val="00865B17"/>
    <w:rsid w:val="00867367"/>
    <w:rsid w:val="008712FA"/>
    <w:rsid w:val="008771C9"/>
    <w:rsid w:val="008900EB"/>
    <w:rsid w:val="00890B68"/>
    <w:rsid w:val="008B29FC"/>
    <w:rsid w:val="008B5FD8"/>
    <w:rsid w:val="008C6DD2"/>
    <w:rsid w:val="008D3961"/>
    <w:rsid w:val="008E3768"/>
    <w:rsid w:val="008E6F77"/>
    <w:rsid w:val="008F57DF"/>
    <w:rsid w:val="0090670B"/>
    <w:rsid w:val="00915E71"/>
    <w:rsid w:val="00927AD5"/>
    <w:rsid w:val="00937230"/>
    <w:rsid w:val="00940A11"/>
    <w:rsid w:val="009422B0"/>
    <w:rsid w:val="00943C2C"/>
    <w:rsid w:val="009443E4"/>
    <w:rsid w:val="0094685F"/>
    <w:rsid w:val="00951BBC"/>
    <w:rsid w:val="00955998"/>
    <w:rsid w:val="009575ED"/>
    <w:rsid w:val="00960112"/>
    <w:rsid w:val="009613D3"/>
    <w:rsid w:val="009675A7"/>
    <w:rsid w:val="00972987"/>
    <w:rsid w:val="00980548"/>
    <w:rsid w:val="00982CF3"/>
    <w:rsid w:val="00983369"/>
    <w:rsid w:val="00994E9D"/>
    <w:rsid w:val="009950FE"/>
    <w:rsid w:val="009B360D"/>
    <w:rsid w:val="009B76DC"/>
    <w:rsid w:val="009C0A13"/>
    <w:rsid w:val="009C3774"/>
    <w:rsid w:val="009D053A"/>
    <w:rsid w:val="009D26C7"/>
    <w:rsid w:val="009D7A6E"/>
    <w:rsid w:val="009E07AE"/>
    <w:rsid w:val="009E7A09"/>
    <w:rsid w:val="009F0CAA"/>
    <w:rsid w:val="00A033B6"/>
    <w:rsid w:val="00A10048"/>
    <w:rsid w:val="00A10DE5"/>
    <w:rsid w:val="00A13B77"/>
    <w:rsid w:val="00A15019"/>
    <w:rsid w:val="00A25794"/>
    <w:rsid w:val="00A30388"/>
    <w:rsid w:val="00A34937"/>
    <w:rsid w:val="00A4445B"/>
    <w:rsid w:val="00A47D83"/>
    <w:rsid w:val="00A5042E"/>
    <w:rsid w:val="00A51770"/>
    <w:rsid w:val="00A55680"/>
    <w:rsid w:val="00A6579B"/>
    <w:rsid w:val="00A67A8D"/>
    <w:rsid w:val="00A71A26"/>
    <w:rsid w:val="00A82457"/>
    <w:rsid w:val="00A90885"/>
    <w:rsid w:val="00AA1D7D"/>
    <w:rsid w:val="00AB1B2F"/>
    <w:rsid w:val="00AB2B66"/>
    <w:rsid w:val="00AB3040"/>
    <w:rsid w:val="00AB4D3F"/>
    <w:rsid w:val="00AC46E4"/>
    <w:rsid w:val="00AD6784"/>
    <w:rsid w:val="00AE16DC"/>
    <w:rsid w:val="00AF4A76"/>
    <w:rsid w:val="00AF6B68"/>
    <w:rsid w:val="00B0400D"/>
    <w:rsid w:val="00B13886"/>
    <w:rsid w:val="00B20D16"/>
    <w:rsid w:val="00B20D3B"/>
    <w:rsid w:val="00B21AC9"/>
    <w:rsid w:val="00B22150"/>
    <w:rsid w:val="00B379C4"/>
    <w:rsid w:val="00B44088"/>
    <w:rsid w:val="00B46BA6"/>
    <w:rsid w:val="00B52ACB"/>
    <w:rsid w:val="00B56366"/>
    <w:rsid w:val="00B57A17"/>
    <w:rsid w:val="00B60C81"/>
    <w:rsid w:val="00B62889"/>
    <w:rsid w:val="00B6549F"/>
    <w:rsid w:val="00B71B47"/>
    <w:rsid w:val="00B72BFC"/>
    <w:rsid w:val="00B757F1"/>
    <w:rsid w:val="00B75A0C"/>
    <w:rsid w:val="00B82F38"/>
    <w:rsid w:val="00B8476B"/>
    <w:rsid w:val="00B9212A"/>
    <w:rsid w:val="00B935EF"/>
    <w:rsid w:val="00BB1268"/>
    <w:rsid w:val="00BB271F"/>
    <w:rsid w:val="00BC4D64"/>
    <w:rsid w:val="00BD22B5"/>
    <w:rsid w:val="00BD2649"/>
    <w:rsid w:val="00BD28B7"/>
    <w:rsid w:val="00BE063A"/>
    <w:rsid w:val="00BE54E5"/>
    <w:rsid w:val="00BF45F7"/>
    <w:rsid w:val="00BF4878"/>
    <w:rsid w:val="00BF5293"/>
    <w:rsid w:val="00C2094F"/>
    <w:rsid w:val="00C324F6"/>
    <w:rsid w:val="00C42C3F"/>
    <w:rsid w:val="00C457F3"/>
    <w:rsid w:val="00C46295"/>
    <w:rsid w:val="00C566CC"/>
    <w:rsid w:val="00C574F2"/>
    <w:rsid w:val="00C57DCA"/>
    <w:rsid w:val="00C629E5"/>
    <w:rsid w:val="00C67A19"/>
    <w:rsid w:val="00C8187B"/>
    <w:rsid w:val="00C9017A"/>
    <w:rsid w:val="00C91D09"/>
    <w:rsid w:val="00C95083"/>
    <w:rsid w:val="00C95DA8"/>
    <w:rsid w:val="00C963E5"/>
    <w:rsid w:val="00C97261"/>
    <w:rsid w:val="00CB69CF"/>
    <w:rsid w:val="00CD40C1"/>
    <w:rsid w:val="00CD68DF"/>
    <w:rsid w:val="00CE0B72"/>
    <w:rsid w:val="00CE170E"/>
    <w:rsid w:val="00CE2A5E"/>
    <w:rsid w:val="00CE7FCC"/>
    <w:rsid w:val="00CF1E10"/>
    <w:rsid w:val="00CF4C70"/>
    <w:rsid w:val="00CF68F4"/>
    <w:rsid w:val="00D012E5"/>
    <w:rsid w:val="00D03724"/>
    <w:rsid w:val="00D037B8"/>
    <w:rsid w:val="00D05965"/>
    <w:rsid w:val="00D07A56"/>
    <w:rsid w:val="00D13729"/>
    <w:rsid w:val="00D22A99"/>
    <w:rsid w:val="00D23038"/>
    <w:rsid w:val="00D26B56"/>
    <w:rsid w:val="00D3240F"/>
    <w:rsid w:val="00D43301"/>
    <w:rsid w:val="00D46349"/>
    <w:rsid w:val="00D55C7D"/>
    <w:rsid w:val="00D56703"/>
    <w:rsid w:val="00D57D81"/>
    <w:rsid w:val="00D63A5E"/>
    <w:rsid w:val="00D709E6"/>
    <w:rsid w:val="00D74869"/>
    <w:rsid w:val="00D81651"/>
    <w:rsid w:val="00D82BB8"/>
    <w:rsid w:val="00D86364"/>
    <w:rsid w:val="00D958F1"/>
    <w:rsid w:val="00DA65DC"/>
    <w:rsid w:val="00DB0659"/>
    <w:rsid w:val="00DB62EC"/>
    <w:rsid w:val="00DB750C"/>
    <w:rsid w:val="00DC4327"/>
    <w:rsid w:val="00DC4CEE"/>
    <w:rsid w:val="00DD2790"/>
    <w:rsid w:val="00DE1DAC"/>
    <w:rsid w:val="00DE3CD1"/>
    <w:rsid w:val="00E00BC9"/>
    <w:rsid w:val="00E12094"/>
    <w:rsid w:val="00E17E90"/>
    <w:rsid w:val="00E32563"/>
    <w:rsid w:val="00E32E2C"/>
    <w:rsid w:val="00E40BA3"/>
    <w:rsid w:val="00E43D76"/>
    <w:rsid w:val="00E4747B"/>
    <w:rsid w:val="00E60181"/>
    <w:rsid w:val="00E60FFE"/>
    <w:rsid w:val="00E630F7"/>
    <w:rsid w:val="00E63E3C"/>
    <w:rsid w:val="00E87D4C"/>
    <w:rsid w:val="00E91C73"/>
    <w:rsid w:val="00E91CC9"/>
    <w:rsid w:val="00EA4520"/>
    <w:rsid w:val="00EB1134"/>
    <w:rsid w:val="00EB4126"/>
    <w:rsid w:val="00EC4467"/>
    <w:rsid w:val="00EC67BB"/>
    <w:rsid w:val="00ED3711"/>
    <w:rsid w:val="00ED4CA7"/>
    <w:rsid w:val="00ED6449"/>
    <w:rsid w:val="00EE27E9"/>
    <w:rsid w:val="00EE3B42"/>
    <w:rsid w:val="00EE3C86"/>
    <w:rsid w:val="00EF0B9A"/>
    <w:rsid w:val="00F00344"/>
    <w:rsid w:val="00F021E9"/>
    <w:rsid w:val="00F02583"/>
    <w:rsid w:val="00F12521"/>
    <w:rsid w:val="00F221CE"/>
    <w:rsid w:val="00F24EB9"/>
    <w:rsid w:val="00F31E14"/>
    <w:rsid w:val="00F33895"/>
    <w:rsid w:val="00F412BC"/>
    <w:rsid w:val="00F46365"/>
    <w:rsid w:val="00F526CF"/>
    <w:rsid w:val="00F5331E"/>
    <w:rsid w:val="00F56609"/>
    <w:rsid w:val="00F6434C"/>
    <w:rsid w:val="00F921A5"/>
    <w:rsid w:val="00F93087"/>
    <w:rsid w:val="00FA4C6C"/>
    <w:rsid w:val="00FA6C0A"/>
    <w:rsid w:val="00FA7847"/>
    <w:rsid w:val="00FC1651"/>
    <w:rsid w:val="00FC6290"/>
    <w:rsid w:val="00FE2850"/>
    <w:rsid w:val="00FF1702"/>
    <w:rsid w:val="00FF2C97"/>
    <w:rsid w:val="00FF33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150"/>
    <w:rPr>
      <w:sz w:val="28"/>
      <w:szCs w:val="28"/>
    </w:rPr>
  </w:style>
  <w:style w:type="paragraph" w:styleId="Heading1">
    <w:name w:val="heading 1"/>
    <w:basedOn w:val="Normal"/>
    <w:next w:val="Normal"/>
    <w:qFormat/>
    <w:rsid w:val="00CE2A5E"/>
    <w:pPr>
      <w:keepNext/>
      <w:jc w:val="right"/>
      <w:outlineLvl w:val="0"/>
    </w:pPr>
    <w:rPr>
      <w:rFonts w:ascii=".VnTime" w:hAnsi=".VnTime"/>
      <w:i/>
      <w:sz w:val="26"/>
      <w:szCs w:val="20"/>
    </w:rPr>
  </w:style>
  <w:style w:type="paragraph" w:styleId="Heading2">
    <w:name w:val="heading 2"/>
    <w:basedOn w:val="Normal"/>
    <w:next w:val="Normal"/>
    <w:qFormat/>
    <w:rsid w:val="00CE2A5E"/>
    <w:pPr>
      <w:keepNext/>
      <w:jc w:val="center"/>
      <w:outlineLvl w:val="1"/>
    </w:pPr>
    <w:rPr>
      <w:rFonts w:ascii=".VnTime" w:hAnsi=".VnTime"/>
      <w:b/>
      <w:szCs w:val="20"/>
    </w:rPr>
  </w:style>
  <w:style w:type="paragraph" w:styleId="Heading3">
    <w:name w:val="heading 3"/>
    <w:basedOn w:val="Normal"/>
    <w:next w:val="Normal"/>
    <w:qFormat/>
    <w:rsid w:val="00CE2A5E"/>
    <w:pPr>
      <w:keepNext/>
      <w:jc w:val="center"/>
      <w:outlineLvl w:val="2"/>
    </w:pPr>
    <w:rPr>
      <w:rFonts w:ascii=".VnTimeH" w:hAnsi=".VnTimeH"/>
      <w:b/>
      <w:bCs/>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E2A5E"/>
    <w:pPr>
      <w:ind w:firstLine="284"/>
    </w:pPr>
    <w:rPr>
      <w:rFonts w:ascii=".VnTime" w:hAnsi=".VnTime"/>
      <w:szCs w:val="20"/>
    </w:rPr>
  </w:style>
  <w:style w:type="paragraph" w:styleId="BodyText">
    <w:name w:val="Body Text"/>
    <w:basedOn w:val="Normal"/>
    <w:rsid w:val="00D012E5"/>
    <w:pPr>
      <w:jc w:val="both"/>
    </w:pPr>
    <w:rPr>
      <w:szCs w:val="24"/>
    </w:rPr>
  </w:style>
  <w:style w:type="paragraph" w:customStyle="1" w:styleId="CharCharCharCharCharCharCharCharChar1Char">
    <w:name w:val="Char Char Char Char Char Char Char Char Char1 Char"/>
    <w:basedOn w:val="Normal"/>
    <w:next w:val="Normal"/>
    <w:autoRedefine/>
    <w:semiHidden/>
    <w:rsid w:val="00791033"/>
    <w:pPr>
      <w:spacing w:before="120" w:after="120" w:line="312" w:lineRule="auto"/>
    </w:pPr>
    <w:rPr>
      <w:szCs w:val="22"/>
    </w:rPr>
  </w:style>
  <w:style w:type="paragraph" w:customStyle="1" w:styleId="DefaultParagraphFontParaCharCharCharCharChar">
    <w:name w:val="Default Paragraph Font Para Char Char Char Char Char"/>
    <w:autoRedefine/>
    <w:rsid w:val="00A71A26"/>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4129D3"/>
    <w:rPr>
      <w:rFonts w:ascii="Tahoma" w:hAnsi="Tahoma" w:cs="Tahoma"/>
      <w:sz w:val="16"/>
      <w:szCs w:val="16"/>
    </w:rPr>
  </w:style>
  <w:style w:type="paragraph" w:customStyle="1" w:styleId="CharCharCharChar">
    <w:name w:val="Char Char Char Char"/>
    <w:basedOn w:val="Normal"/>
    <w:rsid w:val="00EE3C86"/>
    <w:pPr>
      <w:spacing w:after="160" w:line="240" w:lineRule="exact"/>
    </w:pPr>
    <w:rPr>
      <w:rFonts w:ascii="Verdana" w:hAnsi="Verdana"/>
      <w:sz w:val="20"/>
      <w:szCs w:val="20"/>
    </w:rPr>
  </w:style>
  <w:style w:type="table" w:styleId="TableGrid">
    <w:name w:val="Table Grid"/>
    <w:basedOn w:val="TableNormal"/>
    <w:rsid w:val="00446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949E6"/>
    <w:pPr>
      <w:spacing w:after="120"/>
      <w:ind w:left="360"/>
    </w:pPr>
  </w:style>
  <w:style w:type="character" w:customStyle="1" w:styleId="BodyTextIndentChar">
    <w:name w:val="Body Text Indent Char"/>
    <w:link w:val="BodyTextIndent"/>
    <w:rsid w:val="006949E6"/>
    <w:rPr>
      <w:sz w:val="28"/>
      <w:szCs w:val="28"/>
    </w:rPr>
  </w:style>
  <w:style w:type="paragraph" w:styleId="Header">
    <w:name w:val="header"/>
    <w:basedOn w:val="Normal"/>
    <w:link w:val="HeaderChar"/>
    <w:rsid w:val="00A5042E"/>
    <w:pPr>
      <w:tabs>
        <w:tab w:val="center" w:pos="4680"/>
        <w:tab w:val="right" w:pos="9360"/>
      </w:tabs>
    </w:pPr>
  </w:style>
  <w:style w:type="character" w:customStyle="1" w:styleId="HeaderChar">
    <w:name w:val="Header Char"/>
    <w:link w:val="Header"/>
    <w:rsid w:val="00A5042E"/>
    <w:rPr>
      <w:sz w:val="28"/>
      <w:szCs w:val="28"/>
    </w:rPr>
  </w:style>
  <w:style w:type="paragraph" w:styleId="Footer">
    <w:name w:val="footer"/>
    <w:basedOn w:val="Normal"/>
    <w:link w:val="FooterChar"/>
    <w:uiPriority w:val="99"/>
    <w:rsid w:val="00A5042E"/>
    <w:pPr>
      <w:tabs>
        <w:tab w:val="center" w:pos="4680"/>
        <w:tab w:val="right" w:pos="9360"/>
      </w:tabs>
    </w:pPr>
  </w:style>
  <w:style w:type="character" w:customStyle="1" w:styleId="FooterChar">
    <w:name w:val="Footer Char"/>
    <w:link w:val="Footer"/>
    <w:uiPriority w:val="99"/>
    <w:rsid w:val="00A5042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150"/>
    <w:rPr>
      <w:sz w:val="28"/>
      <w:szCs w:val="28"/>
    </w:rPr>
  </w:style>
  <w:style w:type="paragraph" w:styleId="Heading1">
    <w:name w:val="heading 1"/>
    <w:basedOn w:val="Normal"/>
    <w:next w:val="Normal"/>
    <w:qFormat/>
    <w:rsid w:val="00CE2A5E"/>
    <w:pPr>
      <w:keepNext/>
      <w:jc w:val="right"/>
      <w:outlineLvl w:val="0"/>
    </w:pPr>
    <w:rPr>
      <w:rFonts w:ascii=".VnTime" w:hAnsi=".VnTime"/>
      <w:i/>
      <w:sz w:val="26"/>
      <w:szCs w:val="20"/>
    </w:rPr>
  </w:style>
  <w:style w:type="paragraph" w:styleId="Heading2">
    <w:name w:val="heading 2"/>
    <w:basedOn w:val="Normal"/>
    <w:next w:val="Normal"/>
    <w:qFormat/>
    <w:rsid w:val="00CE2A5E"/>
    <w:pPr>
      <w:keepNext/>
      <w:jc w:val="center"/>
      <w:outlineLvl w:val="1"/>
    </w:pPr>
    <w:rPr>
      <w:rFonts w:ascii=".VnTime" w:hAnsi=".VnTime"/>
      <w:b/>
      <w:szCs w:val="20"/>
    </w:rPr>
  </w:style>
  <w:style w:type="paragraph" w:styleId="Heading3">
    <w:name w:val="heading 3"/>
    <w:basedOn w:val="Normal"/>
    <w:next w:val="Normal"/>
    <w:qFormat/>
    <w:rsid w:val="00CE2A5E"/>
    <w:pPr>
      <w:keepNext/>
      <w:jc w:val="center"/>
      <w:outlineLvl w:val="2"/>
    </w:pPr>
    <w:rPr>
      <w:rFonts w:ascii=".VnTimeH" w:hAnsi=".VnTimeH"/>
      <w:b/>
      <w:bCs/>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E2A5E"/>
    <w:pPr>
      <w:ind w:firstLine="284"/>
    </w:pPr>
    <w:rPr>
      <w:rFonts w:ascii=".VnTime" w:hAnsi=".VnTime"/>
      <w:szCs w:val="20"/>
    </w:rPr>
  </w:style>
  <w:style w:type="paragraph" w:styleId="BodyText">
    <w:name w:val="Body Text"/>
    <w:basedOn w:val="Normal"/>
    <w:rsid w:val="00D012E5"/>
    <w:pPr>
      <w:jc w:val="both"/>
    </w:pPr>
    <w:rPr>
      <w:szCs w:val="24"/>
    </w:rPr>
  </w:style>
  <w:style w:type="paragraph" w:customStyle="1" w:styleId="CharCharCharCharCharCharCharCharChar1Char">
    <w:name w:val="Char Char Char Char Char Char Char Char Char1 Char"/>
    <w:basedOn w:val="Normal"/>
    <w:next w:val="Normal"/>
    <w:autoRedefine/>
    <w:semiHidden/>
    <w:rsid w:val="00791033"/>
    <w:pPr>
      <w:spacing w:before="120" w:after="120" w:line="312" w:lineRule="auto"/>
    </w:pPr>
    <w:rPr>
      <w:szCs w:val="22"/>
    </w:rPr>
  </w:style>
  <w:style w:type="paragraph" w:customStyle="1" w:styleId="DefaultParagraphFontParaCharCharCharCharChar">
    <w:name w:val="Default Paragraph Font Para Char Char Char Char Char"/>
    <w:autoRedefine/>
    <w:rsid w:val="00A71A26"/>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4129D3"/>
    <w:rPr>
      <w:rFonts w:ascii="Tahoma" w:hAnsi="Tahoma" w:cs="Tahoma"/>
      <w:sz w:val="16"/>
      <w:szCs w:val="16"/>
    </w:rPr>
  </w:style>
  <w:style w:type="paragraph" w:customStyle="1" w:styleId="CharCharCharChar">
    <w:name w:val="Char Char Char Char"/>
    <w:basedOn w:val="Normal"/>
    <w:rsid w:val="00EE3C86"/>
    <w:pPr>
      <w:spacing w:after="160" w:line="240" w:lineRule="exact"/>
    </w:pPr>
    <w:rPr>
      <w:rFonts w:ascii="Verdana" w:hAnsi="Verdana"/>
      <w:sz w:val="20"/>
      <w:szCs w:val="20"/>
    </w:rPr>
  </w:style>
  <w:style w:type="table" w:styleId="TableGrid">
    <w:name w:val="Table Grid"/>
    <w:basedOn w:val="TableNormal"/>
    <w:rsid w:val="00446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949E6"/>
    <w:pPr>
      <w:spacing w:after="120"/>
      <w:ind w:left="360"/>
    </w:pPr>
  </w:style>
  <w:style w:type="character" w:customStyle="1" w:styleId="BodyTextIndentChar">
    <w:name w:val="Body Text Indent Char"/>
    <w:link w:val="BodyTextIndent"/>
    <w:rsid w:val="006949E6"/>
    <w:rPr>
      <w:sz w:val="28"/>
      <w:szCs w:val="28"/>
    </w:rPr>
  </w:style>
  <w:style w:type="paragraph" w:styleId="Header">
    <w:name w:val="header"/>
    <w:basedOn w:val="Normal"/>
    <w:link w:val="HeaderChar"/>
    <w:rsid w:val="00A5042E"/>
    <w:pPr>
      <w:tabs>
        <w:tab w:val="center" w:pos="4680"/>
        <w:tab w:val="right" w:pos="9360"/>
      </w:tabs>
    </w:pPr>
  </w:style>
  <w:style w:type="character" w:customStyle="1" w:styleId="HeaderChar">
    <w:name w:val="Header Char"/>
    <w:link w:val="Header"/>
    <w:rsid w:val="00A5042E"/>
    <w:rPr>
      <w:sz w:val="28"/>
      <w:szCs w:val="28"/>
    </w:rPr>
  </w:style>
  <w:style w:type="paragraph" w:styleId="Footer">
    <w:name w:val="footer"/>
    <w:basedOn w:val="Normal"/>
    <w:link w:val="FooterChar"/>
    <w:uiPriority w:val="99"/>
    <w:rsid w:val="00A5042E"/>
    <w:pPr>
      <w:tabs>
        <w:tab w:val="center" w:pos="4680"/>
        <w:tab w:val="right" w:pos="9360"/>
      </w:tabs>
    </w:pPr>
  </w:style>
  <w:style w:type="character" w:customStyle="1" w:styleId="FooterChar">
    <w:name w:val="Footer Char"/>
    <w:link w:val="Footer"/>
    <w:uiPriority w:val="99"/>
    <w:rsid w:val="00A5042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210">
      <w:bodyDiv w:val="1"/>
      <w:marLeft w:val="0"/>
      <w:marRight w:val="0"/>
      <w:marTop w:val="0"/>
      <w:marBottom w:val="0"/>
      <w:divBdr>
        <w:top w:val="none" w:sz="0" w:space="0" w:color="auto"/>
        <w:left w:val="none" w:sz="0" w:space="0" w:color="auto"/>
        <w:bottom w:val="none" w:sz="0" w:space="0" w:color="auto"/>
        <w:right w:val="none" w:sz="0" w:space="0" w:color="auto"/>
      </w:divBdr>
    </w:div>
    <w:div w:id="807431964">
      <w:bodyDiv w:val="1"/>
      <w:marLeft w:val="0"/>
      <w:marRight w:val="0"/>
      <w:marTop w:val="0"/>
      <w:marBottom w:val="0"/>
      <w:divBdr>
        <w:top w:val="none" w:sz="0" w:space="0" w:color="auto"/>
        <w:left w:val="none" w:sz="0" w:space="0" w:color="auto"/>
        <w:bottom w:val="none" w:sz="0" w:space="0" w:color="auto"/>
        <w:right w:val="none" w:sz="0" w:space="0" w:color="auto"/>
      </w:divBdr>
    </w:div>
    <w:div w:id="1600719221">
      <w:bodyDiv w:val="1"/>
      <w:marLeft w:val="0"/>
      <w:marRight w:val="0"/>
      <w:marTop w:val="0"/>
      <w:marBottom w:val="0"/>
      <w:divBdr>
        <w:top w:val="none" w:sz="0" w:space="0" w:color="auto"/>
        <w:left w:val="none" w:sz="0" w:space="0" w:color="auto"/>
        <w:bottom w:val="none" w:sz="0" w:space="0" w:color="auto"/>
        <w:right w:val="none" w:sz="0" w:space="0" w:color="auto"/>
      </w:divBdr>
    </w:div>
    <w:div w:id="17447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C7171-F9D0-4DCC-A320-12F767E8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QUỸ ĐẦU TƯ</vt:lpstr>
    </vt:vector>
  </TitlesOfParts>
  <Company>HOME</Company>
  <LinksUpToDate>false</LinksUpToDate>
  <CharactersWithSpaces>25253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QUỸ ĐẦU TƯ</dc:title>
  <dc:creator>User</dc:creator>
  <cp:lastModifiedBy>Tong hop</cp:lastModifiedBy>
  <cp:revision>3</cp:revision>
  <cp:lastPrinted>2016-12-09T08:55:00Z</cp:lastPrinted>
  <dcterms:created xsi:type="dcterms:W3CDTF">2016-12-09T08:58:00Z</dcterms:created>
  <dcterms:modified xsi:type="dcterms:W3CDTF">2016-12-12T02:26:00Z</dcterms:modified>
</cp:coreProperties>
</file>