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73" w:type="pct"/>
        <w:tblCellMar>
          <w:left w:w="0" w:type="dxa"/>
          <w:right w:w="0" w:type="dxa"/>
        </w:tblCellMar>
        <w:tblLook w:val="04A0" w:firstRow="1" w:lastRow="0" w:firstColumn="1" w:lastColumn="0" w:noHBand="0" w:noVBand="1"/>
      </w:tblPr>
      <w:tblGrid>
        <w:gridCol w:w="3534"/>
        <w:gridCol w:w="6261"/>
      </w:tblGrid>
      <w:tr w:rsidR="000D7BA8" w14:paraId="0AC4ED3E" w14:textId="77777777" w:rsidTr="0058317D">
        <w:tc>
          <w:tcPr>
            <w:tcW w:w="3637" w:type="dxa"/>
            <w:tcMar>
              <w:top w:w="0" w:type="dxa"/>
              <w:left w:w="108" w:type="dxa"/>
              <w:bottom w:w="0" w:type="dxa"/>
              <w:right w:w="108" w:type="dxa"/>
            </w:tcMar>
          </w:tcPr>
          <w:p w14:paraId="35645871" w14:textId="2CC04DD2" w:rsidR="000D7BA8" w:rsidRPr="00CB5C82" w:rsidRDefault="00FD4EE5" w:rsidP="00F03F0C">
            <w:pPr>
              <w:jc w:val="center"/>
              <w:rPr>
                <w:sz w:val="28"/>
                <w:szCs w:val="28"/>
              </w:rPr>
            </w:pPr>
            <w:bookmarkStart w:id="0" w:name="bookmark0"/>
            <w:r>
              <w:rPr>
                <w:b/>
                <w:bCs/>
                <w:noProof/>
                <w:sz w:val="28"/>
                <w:szCs w:val="28"/>
              </w:rPr>
              <mc:AlternateContent>
                <mc:Choice Requires="wps">
                  <w:drawing>
                    <wp:anchor distT="0" distB="0" distL="114300" distR="114300" simplePos="0" relativeHeight="251660288" behindDoc="0" locked="0" layoutInCell="1" allowOverlap="1" wp14:anchorId="186B54ED" wp14:editId="4CD544E1">
                      <wp:simplePos x="0" y="0"/>
                      <wp:positionH relativeFrom="column">
                        <wp:posOffset>735965</wp:posOffset>
                      </wp:positionH>
                      <wp:positionV relativeFrom="paragraph">
                        <wp:posOffset>435610</wp:posOffset>
                      </wp:positionV>
                      <wp:extent cx="577850" cy="0"/>
                      <wp:effectExtent l="12065" t="6985" r="10160" b="12065"/>
                      <wp:wrapNone/>
                      <wp:docPr id="119263689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5A180" id="_x0000_t32" coordsize="21600,21600" o:spt="32" o:oned="t" path="m,l21600,21600e" filled="f">
                      <v:path arrowok="t" fillok="f" o:connecttype="none"/>
                      <o:lock v:ext="edit" shapetype="t"/>
                    </v:shapetype>
                    <v:shape id="AutoShape 8" o:spid="_x0000_s1026" type="#_x0000_t32" style="position:absolute;margin-left:57.95pt;margin-top:34.3pt;width: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"/>
                  </w:pict>
                </mc:Fallback>
              </mc:AlternateContent>
            </w:r>
            <w:r w:rsidR="000D7BA8" w:rsidRPr="00CB5C82">
              <w:rPr>
                <w:b/>
                <w:bCs/>
                <w:sz w:val="28"/>
                <w:szCs w:val="28"/>
              </w:rPr>
              <w:t>HỘI ĐỒNG NHÂN DÂN</w:t>
            </w:r>
            <w:r w:rsidR="000D7BA8" w:rsidRPr="00CB5C82">
              <w:rPr>
                <w:b/>
                <w:bCs/>
                <w:sz w:val="28"/>
                <w:szCs w:val="28"/>
              </w:rPr>
              <w:br/>
              <w:t xml:space="preserve">TỈNH </w:t>
            </w:r>
            <w:bookmarkEnd w:id="0"/>
            <w:r w:rsidR="00485F01">
              <w:rPr>
                <w:b/>
                <w:bCs/>
                <w:sz w:val="28"/>
                <w:szCs w:val="28"/>
              </w:rPr>
              <w:t>HÀ TĨNH</w:t>
            </w:r>
          </w:p>
        </w:tc>
        <w:tc>
          <w:tcPr>
            <w:tcW w:w="6509" w:type="dxa"/>
            <w:tcMar>
              <w:top w:w="0" w:type="dxa"/>
              <w:left w:w="108" w:type="dxa"/>
              <w:bottom w:w="0" w:type="dxa"/>
              <w:right w:w="108" w:type="dxa"/>
            </w:tcMar>
          </w:tcPr>
          <w:p w14:paraId="65A1C9BB" w14:textId="5177F0FC" w:rsidR="000D7BA8" w:rsidRPr="00CB5C82" w:rsidRDefault="00FD4EE5" w:rsidP="00F03F0C">
            <w:pPr>
              <w:jc w:val="center"/>
              <w:rPr>
                <w:sz w:val="28"/>
                <w:szCs w:val="28"/>
              </w:rPr>
            </w:pPr>
            <w:r>
              <w:rPr>
                <w:b/>
                <w:bCs/>
                <w:noProof/>
                <w:sz w:val="28"/>
                <w:szCs w:val="28"/>
              </w:rPr>
              <mc:AlternateContent>
                <mc:Choice Requires="wps">
                  <w:drawing>
                    <wp:anchor distT="0" distB="0" distL="114300" distR="114300" simplePos="0" relativeHeight="251661312" behindDoc="0" locked="0" layoutInCell="1" allowOverlap="1" wp14:anchorId="0151659C" wp14:editId="4798FA85">
                      <wp:simplePos x="0" y="0"/>
                      <wp:positionH relativeFrom="column">
                        <wp:posOffset>854075</wp:posOffset>
                      </wp:positionH>
                      <wp:positionV relativeFrom="paragraph">
                        <wp:posOffset>454660</wp:posOffset>
                      </wp:positionV>
                      <wp:extent cx="2120900" cy="0"/>
                      <wp:effectExtent l="6350" t="6985" r="6350" b="12065"/>
                      <wp:wrapNone/>
                      <wp:docPr id="80407496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3550B" id="AutoShape 9" o:spid="_x0000_s1026" type="#_x0000_t32" style="position:absolute;margin-left:67.25pt;margin-top:35.8pt;width:16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"/>
                  </w:pict>
                </mc:Fallback>
              </mc:AlternateContent>
            </w:r>
            <w:r w:rsidR="000D7BA8" w:rsidRPr="00CB5C82">
              <w:rPr>
                <w:b/>
                <w:bCs/>
                <w:sz w:val="28"/>
                <w:szCs w:val="28"/>
              </w:rPr>
              <w:t>CỘNG HÒA XÃ HỘI CHỦ NGHĨA</w:t>
            </w:r>
            <w:r w:rsidR="000F2394">
              <w:rPr>
                <w:b/>
                <w:bCs/>
                <w:sz w:val="28"/>
                <w:szCs w:val="28"/>
              </w:rPr>
              <w:t xml:space="preserve"> </w:t>
            </w:r>
            <w:r w:rsidR="000D7BA8" w:rsidRPr="00CB5C82">
              <w:rPr>
                <w:b/>
                <w:bCs/>
                <w:sz w:val="28"/>
                <w:szCs w:val="28"/>
              </w:rPr>
              <w:t>VIỆT</w:t>
            </w:r>
            <w:r w:rsidR="000F2394">
              <w:rPr>
                <w:b/>
                <w:bCs/>
                <w:sz w:val="28"/>
                <w:szCs w:val="28"/>
              </w:rPr>
              <w:t xml:space="preserve"> </w:t>
            </w:r>
            <w:r w:rsidR="000D7BA8" w:rsidRPr="00CB5C82">
              <w:rPr>
                <w:b/>
                <w:bCs/>
                <w:sz w:val="28"/>
                <w:szCs w:val="28"/>
              </w:rPr>
              <w:t>NAM</w:t>
            </w:r>
            <w:r w:rsidR="000D7BA8" w:rsidRPr="00CB5C82">
              <w:rPr>
                <w:b/>
                <w:bCs/>
                <w:sz w:val="28"/>
                <w:szCs w:val="28"/>
              </w:rPr>
              <w:br/>
              <w:t xml:space="preserve">Độc lập - Tự do - Hạnh phúc </w:t>
            </w:r>
            <w:r w:rsidR="000D7BA8" w:rsidRPr="00CB5C82">
              <w:rPr>
                <w:b/>
                <w:bCs/>
                <w:sz w:val="28"/>
                <w:szCs w:val="28"/>
              </w:rPr>
              <w:br/>
            </w:r>
          </w:p>
        </w:tc>
      </w:tr>
      <w:tr w:rsidR="000D7BA8" w14:paraId="2AA1CA62" w14:textId="77777777" w:rsidTr="0058317D">
        <w:trPr>
          <w:trHeight w:val="432"/>
        </w:trPr>
        <w:tc>
          <w:tcPr>
            <w:tcW w:w="3637" w:type="dxa"/>
            <w:tcMar>
              <w:top w:w="0" w:type="dxa"/>
              <w:left w:w="108" w:type="dxa"/>
              <w:bottom w:w="0" w:type="dxa"/>
              <w:right w:w="108" w:type="dxa"/>
            </w:tcMar>
          </w:tcPr>
          <w:p w14:paraId="3FCE22FD" w14:textId="70E6B758" w:rsidR="000D7BA8" w:rsidRPr="00CB5C82" w:rsidRDefault="000D7BA8" w:rsidP="00F03F0C">
            <w:pPr>
              <w:jc w:val="center"/>
              <w:rPr>
                <w:sz w:val="28"/>
                <w:szCs w:val="28"/>
              </w:rPr>
            </w:pPr>
            <w:r w:rsidRPr="00CB5C82">
              <w:rPr>
                <w:sz w:val="28"/>
                <w:szCs w:val="28"/>
              </w:rPr>
              <w:t>Số:</w:t>
            </w:r>
            <w:r w:rsidR="00CB5C82">
              <w:rPr>
                <w:sz w:val="28"/>
                <w:szCs w:val="28"/>
              </w:rPr>
              <w:t xml:space="preserve">       </w:t>
            </w:r>
            <w:r w:rsidR="00FD4EE5">
              <w:rPr>
                <w:sz w:val="28"/>
                <w:szCs w:val="28"/>
              </w:rPr>
              <w:t xml:space="preserve">  </w:t>
            </w:r>
            <w:r w:rsidR="00CB5C82">
              <w:rPr>
                <w:sz w:val="28"/>
                <w:szCs w:val="28"/>
              </w:rPr>
              <w:t xml:space="preserve">  </w:t>
            </w:r>
            <w:r w:rsidRPr="00CB5C82">
              <w:rPr>
                <w:sz w:val="28"/>
                <w:szCs w:val="28"/>
              </w:rPr>
              <w:t>/202</w:t>
            </w:r>
            <w:r w:rsidR="00AA4EE4">
              <w:rPr>
                <w:sz w:val="28"/>
                <w:szCs w:val="28"/>
              </w:rPr>
              <w:t>6</w:t>
            </w:r>
            <w:r w:rsidRPr="00CB5C82">
              <w:rPr>
                <w:sz w:val="28"/>
                <w:szCs w:val="28"/>
              </w:rPr>
              <w:t>/NQ-HĐND</w:t>
            </w:r>
          </w:p>
        </w:tc>
        <w:tc>
          <w:tcPr>
            <w:tcW w:w="6509" w:type="dxa"/>
            <w:tcMar>
              <w:top w:w="0" w:type="dxa"/>
              <w:left w:w="108" w:type="dxa"/>
              <w:bottom w:w="0" w:type="dxa"/>
              <w:right w:w="108" w:type="dxa"/>
            </w:tcMar>
          </w:tcPr>
          <w:p w14:paraId="622117FA" w14:textId="5D96C902" w:rsidR="000D7BA8" w:rsidRPr="00CB5C82" w:rsidRDefault="00FD4EE5" w:rsidP="00F03F0C">
            <w:pPr>
              <w:jc w:val="center"/>
              <w:rPr>
                <w:sz w:val="28"/>
                <w:szCs w:val="28"/>
              </w:rPr>
            </w:pPr>
            <w:r>
              <w:rPr>
                <w:i/>
                <w:iCs/>
                <w:sz w:val="28"/>
                <w:szCs w:val="28"/>
              </w:rPr>
              <w:t xml:space="preserve">   </w:t>
            </w:r>
            <w:r w:rsidR="00B0352F">
              <w:rPr>
                <w:i/>
                <w:iCs/>
                <w:sz w:val="28"/>
                <w:szCs w:val="28"/>
              </w:rPr>
              <w:t>Hà Tĩnh</w:t>
            </w:r>
            <w:r w:rsidR="000D7BA8" w:rsidRPr="00CB5C82">
              <w:rPr>
                <w:i/>
                <w:iCs/>
                <w:sz w:val="28"/>
                <w:szCs w:val="28"/>
              </w:rPr>
              <w:t xml:space="preserve">, ngày </w:t>
            </w:r>
            <w:r w:rsidR="00CB5C82">
              <w:rPr>
                <w:i/>
                <w:iCs/>
                <w:sz w:val="28"/>
                <w:szCs w:val="28"/>
              </w:rPr>
              <w:t xml:space="preserve">    </w:t>
            </w:r>
            <w:r w:rsidR="000D7BA8" w:rsidRPr="00CB5C82">
              <w:rPr>
                <w:i/>
                <w:iCs/>
                <w:sz w:val="28"/>
                <w:szCs w:val="28"/>
              </w:rPr>
              <w:t xml:space="preserve"> tháng </w:t>
            </w:r>
            <w:r w:rsidR="00AA4EE4">
              <w:rPr>
                <w:i/>
                <w:iCs/>
                <w:sz w:val="28"/>
                <w:szCs w:val="28"/>
              </w:rPr>
              <w:t xml:space="preserve">  </w:t>
            </w:r>
            <w:r w:rsidR="0075091B">
              <w:rPr>
                <w:i/>
                <w:iCs/>
                <w:sz w:val="28"/>
                <w:szCs w:val="28"/>
              </w:rPr>
              <w:t xml:space="preserve"> </w:t>
            </w:r>
            <w:r w:rsidR="000D7BA8" w:rsidRPr="00CB5C82">
              <w:rPr>
                <w:i/>
                <w:iCs/>
                <w:sz w:val="28"/>
                <w:szCs w:val="28"/>
              </w:rPr>
              <w:t>năm 202</w:t>
            </w:r>
            <w:r w:rsidR="00B0352F">
              <w:rPr>
                <w:i/>
                <w:iCs/>
                <w:sz w:val="28"/>
                <w:szCs w:val="28"/>
              </w:rPr>
              <w:t>6</w:t>
            </w:r>
          </w:p>
        </w:tc>
      </w:tr>
    </w:tbl>
    <w:p w14:paraId="1BDDCF0C" w14:textId="64F0E161" w:rsidR="002F79C9" w:rsidRDefault="00FD4EE5" w:rsidP="000239EA">
      <w:pPr>
        <w:rPr>
          <w:b/>
          <w:bCs/>
          <w:sz w:val="28"/>
          <w:szCs w:val="28"/>
        </w:rPr>
      </w:pPr>
      <w:r>
        <w:rPr>
          <w:noProof/>
        </w:rPr>
        <mc:AlternateContent>
          <mc:Choice Requires="wps">
            <w:drawing>
              <wp:anchor distT="0" distB="0" distL="114300" distR="114300" simplePos="0" relativeHeight="251658240" behindDoc="0" locked="0" layoutInCell="1" allowOverlap="1" wp14:anchorId="611EDF4E" wp14:editId="7104EC79">
                <wp:simplePos x="0" y="0"/>
                <wp:positionH relativeFrom="column">
                  <wp:posOffset>527050</wp:posOffset>
                </wp:positionH>
                <wp:positionV relativeFrom="paragraph">
                  <wp:posOffset>146685</wp:posOffset>
                </wp:positionV>
                <wp:extent cx="1052195" cy="295275"/>
                <wp:effectExtent l="0" t="0" r="0" b="9525"/>
                <wp:wrapNone/>
                <wp:docPr id="4793535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19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7D307F" w14:textId="77777777" w:rsidR="0058317D" w:rsidRPr="00920010" w:rsidRDefault="00AF3639" w:rsidP="0058317D">
                            <w:pPr>
                              <w:jc w:val="center"/>
                              <w:rPr>
                                <w:b/>
                                <w:bCs/>
                              </w:rPr>
                            </w:pPr>
                            <w:r>
                              <w:rPr>
                                <w:b/>
                                <w:bCs/>
                              </w:rPr>
                              <w:t>DỰ THẢO</w:t>
                            </w:r>
                            <w:r w:rsidR="0058317D" w:rsidRPr="00920010">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EDF4E" id="Rectangle 3" o:spid="_x0000_s1026" style="position:absolute;margin-left:41.5pt;margin-top:11.55pt;width:82.8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" fillcolor="window" strokecolor="windowText" strokeweight="1pt">
                <v:path arrowok="t"/>
                <v:textbox>
                  <w:txbxContent>
                    <w:p w14:paraId="677D307F" w14:textId="77777777" w:rsidR="0058317D" w:rsidRPr="00920010" w:rsidRDefault="00AF3639" w:rsidP="0058317D">
                      <w:pPr>
                        <w:jc w:val="center"/>
                        <w:rPr>
                          <w:b/>
                          <w:bCs/>
                        </w:rPr>
                      </w:pPr>
                      <w:r>
                        <w:rPr>
                          <w:b/>
                          <w:bCs/>
                        </w:rPr>
                        <w:t>DỰ THẢO</w:t>
                      </w:r>
                      <w:r w:rsidR="0058317D" w:rsidRPr="00920010">
                        <w:rPr>
                          <w:b/>
                          <w:bCs/>
                        </w:rPr>
                        <w:t xml:space="preserve"> </w:t>
                      </w:r>
                    </w:p>
                  </w:txbxContent>
                </v:textbox>
              </v:rect>
            </w:pict>
          </mc:Fallback>
        </mc:AlternateContent>
      </w:r>
    </w:p>
    <w:p w14:paraId="275CB0BD" w14:textId="719EB1C7" w:rsidR="002666CA" w:rsidRPr="00B010B4" w:rsidRDefault="00B010B4" w:rsidP="00B010B4">
      <w:pPr>
        <w:tabs>
          <w:tab w:val="center" w:pos="4536"/>
        </w:tabs>
        <w:rPr>
          <w:b/>
          <w:bCs/>
          <w:sz w:val="48"/>
          <w:szCs w:val="48"/>
        </w:rPr>
      </w:pPr>
      <w:r>
        <w:rPr>
          <w:b/>
          <w:bCs/>
          <w:sz w:val="28"/>
          <w:szCs w:val="28"/>
        </w:rPr>
        <w:tab/>
      </w:r>
    </w:p>
    <w:p w14:paraId="29F51109" w14:textId="77777777" w:rsidR="000D7BA8" w:rsidRPr="00CB5C82" w:rsidRDefault="000D7BA8" w:rsidP="00CB5C82">
      <w:pPr>
        <w:jc w:val="center"/>
        <w:rPr>
          <w:sz w:val="28"/>
          <w:szCs w:val="28"/>
        </w:rPr>
      </w:pPr>
      <w:r w:rsidRPr="00CB5C82">
        <w:rPr>
          <w:b/>
          <w:bCs/>
          <w:sz w:val="28"/>
          <w:szCs w:val="28"/>
        </w:rPr>
        <w:t>NGHỊ QUYẾT</w:t>
      </w:r>
    </w:p>
    <w:p w14:paraId="399B5FF6" w14:textId="77777777" w:rsidR="00627077" w:rsidRDefault="00CB5C82" w:rsidP="00CB5C82">
      <w:pPr>
        <w:jc w:val="center"/>
        <w:rPr>
          <w:b/>
          <w:sz w:val="28"/>
          <w:szCs w:val="28"/>
        </w:rPr>
      </w:pPr>
      <w:r>
        <w:rPr>
          <w:b/>
          <w:sz w:val="28"/>
          <w:szCs w:val="28"/>
        </w:rPr>
        <w:t>Q</w:t>
      </w:r>
      <w:r w:rsidRPr="000057AC">
        <w:rPr>
          <w:b/>
          <w:sz w:val="28"/>
          <w:szCs w:val="28"/>
        </w:rPr>
        <w:t xml:space="preserve">uy định </w:t>
      </w:r>
      <w:r w:rsidR="00254273">
        <w:rPr>
          <w:b/>
          <w:sz w:val="28"/>
          <w:szCs w:val="28"/>
        </w:rPr>
        <w:t>chính sách</w:t>
      </w:r>
      <w:r w:rsidRPr="000057AC">
        <w:rPr>
          <w:b/>
          <w:sz w:val="28"/>
          <w:szCs w:val="28"/>
        </w:rPr>
        <w:t xml:space="preserve"> hỗ trợ giám định viên tư pháp, người giám định</w:t>
      </w:r>
    </w:p>
    <w:p w14:paraId="18BD241B" w14:textId="77777777" w:rsidR="00FD13B1" w:rsidRDefault="00CB5C82" w:rsidP="00F74277">
      <w:pPr>
        <w:jc w:val="center"/>
        <w:rPr>
          <w:b/>
          <w:sz w:val="28"/>
          <w:szCs w:val="28"/>
        </w:rPr>
      </w:pPr>
      <w:r w:rsidRPr="000057AC">
        <w:rPr>
          <w:b/>
          <w:sz w:val="28"/>
          <w:szCs w:val="28"/>
        </w:rPr>
        <w:t xml:space="preserve"> tư pháp theo vụ việc</w:t>
      </w:r>
      <w:r w:rsidR="00485F01">
        <w:rPr>
          <w:b/>
          <w:sz w:val="28"/>
          <w:szCs w:val="28"/>
        </w:rPr>
        <w:t xml:space="preserve"> </w:t>
      </w:r>
      <w:r w:rsidRPr="000057AC">
        <w:rPr>
          <w:b/>
          <w:sz w:val="28"/>
          <w:szCs w:val="28"/>
        </w:rPr>
        <w:t xml:space="preserve">trên địa bàn tỉnh </w:t>
      </w:r>
      <w:r w:rsidR="00485F01">
        <w:rPr>
          <w:b/>
          <w:sz w:val="28"/>
          <w:szCs w:val="28"/>
        </w:rPr>
        <w:t>Hà Tĩnh</w:t>
      </w:r>
    </w:p>
    <w:p w14:paraId="2B1EDB14" w14:textId="1682A43F" w:rsidR="00F74277" w:rsidRDefault="00FD4EE5" w:rsidP="00F74277">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7869A0A7" wp14:editId="3AC530C9">
                <wp:simplePos x="0" y="0"/>
                <wp:positionH relativeFrom="column">
                  <wp:posOffset>2102114</wp:posOffset>
                </wp:positionH>
                <wp:positionV relativeFrom="paragraph">
                  <wp:posOffset>18415</wp:posOffset>
                </wp:positionV>
                <wp:extent cx="1573782" cy="0"/>
                <wp:effectExtent l="0" t="0" r="26670" b="19050"/>
                <wp:wrapNone/>
                <wp:docPr id="56274957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7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A7CC5" id="AutoShape 7" o:spid="_x0000_s1026" type="#_x0000_t32" style="position:absolute;margin-left:165.5pt;margin-top:1.45pt;width:12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Ui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"/>
            </w:pict>
          </mc:Fallback>
        </mc:AlternateContent>
      </w:r>
    </w:p>
    <w:p w14:paraId="59C75BBD" w14:textId="7CAA32E8" w:rsidR="00614DE6" w:rsidRPr="00614DE6" w:rsidRDefault="00614DE6" w:rsidP="00FD4EE5">
      <w:pPr>
        <w:spacing w:before="120"/>
        <w:ind w:firstLine="720"/>
        <w:jc w:val="both"/>
        <w:rPr>
          <w:i/>
          <w:iCs/>
          <w:spacing w:val="-6"/>
          <w:sz w:val="28"/>
          <w:szCs w:val="28"/>
        </w:rPr>
      </w:pPr>
      <w:r w:rsidRPr="00A539C3">
        <w:rPr>
          <w:i/>
          <w:iCs/>
          <w:sz w:val="28"/>
          <w:szCs w:val="28"/>
        </w:rPr>
        <w:t xml:space="preserve">Căn cứ Luật Tổ chức chính quyền địa phương </w:t>
      </w:r>
      <w:r>
        <w:rPr>
          <w:i/>
          <w:iCs/>
          <w:sz w:val="28"/>
          <w:szCs w:val="28"/>
        </w:rPr>
        <w:t>số 7</w:t>
      </w:r>
      <w:r w:rsidR="00BD6A83">
        <w:rPr>
          <w:i/>
          <w:iCs/>
          <w:sz w:val="28"/>
          <w:szCs w:val="28"/>
        </w:rPr>
        <w:t>2</w:t>
      </w:r>
      <w:r>
        <w:rPr>
          <w:i/>
          <w:iCs/>
          <w:sz w:val="28"/>
          <w:szCs w:val="28"/>
        </w:rPr>
        <w:t>/2025/QH15</w:t>
      </w:r>
      <w:r w:rsidRPr="00A539C3">
        <w:rPr>
          <w:i/>
          <w:iCs/>
          <w:sz w:val="28"/>
          <w:szCs w:val="28"/>
        </w:rPr>
        <w:t>;</w:t>
      </w:r>
    </w:p>
    <w:p w14:paraId="50175AD2" w14:textId="77777777" w:rsidR="00614DE6" w:rsidRPr="005104ED" w:rsidRDefault="00614DE6" w:rsidP="00FD4EE5">
      <w:pPr>
        <w:spacing w:before="120"/>
        <w:ind w:firstLine="720"/>
        <w:jc w:val="both"/>
        <w:rPr>
          <w:i/>
          <w:iCs/>
          <w:spacing w:val="-6"/>
          <w:sz w:val="28"/>
          <w:szCs w:val="28"/>
        </w:rPr>
      </w:pPr>
      <w:r w:rsidRPr="00614DE6">
        <w:rPr>
          <w:i/>
          <w:iCs/>
          <w:color w:val="000000"/>
          <w:sz w:val="28"/>
          <w:szCs w:val="28"/>
        </w:rPr>
        <w:t>Căn cứ Luật Ban hành văn bản quy phạm pháp luật số 64/2025/QH15</w:t>
      </w:r>
      <w:r w:rsidR="005104ED">
        <w:rPr>
          <w:i/>
          <w:iCs/>
          <w:color w:val="000000"/>
          <w:sz w:val="28"/>
          <w:szCs w:val="28"/>
        </w:rPr>
        <w:t xml:space="preserve"> đ</w:t>
      </w:r>
      <w:r w:rsidR="00B470EF">
        <w:rPr>
          <w:i/>
          <w:iCs/>
          <w:color w:val="000000"/>
          <w:sz w:val="28"/>
          <w:szCs w:val="28"/>
        </w:rPr>
        <w:t>ược</w:t>
      </w:r>
      <w:r w:rsidR="005104ED">
        <w:rPr>
          <w:i/>
          <w:iCs/>
          <w:color w:val="000000"/>
          <w:sz w:val="28"/>
          <w:szCs w:val="28"/>
        </w:rPr>
        <w:t xml:space="preserve"> sửa đổi</w:t>
      </w:r>
      <w:r w:rsidR="00B470EF">
        <w:rPr>
          <w:i/>
          <w:iCs/>
          <w:color w:val="000000"/>
          <w:sz w:val="28"/>
          <w:szCs w:val="28"/>
        </w:rPr>
        <w:t>,</w:t>
      </w:r>
      <w:r w:rsidR="005104ED">
        <w:rPr>
          <w:i/>
          <w:iCs/>
          <w:color w:val="000000"/>
          <w:sz w:val="28"/>
          <w:szCs w:val="28"/>
        </w:rPr>
        <w:t xml:space="preserve"> </w:t>
      </w:r>
      <w:r w:rsidR="005104ED" w:rsidRPr="005104ED">
        <w:rPr>
          <w:i/>
          <w:iCs/>
          <w:color w:val="000000"/>
          <w:sz w:val="28"/>
          <w:szCs w:val="28"/>
        </w:rPr>
        <w:t>b</w:t>
      </w:r>
      <w:r w:rsidR="005104ED" w:rsidRPr="005104ED">
        <w:rPr>
          <w:i/>
          <w:iCs/>
          <w:sz w:val="28"/>
          <w:szCs w:val="28"/>
        </w:rPr>
        <w:t xml:space="preserve">ổ sung </w:t>
      </w:r>
      <w:r w:rsidR="00B470EF">
        <w:rPr>
          <w:i/>
          <w:iCs/>
          <w:sz w:val="28"/>
          <w:szCs w:val="28"/>
        </w:rPr>
        <w:t>bởi</w:t>
      </w:r>
      <w:r w:rsidR="005104ED" w:rsidRPr="005104ED">
        <w:rPr>
          <w:i/>
          <w:iCs/>
          <w:sz w:val="28"/>
          <w:szCs w:val="28"/>
        </w:rPr>
        <w:t xml:space="preserve"> </w:t>
      </w:r>
      <w:r w:rsidR="00ED3AA8">
        <w:rPr>
          <w:i/>
          <w:iCs/>
          <w:sz w:val="28"/>
          <w:szCs w:val="28"/>
        </w:rPr>
        <w:t xml:space="preserve">Luật </w:t>
      </w:r>
      <w:r w:rsidR="005104ED" w:rsidRPr="005104ED">
        <w:rPr>
          <w:i/>
          <w:iCs/>
          <w:sz w:val="28"/>
          <w:szCs w:val="28"/>
        </w:rPr>
        <w:t>số 87/2025/QH15</w:t>
      </w:r>
      <w:r w:rsidRPr="005104ED">
        <w:rPr>
          <w:i/>
          <w:iCs/>
          <w:color w:val="000000"/>
          <w:sz w:val="28"/>
          <w:szCs w:val="28"/>
        </w:rPr>
        <w:t>;</w:t>
      </w:r>
    </w:p>
    <w:p w14:paraId="2B03F91D" w14:textId="77777777" w:rsidR="000D7BA8" w:rsidRPr="00CB5C82" w:rsidRDefault="000D7BA8" w:rsidP="00FD4EE5">
      <w:pPr>
        <w:spacing w:before="120"/>
        <w:ind w:firstLine="720"/>
        <w:jc w:val="both"/>
        <w:rPr>
          <w:sz w:val="28"/>
          <w:szCs w:val="28"/>
        </w:rPr>
      </w:pPr>
      <w:r w:rsidRPr="00CB5C82">
        <w:rPr>
          <w:i/>
          <w:iCs/>
          <w:sz w:val="28"/>
          <w:szCs w:val="28"/>
        </w:rPr>
        <w:t xml:space="preserve">Căn cứ Luật Ngân sách nhà nước </w:t>
      </w:r>
      <w:r w:rsidR="006948BE">
        <w:rPr>
          <w:i/>
          <w:iCs/>
          <w:sz w:val="28"/>
          <w:szCs w:val="28"/>
        </w:rPr>
        <w:t>số</w:t>
      </w:r>
      <w:r w:rsidR="006948BE" w:rsidRPr="006948BE">
        <w:rPr>
          <w:i/>
          <w:iCs/>
          <w:sz w:val="28"/>
          <w:szCs w:val="28"/>
        </w:rPr>
        <w:t xml:space="preserve"> </w:t>
      </w:r>
      <w:r w:rsidR="005576DE">
        <w:rPr>
          <w:i/>
          <w:color w:val="000000"/>
          <w:sz w:val="28"/>
          <w:szCs w:val="28"/>
          <w:shd w:val="clear" w:color="auto" w:fill="FFFFFF"/>
        </w:rPr>
        <w:t>89/2025</w:t>
      </w:r>
      <w:r w:rsidR="006948BE" w:rsidRPr="006948BE">
        <w:rPr>
          <w:i/>
          <w:color w:val="000000"/>
          <w:sz w:val="28"/>
          <w:szCs w:val="28"/>
          <w:shd w:val="clear" w:color="auto" w:fill="FFFFFF"/>
        </w:rPr>
        <w:t>/QH1</w:t>
      </w:r>
      <w:r w:rsidR="005576DE">
        <w:rPr>
          <w:i/>
          <w:color w:val="000000"/>
          <w:sz w:val="28"/>
          <w:szCs w:val="28"/>
          <w:shd w:val="clear" w:color="auto" w:fill="FFFFFF"/>
        </w:rPr>
        <w:t>5</w:t>
      </w:r>
      <w:r w:rsidRPr="006948BE">
        <w:rPr>
          <w:i/>
          <w:iCs/>
          <w:sz w:val="28"/>
          <w:szCs w:val="28"/>
        </w:rPr>
        <w:t>;</w:t>
      </w:r>
    </w:p>
    <w:p w14:paraId="5278AAAC" w14:textId="77777777" w:rsidR="000B2A84" w:rsidRDefault="000D7BA8" w:rsidP="00FD4EE5">
      <w:pPr>
        <w:spacing w:before="120"/>
        <w:ind w:firstLine="720"/>
        <w:jc w:val="both"/>
        <w:rPr>
          <w:i/>
          <w:iCs/>
          <w:sz w:val="28"/>
          <w:szCs w:val="28"/>
        </w:rPr>
      </w:pPr>
      <w:r w:rsidRPr="00CB5C82">
        <w:rPr>
          <w:i/>
          <w:iCs/>
          <w:sz w:val="28"/>
          <w:szCs w:val="28"/>
        </w:rPr>
        <w:t xml:space="preserve">Căn cứ Luật Giám định tư pháp </w:t>
      </w:r>
      <w:r w:rsidR="006948BE">
        <w:rPr>
          <w:i/>
          <w:iCs/>
          <w:sz w:val="28"/>
          <w:szCs w:val="28"/>
        </w:rPr>
        <w:t xml:space="preserve">số </w:t>
      </w:r>
      <w:r w:rsidR="00F84AF8">
        <w:rPr>
          <w:i/>
          <w:iCs/>
          <w:sz w:val="28"/>
          <w:szCs w:val="28"/>
        </w:rPr>
        <w:t>105</w:t>
      </w:r>
      <w:r w:rsidR="006948BE">
        <w:rPr>
          <w:i/>
          <w:iCs/>
          <w:sz w:val="28"/>
          <w:szCs w:val="28"/>
        </w:rPr>
        <w:t>/20</w:t>
      </w:r>
      <w:r w:rsidR="00F84AF8">
        <w:rPr>
          <w:i/>
          <w:iCs/>
          <w:sz w:val="28"/>
          <w:szCs w:val="28"/>
        </w:rPr>
        <w:t>25</w:t>
      </w:r>
      <w:r w:rsidR="006948BE">
        <w:rPr>
          <w:i/>
          <w:iCs/>
          <w:sz w:val="28"/>
          <w:szCs w:val="28"/>
        </w:rPr>
        <w:t>/QH1</w:t>
      </w:r>
      <w:r w:rsidR="00F84AF8">
        <w:rPr>
          <w:i/>
          <w:iCs/>
          <w:sz w:val="28"/>
          <w:szCs w:val="28"/>
        </w:rPr>
        <w:t>5;</w:t>
      </w:r>
    </w:p>
    <w:p w14:paraId="7A3859DA" w14:textId="236DEF42" w:rsidR="00F03F0C" w:rsidRPr="00E9408A" w:rsidRDefault="000D7BA8" w:rsidP="00FD4EE5">
      <w:pPr>
        <w:spacing w:before="120"/>
        <w:ind w:firstLine="720"/>
        <w:jc w:val="both"/>
        <w:rPr>
          <w:i/>
          <w:iCs/>
          <w:sz w:val="28"/>
          <w:szCs w:val="28"/>
        </w:rPr>
      </w:pPr>
      <w:r w:rsidRPr="00CB5C82">
        <w:rPr>
          <w:i/>
          <w:iCs/>
          <w:sz w:val="28"/>
          <w:szCs w:val="28"/>
        </w:rPr>
        <w:t xml:space="preserve">Xét Tờ trình số </w:t>
      </w:r>
      <w:r w:rsidR="00A60B9F">
        <w:rPr>
          <w:i/>
          <w:iCs/>
          <w:sz w:val="28"/>
          <w:szCs w:val="28"/>
        </w:rPr>
        <w:t>…</w:t>
      </w:r>
      <w:r w:rsidRPr="00CB5C82">
        <w:rPr>
          <w:i/>
          <w:iCs/>
          <w:sz w:val="28"/>
          <w:szCs w:val="28"/>
        </w:rPr>
        <w:t xml:space="preserve">/TTr-UBND ngày </w:t>
      </w:r>
      <w:r w:rsidR="00F84AF8">
        <w:rPr>
          <w:i/>
          <w:iCs/>
          <w:sz w:val="28"/>
          <w:szCs w:val="28"/>
        </w:rPr>
        <w:t>…</w:t>
      </w:r>
      <w:r w:rsidR="005E329C">
        <w:rPr>
          <w:i/>
          <w:iCs/>
          <w:sz w:val="28"/>
          <w:szCs w:val="28"/>
        </w:rPr>
        <w:t xml:space="preserve"> </w:t>
      </w:r>
      <w:r w:rsidR="005C0FF2">
        <w:rPr>
          <w:i/>
          <w:iCs/>
          <w:sz w:val="28"/>
          <w:szCs w:val="28"/>
        </w:rPr>
        <w:t>…</w:t>
      </w:r>
      <w:r w:rsidRPr="00CB5C82">
        <w:rPr>
          <w:i/>
          <w:iCs/>
          <w:sz w:val="28"/>
          <w:szCs w:val="28"/>
        </w:rPr>
        <w:t xml:space="preserve"> của Ủy ban nhân dân tỉnh</w:t>
      </w:r>
      <w:r w:rsidR="00237A28">
        <w:rPr>
          <w:i/>
          <w:iCs/>
          <w:sz w:val="28"/>
          <w:szCs w:val="28"/>
        </w:rPr>
        <w:t xml:space="preserve"> </w:t>
      </w:r>
      <w:r w:rsidR="00237A28" w:rsidRPr="005C0FF2">
        <w:rPr>
          <w:i/>
          <w:iCs/>
          <w:sz w:val="28"/>
          <w:szCs w:val="28"/>
        </w:rPr>
        <w:t>về dự thảo Nghị quyết quy định chính sách hỗ trợ giám định viên tư pháp, người gi</w:t>
      </w:r>
      <w:r w:rsidR="00237A28" w:rsidRPr="00A11F48">
        <w:rPr>
          <w:i/>
          <w:iCs/>
          <w:sz w:val="28"/>
          <w:szCs w:val="28"/>
        </w:rPr>
        <w:t>ám định tư pháp theo vụ việc trên địa bàn tỉnh Hà Tĩnh</w:t>
      </w:r>
      <w:r w:rsidRPr="00CB5C82">
        <w:rPr>
          <w:i/>
          <w:iCs/>
          <w:sz w:val="28"/>
          <w:szCs w:val="28"/>
        </w:rPr>
        <w:t>; Báo cáo thẩm tra của Ban pháp chế Hội đồng nhân dân tỉnh</w:t>
      </w:r>
      <w:r w:rsidR="005C0FF2">
        <w:rPr>
          <w:i/>
          <w:iCs/>
          <w:sz w:val="28"/>
          <w:szCs w:val="28"/>
        </w:rPr>
        <w:t xml:space="preserve"> số……ngày……..</w:t>
      </w:r>
      <w:r w:rsidRPr="00CB5C82">
        <w:rPr>
          <w:i/>
          <w:iCs/>
          <w:sz w:val="28"/>
          <w:szCs w:val="28"/>
        </w:rPr>
        <w:t>; ý kiến thảo luận của đại biểu Hộ</w:t>
      </w:r>
      <w:r w:rsidR="00D83E08">
        <w:rPr>
          <w:i/>
          <w:iCs/>
          <w:sz w:val="28"/>
          <w:szCs w:val="28"/>
        </w:rPr>
        <w:t>i đồng nhân dân tỉnh tại kỳ họp;</w:t>
      </w:r>
    </w:p>
    <w:p w14:paraId="3FD4782E" w14:textId="344AEF82" w:rsidR="00FD13B1" w:rsidRPr="005C0FF2" w:rsidRDefault="00E9408A" w:rsidP="005C0FF2">
      <w:pPr>
        <w:spacing w:before="120"/>
        <w:ind w:firstLine="720"/>
        <w:jc w:val="both"/>
        <w:rPr>
          <w:rFonts w:ascii="Times New Roman Italic" w:hAnsi="Times New Roman Italic"/>
          <w:i/>
          <w:sz w:val="28"/>
          <w:szCs w:val="28"/>
        </w:rPr>
      </w:pPr>
      <w:r w:rsidRPr="00A60B9F">
        <w:rPr>
          <w:rFonts w:ascii="Times New Roman Italic" w:hAnsi="Times New Roman Italic"/>
          <w:i/>
          <w:iCs/>
          <w:sz w:val="28"/>
          <w:szCs w:val="28"/>
        </w:rPr>
        <w:t xml:space="preserve">Hội đồng nhân dân ban hành Nghị quyết quy định </w:t>
      </w:r>
      <w:r w:rsidR="00BB33A9" w:rsidRPr="00A60B9F">
        <w:rPr>
          <w:rFonts w:ascii="Times New Roman Italic" w:hAnsi="Times New Roman Italic"/>
          <w:i/>
          <w:sz w:val="28"/>
          <w:szCs w:val="28"/>
        </w:rPr>
        <w:t>chính sách</w:t>
      </w:r>
      <w:r w:rsidRPr="00A60B9F">
        <w:rPr>
          <w:rFonts w:ascii="Times New Roman Italic" w:hAnsi="Times New Roman Italic"/>
          <w:i/>
          <w:sz w:val="28"/>
          <w:szCs w:val="28"/>
        </w:rPr>
        <w:t xml:space="preserve"> hỗ trợ giám định viên tư pháp, người giám định tư pháp theo vụ việc trên địa bàn tỉnh </w:t>
      </w:r>
      <w:r w:rsidR="00F84AF8" w:rsidRPr="00A60B9F">
        <w:rPr>
          <w:rFonts w:ascii="Times New Roman Italic" w:hAnsi="Times New Roman Italic"/>
          <w:i/>
          <w:sz w:val="28"/>
          <w:szCs w:val="28"/>
        </w:rPr>
        <w:t>Hà Tĩnh</w:t>
      </w:r>
      <w:r w:rsidRPr="00A60B9F">
        <w:rPr>
          <w:rFonts w:ascii="Times New Roman Italic" w:hAnsi="Times New Roman Italic"/>
          <w:i/>
          <w:sz w:val="28"/>
          <w:szCs w:val="28"/>
        </w:rPr>
        <w:t>.</w:t>
      </w:r>
    </w:p>
    <w:p w14:paraId="551352A7" w14:textId="77777777" w:rsidR="000D7BA8" w:rsidRPr="00CB5C82" w:rsidRDefault="000D7BA8" w:rsidP="00FD4EE5">
      <w:pPr>
        <w:spacing w:before="120"/>
        <w:ind w:firstLine="720"/>
        <w:rPr>
          <w:sz w:val="28"/>
          <w:szCs w:val="28"/>
        </w:rPr>
      </w:pPr>
      <w:r w:rsidRPr="00CB5C82">
        <w:rPr>
          <w:b/>
          <w:bCs/>
          <w:sz w:val="28"/>
          <w:szCs w:val="28"/>
        </w:rPr>
        <w:t>Điều 1. Phạm vi điều chỉnh và đối tượng áp dụng</w:t>
      </w:r>
    </w:p>
    <w:p w14:paraId="6156B79E" w14:textId="77777777" w:rsidR="000D7BA8" w:rsidRPr="00CB5C82" w:rsidRDefault="000D7BA8" w:rsidP="00FD4EE5">
      <w:pPr>
        <w:spacing w:before="120"/>
        <w:ind w:firstLine="720"/>
        <w:jc w:val="both"/>
        <w:rPr>
          <w:sz w:val="28"/>
          <w:szCs w:val="28"/>
        </w:rPr>
      </w:pPr>
      <w:r w:rsidRPr="00CB5C82">
        <w:rPr>
          <w:sz w:val="28"/>
          <w:szCs w:val="28"/>
        </w:rPr>
        <w:t>1. Phạm vi điều chỉnh</w:t>
      </w:r>
    </w:p>
    <w:p w14:paraId="56CF1844" w14:textId="77777777" w:rsidR="00F03F0C" w:rsidRPr="00BB33A9" w:rsidRDefault="00BB33A9" w:rsidP="00FD4EE5">
      <w:pPr>
        <w:spacing w:before="120"/>
        <w:ind w:firstLine="720"/>
        <w:jc w:val="both"/>
        <w:rPr>
          <w:spacing w:val="-2"/>
          <w:sz w:val="28"/>
          <w:szCs w:val="28"/>
        </w:rPr>
      </w:pPr>
      <w:r w:rsidRPr="00BB33A9">
        <w:rPr>
          <w:spacing w:val="-2"/>
          <w:sz w:val="28"/>
          <w:szCs w:val="28"/>
        </w:rPr>
        <w:t>Nghị quyết này quy định chính sách</w:t>
      </w:r>
      <w:r w:rsidR="000D7BA8" w:rsidRPr="00BB33A9">
        <w:rPr>
          <w:spacing w:val="-2"/>
          <w:sz w:val="28"/>
          <w:szCs w:val="28"/>
        </w:rPr>
        <w:t xml:space="preserve"> hỗ trợ giám định viên tư pháp, người giám định tư pháp theo vụ việc</w:t>
      </w:r>
      <w:r w:rsidR="000A06D5">
        <w:rPr>
          <w:spacing w:val="-2"/>
          <w:sz w:val="28"/>
          <w:szCs w:val="28"/>
        </w:rPr>
        <w:t xml:space="preserve"> </w:t>
      </w:r>
      <w:r w:rsidR="007706DA" w:rsidRPr="00BB33A9">
        <w:rPr>
          <w:spacing w:val="-2"/>
          <w:sz w:val="28"/>
          <w:szCs w:val="28"/>
        </w:rPr>
        <w:t xml:space="preserve">làm việc tại các cơ quan nhà nước, đơn vị sự nghiệp công lập </w:t>
      </w:r>
      <w:r w:rsidR="000D7BA8" w:rsidRPr="00BB33A9">
        <w:rPr>
          <w:spacing w:val="-2"/>
          <w:sz w:val="28"/>
          <w:szCs w:val="28"/>
        </w:rPr>
        <w:t xml:space="preserve">trên địa bàn tỉnh </w:t>
      </w:r>
      <w:r w:rsidR="000A06D5">
        <w:rPr>
          <w:spacing w:val="-2"/>
          <w:sz w:val="28"/>
          <w:szCs w:val="28"/>
        </w:rPr>
        <w:t>Hà Tĩnh</w:t>
      </w:r>
      <w:r w:rsidR="000D7BA8" w:rsidRPr="00BB33A9">
        <w:rPr>
          <w:spacing w:val="-2"/>
          <w:sz w:val="28"/>
          <w:szCs w:val="28"/>
        </w:rPr>
        <w:t>.</w:t>
      </w:r>
    </w:p>
    <w:p w14:paraId="61E2C9CF" w14:textId="77777777" w:rsidR="000D7BA8" w:rsidRPr="00CB5C82" w:rsidRDefault="000D7BA8" w:rsidP="00FD4EE5">
      <w:pPr>
        <w:spacing w:before="120"/>
        <w:ind w:firstLine="720"/>
        <w:jc w:val="both"/>
        <w:rPr>
          <w:sz w:val="28"/>
          <w:szCs w:val="28"/>
        </w:rPr>
      </w:pPr>
      <w:r w:rsidRPr="00CB5C82">
        <w:rPr>
          <w:sz w:val="28"/>
          <w:szCs w:val="28"/>
        </w:rPr>
        <w:t>2. Đối tượng áp dụng</w:t>
      </w:r>
    </w:p>
    <w:p w14:paraId="5464F39F" w14:textId="77777777" w:rsidR="000D7BA8" w:rsidRPr="00CB5C82" w:rsidRDefault="000D7BA8" w:rsidP="00FD4EE5">
      <w:pPr>
        <w:spacing w:before="120"/>
        <w:ind w:firstLine="720"/>
        <w:jc w:val="both"/>
        <w:rPr>
          <w:sz w:val="28"/>
          <w:szCs w:val="28"/>
        </w:rPr>
      </w:pPr>
      <w:r w:rsidRPr="00CB5C82">
        <w:rPr>
          <w:sz w:val="28"/>
          <w:szCs w:val="28"/>
        </w:rPr>
        <w:t>a) Giám định viên tư phá</w:t>
      </w:r>
      <w:r w:rsidR="00393317">
        <w:rPr>
          <w:sz w:val="28"/>
          <w:szCs w:val="28"/>
        </w:rPr>
        <w:t>p</w:t>
      </w:r>
      <w:r w:rsidRPr="00CB5C82">
        <w:rPr>
          <w:sz w:val="28"/>
          <w:szCs w:val="28"/>
        </w:rPr>
        <w:t>, người</w:t>
      </w:r>
      <w:r w:rsidR="00595781">
        <w:rPr>
          <w:sz w:val="28"/>
          <w:szCs w:val="28"/>
        </w:rPr>
        <w:t xml:space="preserve"> giám định tư pháp theo vụ việc;</w:t>
      </w:r>
    </w:p>
    <w:p w14:paraId="3FE30A68" w14:textId="77777777" w:rsidR="000D7BA8" w:rsidRPr="00CB5C82" w:rsidRDefault="000D7BA8" w:rsidP="00FD4EE5">
      <w:pPr>
        <w:spacing w:before="120"/>
        <w:ind w:firstLine="720"/>
        <w:rPr>
          <w:sz w:val="28"/>
          <w:szCs w:val="28"/>
        </w:rPr>
      </w:pPr>
      <w:r w:rsidRPr="00CB5C82">
        <w:rPr>
          <w:sz w:val="28"/>
          <w:szCs w:val="28"/>
        </w:rPr>
        <w:t>b) Các cơ quan, tổ chức, cá nhân có liên quan.</w:t>
      </w:r>
    </w:p>
    <w:p w14:paraId="041303FD" w14:textId="77777777" w:rsidR="000D7BA8" w:rsidRPr="00CB5C82" w:rsidRDefault="000D7BA8" w:rsidP="00FD4EE5">
      <w:pPr>
        <w:spacing w:before="120"/>
        <w:ind w:firstLine="720"/>
        <w:jc w:val="both"/>
        <w:rPr>
          <w:sz w:val="28"/>
          <w:szCs w:val="28"/>
        </w:rPr>
      </w:pPr>
      <w:bookmarkStart w:id="1" w:name="bookmark3"/>
      <w:r w:rsidRPr="00CB5C82">
        <w:rPr>
          <w:b/>
          <w:bCs/>
          <w:sz w:val="28"/>
          <w:szCs w:val="28"/>
        </w:rPr>
        <w:t>Điều 2. Mức hỗ trợ</w:t>
      </w:r>
      <w:bookmarkEnd w:id="1"/>
    </w:p>
    <w:p w14:paraId="688CA9F8" w14:textId="1C6908CF" w:rsidR="00CB5C82" w:rsidRPr="00290D7A" w:rsidRDefault="003E09CD" w:rsidP="00FD4EE5">
      <w:pPr>
        <w:spacing w:before="120"/>
        <w:ind w:firstLine="720"/>
        <w:jc w:val="both"/>
        <w:rPr>
          <w:sz w:val="28"/>
          <w:szCs w:val="28"/>
        </w:rPr>
      </w:pPr>
      <w:r>
        <w:rPr>
          <w:sz w:val="28"/>
          <w:szCs w:val="28"/>
        </w:rPr>
        <w:t>1.</w:t>
      </w:r>
      <w:r w:rsidR="00CB5C82" w:rsidRPr="00290D7A">
        <w:rPr>
          <w:sz w:val="28"/>
          <w:szCs w:val="28"/>
        </w:rPr>
        <w:t xml:space="preserve"> Giám định viên tư pháp làm việc tại </w:t>
      </w:r>
      <w:r w:rsidR="005C0FF2">
        <w:rPr>
          <w:sz w:val="28"/>
          <w:szCs w:val="28"/>
        </w:rPr>
        <w:t>p</w:t>
      </w:r>
      <w:r w:rsidR="00CB5C82" w:rsidRPr="00290D7A">
        <w:rPr>
          <w:sz w:val="28"/>
          <w:szCs w:val="28"/>
        </w:rPr>
        <w:t>hòng Kỹ thuật hình sự - Công an tỉnh</w:t>
      </w:r>
      <w:r w:rsidR="0019324D">
        <w:rPr>
          <w:sz w:val="28"/>
          <w:szCs w:val="28"/>
        </w:rPr>
        <w:t>;</w:t>
      </w:r>
      <w:r w:rsidR="00CB5C82" w:rsidRPr="00290D7A">
        <w:rPr>
          <w:sz w:val="28"/>
          <w:szCs w:val="28"/>
        </w:rPr>
        <w:t xml:space="preserve"> Trung tâm Pháp y </w:t>
      </w:r>
      <w:r w:rsidR="0019324D">
        <w:rPr>
          <w:sz w:val="28"/>
          <w:szCs w:val="28"/>
        </w:rPr>
        <w:t xml:space="preserve">và </w:t>
      </w:r>
      <w:r w:rsidR="00060A07">
        <w:rPr>
          <w:sz w:val="28"/>
          <w:szCs w:val="28"/>
        </w:rPr>
        <w:t>G</w:t>
      </w:r>
      <w:r w:rsidR="0019324D">
        <w:rPr>
          <w:sz w:val="28"/>
          <w:szCs w:val="28"/>
        </w:rPr>
        <w:t xml:space="preserve">iám định </w:t>
      </w:r>
      <w:r w:rsidR="00060A07">
        <w:rPr>
          <w:sz w:val="28"/>
          <w:szCs w:val="28"/>
        </w:rPr>
        <w:t>y</w:t>
      </w:r>
      <w:r w:rsidR="0019324D">
        <w:rPr>
          <w:sz w:val="28"/>
          <w:szCs w:val="28"/>
        </w:rPr>
        <w:t xml:space="preserve"> khoa </w:t>
      </w:r>
      <w:r w:rsidR="00CB5C82" w:rsidRPr="00290D7A">
        <w:rPr>
          <w:sz w:val="28"/>
          <w:szCs w:val="28"/>
        </w:rPr>
        <w:t xml:space="preserve">tỉnh thuộc Sở Y tế: hỗ trợ </w:t>
      </w:r>
      <w:r w:rsidR="00E91329">
        <w:rPr>
          <w:sz w:val="28"/>
          <w:szCs w:val="28"/>
        </w:rPr>
        <w:t>2.000.000 đồng</w:t>
      </w:r>
      <w:r w:rsidR="00CB5C82" w:rsidRPr="00290D7A">
        <w:rPr>
          <w:sz w:val="28"/>
          <w:szCs w:val="28"/>
        </w:rPr>
        <w:t>/người/tháng.</w:t>
      </w:r>
    </w:p>
    <w:p w14:paraId="77617D9C" w14:textId="77777777" w:rsidR="005E329C" w:rsidRPr="007A4379" w:rsidRDefault="003E09CD" w:rsidP="00FD4EE5">
      <w:pPr>
        <w:spacing w:before="120"/>
        <w:ind w:firstLine="720"/>
        <w:jc w:val="both"/>
        <w:rPr>
          <w:spacing w:val="-2"/>
          <w:sz w:val="28"/>
          <w:szCs w:val="28"/>
        </w:rPr>
      </w:pPr>
      <w:r w:rsidRPr="009072C7">
        <w:rPr>
          <w:spacing w:val="4"/>
          <w:sz w:val="28"/>
          <w:szCs w:val="28"/>
        </w:rPr>
        <w:t>2.</w:t>
      </w:r>
      <w:r w:rsidR="00CB5C82" w:rsidRPr="009072C7">
        <w:rPr>
          <w:spacing w:val="4"/>
          <w:sz w:val="28"/>
          <w:szCs w:val="28"/>
        </w:rPr>
        <w:t xml:space="preserve"> Giám định viên tư pháp, người giám định tư pháp theo vụ việc làm việc tại </w:t>
      </w:r>
      <w:r w:rsidR="007A4379" w:rsidRPr="00BB33A9">
        <w:rPr>
          <w:spacing w:val="-2"/>
          <w:sz w:val="28"/>
          <w:szCs w:val="28"/>
        </w:rPr>
        <w:t>các cơ quan nhà nước, đơn vị sự nghiệp công lập trên địa bàn tỉnh</w:t>
      </w:r>
      <w:r w:rsidR="00CB5C82" w:rsidRPr="009072C7">
        <w:rPr>
          <w:spacing w:val="4"/>
          <w:sz w:val="28"/>
          <w:szCs w:val="28"/>
        </w:rPr>
        <w:t xml:space="preserve">: </w:t>
      </w:r>
      <w:r w:rsidR="00AE1834">
        <w:rPr>
          <w:spacing w:val="4"/>
          <w:sz w:val="28"/>
          <w:szCs w:val="28"/>
        </w:rPr>
        <w:t xml:space="preserve">hỗ trợ </w:t>
      </w:r>
      <w:r w:rsidR="00E91329">
        <w:rPr>
          <w:spacing w:val="4"/>
          <w:sz w:val="28"/>
          <w:szCs w:val="28"/>
        </w:rPr>
        <w:t>1.000.000 đồng</w:t>
      </w:r>
      <w:r w:rsidR="00AE1834">
        <w:rPr>
          <w:spacing w:val="4"/>
          <w:sz w:val="28"/>
          <w:szCs w:val="28"/>
        </w:rPr>
        <w:t>/</w:t>
      </w:r>
      <w:r w:rsidR="00CB5C82" w:rsidRPr="009072C7">
        <w:rPr>
          <w:spacing w:val="4"/>
          <w:sz w:val="28"/>
          <w:szCs w:val="28"/>
        </w:rPr>
        <w:t>người/vụ việc.</w:t>
      </w:r>
    </w:p>
    <w:p w14:paraId="721CC6CD" w14:textId="77777777" w:rsidR="00FF05D1" w:rsidRPr="00504BA4" w:rsidRDefault="00FF05D1" w:rsidP="00FD4EE5">
      <w:pPr>
        <w:spacing w:before="120"/>
        <w:ind w:firstLine="720"/>
        <w:jc w:val="both"/>
        <w:rPr>
          <w:b/>
          <w:bCs/>
          <w:spacing w:val="2"/>
          <w:sz w:val="28"/>
          <w:szCs w:val="28"/>
        </w:rPr>
      </w:pPr>
      <w:r w:rsidRPr="00504BA4">
        <w:rPr>
          <w:b/>
          <w:bCs/>
          <w:spacing w:val="2"/>
          <w:sz w:val="28"/>
          <w:szCs w:val="28"/>
        </w:rPr>
        <w:lastRenderedPageBreak/>
        <w:t xml:space="preserve">Điều </w:t>
      </w:r>
      <w:r w:rsidR="00FD7590">
        <w:rPr>
          <w:b/>
          <w:bCs/>
          <w:spacing w:val="2"/>
          <w:sz w:val="28"/>
          <w:szCs w:val="28"/>
        </w:rPr>
        <w:t>3</w:t>
      </w:r>
      <w:r w:rsidRPr="00504BA4">
        <w:rPr>
          <w:b/>
          <w:bCs/>
          <w:spacing w:val="2"/>
          <w:sz w:val="28"/>
          <w:szCs w:val="28"/>
        </w:rPr>
        <w:t>.</w:t>
      </w:r>
      <w:r w:rsidR="00FD7590">
        <w:rPr>
          <w:b/>
          <w:bCs/>
          <w:spacing w:val="2"/>
          <w:sz w:val="28"/>
          <w:szCs w:val="28"/>
        </w:rPr>
        <w:t xml:space="preserve"> </w:t>
      </w:r>
      <w:r w:rsidR="00FD7590" w:rsidRPr="00FD7590">
        <w:rPr>
          <w:b/>
          <w:bCs/>
          <w:spacing w:val="2"/>
          <w:sz w:val="28"/>
          <w:szCs w:val="28"/>
        </w:rPr>
        <w:t>Đ</w:t>
      </w:r>
      <w:r w:rsidR="00FD7590" w:rsidRPr="00FD7590">
        <w:rPr>
          <w:b/>
          <w:bCs/>
          <w:sz w:val="28"/>
          <w:szCs w:val="28"/>
        </w:rPr>
        <w:t>iều kiện hưởng hỗ trợ, hồ sơ thanh toán và nguồn kinh phí thực hiện</w:t>
      </w:r>
    </w:p>
    <w:p w14:paraId="55038D80" w14:textId="4C32F66E" w:rsidR="00FF05D1" w:rsidRPr="00FD7590" w:rsidRDefault="00FD7590" w:rsidP="00FD4EE5">
      <w:pPr>
        <w:spacing w:before="120"/>
        <w:ind w:firstLine="720"/>
        <w:jc w:val="both"/>
        <w:rPr>
          <w:spacing w:val="-6"/>
          <w:sz w:val="28"/>
          <w:szCs w:val="28"/>
        </w:rPr>
      </w:pPr>
      <w:r>
        <w:rPr>
          <w:spacing w:val="-6"/>
          <w:sz w:val="28"/>
          <w:szCs w:val="28"/>
        </w:rPr>
        <w:t xml:space="preserve">1. </w:t>
      </w:r>
      <w:r w:rsidR="00FF05D1" w:rsidRPr="00E56734">
        <w:rPr>
          <w:spacing w:val="-6"/>
          <w:sz w:val="28"/>
          <w:szCs w:val="28"/>
        </w:rPr>
        <w:t>Đối với giám định viên tư pháp làm</w:t>
      </w:r>
      <w:r w:rsidR="00FF05D1" w:rsidRPr="00FD7590">
        <w:rPr>
          <w:spacing w:val="-6"/>
          <w:sz w:val="28"/>
          <w:szCs w:val="28"/>
        </w:rPr>
        <w:t xml:space="preserve"> việc tại </w:t>
      </w:r>
      <w:r w:rsidR="005C0FF2">
        <w:rPr>
          <w:spacing w:val="-6"/>
          <w:sz w:val="28"/>
          <w:szCs w:val="28"/>
        </w:rPr>
        <w:t>p</w:t>
      </w:r>
      <w:r w:rsidR="00FF05D1" w:rsidRPr="00FD7590">
        <w:rPr>
          <w:spacing w:val="-6"/>
          <w:sz w:val="28"/>
          <w:szCs w:val="28"/>
        </w:rPr>
        <w:t>hòng Kỹ thuật hình sự - Công an tỉnh</w:t>
      </w:r>
      <w:r w:rsidR="00504BA4" w:rsidRPr="00FD7590">
        <w:rPr>
          <w:spacing w:val="-6"/>
          <w:sz w:val="28"/>
          <w:szCs w:val="28"/>
        </w:rPr>
        <w:t xml:space="preserve">; </w:t>
      </w:r>
      <w:r w:rsidR="00FF05D1" w:rsidRPr="00FD7590">
        <w:rPr>
          <w:spacing w:val="-6"/>
          <w:sz w:val="28"/>
          <w:szCs w:val="28"/>
        </w:rPr>
        <w:t>Trung tâm Pháp y và Giám định y khoa tỉnh thuộc Sở Y tế</w:t>
      </w:r>
      <w:r w:rsidR="00504BA4" w:rsidRPr="00FD7590">
        <w:rPr>
          <w:spacing w:val="-6"/>
          <w:sz w:val="28"/>
          <w:szCs w:val="28"/>
        </w:rPr>
        <w:t>.</w:t>
      </w:r>
    </w:p>
    <w:p w14:paraId="0458380D" w14:textId="739EB459" w:rsidR="00B010B4" w:rsidRDefault="00FF05D1" w:rsidP="00FD4EE5">
      <w:pPr>
        <w:spacing w:before="120"/>
        <w:ind w:firstLine="720"/>
        <w:jc w:val="both"/>
        <w:rPr>
          <w:sz w:val="28"/>
          <w:szCs w:val="28"/>
        </w:rPr>
      </w:pPr>
      <w:r w:rsidRPr="00FF05D1">
        <w:rPr>
          <w:sz w:val="28"/>
          <w:szCs w:val="28"/>
        </w:rPr>
        <w:t>a)</w:t>
      </w:r>
      <w:r w:rsidR="00B010B4">
        <w:rPr>
          <w:sz w:val="28"/>
          <w:szCs w:val="28"/>
        </w:rPr>
        <w:t xml:space="preserve"> </w:t>
      </w:r>
      <w:r w:rsidRPr="00FF05D1">
        <w:rPr>
          <w:sz w:val="28"/>
          <w:szCs w:val="28"/>
        </w:rPr>
        <w:t xml:space="preserve">Điều kiện hưởng hỗ trợ: </w:t>
      </w:r>
      <w:r w:rsidR="00A60B9F">
        <w:rPr>
          <w:sz w:val="28"/>
          <w:szCs w:val="28"/>
        </w:rPr>
        <w:t>c</w:t>
      </w:r>
      <w:r w:rsidRPr="00FF05D1">
        <w:rPr>
          <w:sz w:val="28"/>
          <w:szCs w:val="28"/>
        </w:rPr>
        <w:t xml:space="preserve">ó quyết định bổ nhiệm giám định viên tư pháp của cơ quan có thẩm quyền và đang thực hiện nhiệm vụ giám định tư pháp theo </w:t>
      </w:r>
      <w:r w:rsidRPr="00C63FEC">
        <w:rPr>
          <w:sz w:val="28"/>
          <w:szCs w:val="28"/>
        </w:rPr>
        <w:t>quy định của pháp luật;</w:t>
      </w:r>
    </w:p>
    <w:p w14:paraId="476B0850" w14:textId="77777777" w:rsidR="00C63FEC" w:rsidRPr="00C63FEC" w:rsidRDefault="00C63FEC" w:rsidP="00FD4EE5">
      <w:pPr>
        <w:spacing w:before="120"/>
        <w:ind w:firstLine="720"/>
        <w:jc w:val="both"/>
        <w:rPr>
          <w:sz w:val="28"/>
          <w:szCs w:val="28"/>
        </w:rPr>
      </w:pPr>
      <w:r w:rsidRPr="00C63FEC">
        <w:rPr>
          <w:sz w:val="28"/>
          <w:szCs w:val="28"/>
        </w:rPr>
        <w:t>b) Hồ sơ thanh toán:</w:t>
      </w:r>
      <w:r>
        <w:rPr>
          <w:sz w:val="28"/>
          <w:szCs w:val="28"/>
        </w:rPr>
        <w:t xml:space="preserve"> có</w:t>
      </w:r>
      <w:r w:rsidRPr="00C63FEC">
        <w:rPr>
          <w:sz w:val="28"/>
          <w:szCs w:val="28"/>
        </w:rPr>
        <w:t xml:space="preserve"> danh sách giám định viên tư pháp đủ điều kiện hưởng hỗ trợ do cơ quan, đơn vị trực tiếp quản lý lập.</w:t>
      </w:r>
    </w:p>
    <w:p w14:paraId="702ACABD" w14:textId="77777777" w:rsidR="00FF05D1" w:rsidRPr="005C0FF2" w:rsidRDefault="00C63FEC" w:rsidP="00FD4EE5">
      <w:pPr>
        <w:spacing w:before="120"/>
        <w:ind w:firstLine="720"/>
        <w:jc w:val="both"/>
        <w:rPr>
          <w:spacing w:val="-6"/>
          <w:sz w:val="28"/>
          <w:szCs w:val="28"/>
        </w:rPr>
      </w:pPr>
      <w:r w:rsidRPr="005C0FF2">
        <w:rPr>
          <w:spacing w:val="-6"/>
          <w:sz w:val="28"/>
          <w:szCs w:val="28"/>
        </w:rPr>
        <w:t>c</w:t>
      </w:r>
      <w:r w:rsidR="00FF05D1" w:rsidRPr="005C0FF2">
        <w:rPr>
          <w:spacing w:val="-6"/>
          <w:sz w:val="28"/>
          <w:szCs w:val="28"/>
        </w:rPr>
        <w:t xml:space="preserve">) </w:t>
      </w:r>
      <w:r w:rsidRPr="005C0FF2">
        <w:rPr>
          <w:spacing w:val="-6"/>
          <w:sz w:val="28"/>
          <w:szCs w:val="28"/>
        </w:rPr>
        <w:t>Kinh phí thực hiện: h</w:t>
      </w:r>
      <w:r w:rsidR="00FF05D1" w:rsidRPr="005C0FF2">
        <w:rPr>
          <w:spacing w:val="-6"/>
          <w:sz w:val="28"/>
          <w:szCs w:val="28"/>
        </w:rPr>
        <w:t xml:space="preserve">ằng </w:t>
      </w:r>
      <w:r w:rsidR="00504BA4" w:rsidRPr="005C0FF2">
        <w:rPr>
          <w:spacing w:val="-6"/>
          <w:sz w:val="28"/>
          <w:szCs w:val="28"/>
        </w:rPr>
        <w:t>năm</w:t>
      </w:r>
      <w:r w:rsidR="00FF05D1" w:rsidRPr="005C0FF2">
        <w:rPr>
          <w:spacing w:val="-6"/>
          <w:sz w:val="28"/>
          <w:szCs w:val="28"/>
        </w:rPr>
        <w:t xml:space="preserve">, cơ quan, đơn vị trực tiếp quản lý giám định viên tư pháp lập danh sách đối tượng đủ điều kiện hưởng hỗ trợ, thực hiện chi trả và quyết toán kinh phí theo quy định của </w:t>
      </w:r>
      <w:r w:rsidR="00504BA4" w:rsidRPr="005C0FF2">
        <w:rPr>
          <w:spacing w:val="-6"/>
          <w:sz w:val="28"/>
          <w:szCs w:val="28"/>
        </w:rPr>
        <w:t>Luật N</w:t>
      </w:r>
      <w:r w:rsidR="00FF05D1" w:rsidRPr="005C0FF2">
        <w:rPr>
          <w:spacing w:val="-6"/>
          <w:sz w:val="28"/>
          <w:szCs w:val="28"/>
        </w:rPr>
        <w:t>gân sách nhà nước</w:t>
      </w:r>
      <w:r w:rsidR="00504BA4" w:rsidRPr="005C0FF2">
        <w:rPr>
          <w:spacing w:val="-6"/>
          <w:sz w:val="28"/>
          <w:szCs w:val="28"/>
        </w:rPr>
        <w:t xml:space="preserve"> số 89/2025/QH15</w:t>
      </w:r>
      <w:r w:rsidR="00FF05D1" w:rsidRPr="005C0FF2">
        <w:rPr>
          <w:spacing w:val="-6"/>
          <w:sz w:val="28"/>
          <w:szCs w:val="28"/>
        </w:rPr>
        <w:t>.</w:t>
      </w:r>
    </w:p>
    <w:p w14:paraId="34B0A128" w14:textId="77777777" w:rsidR="00C63FEC" w:rsidRDefault="00FF05D1" w:rsidP="00FD4EE5">
      <w:pPr>
        <w:spacing w:before="120"/>
        <w:ind w:firstLine="720"/>
        <w:jc w:val="both"/>
        <w:rPr>
          <w:sz w:val="28"/>
          <w:szCs w:val="28"/>
        </w:rPr>
      </w:pPr>
      <w:r w:rsidRPr="00FF05D1">
        <w:rPr>
          <w:spacing w:val="2"/>
          <w:sz w:val="28"/>
          <w:szCs w:val="28"/>
        </w:rPr>
        <w:t>2</w:t>
      </w:r>
      <w:r w:rsidR="00A50778">
        <w:rPr>
          <w:spacing w:val="2"/>
          <w:sz w:val="28"/>
          <w:szCs w:val="28"/>
        </w:rPr>
        <w:t>.</w:t>
      </w:r>
      <w:r>
        <w:rPr>
          <w:spacing w:val="2"/>
          <w:sz w:val="28"/>
          <w:szCs w:val="28"/>
        </w:rPr>
        <w:t xml:space="preserve"> </w:t>
      </w:r>
      <w:r w:rsidRPr="00FF05D1">
        <w:rPr>
          <w:sz w:val="28"/>
          <w:szCs w:val="28"/>
        </w:rPr>
        <w:t>Đối với giám định viên tư pháp, người giám định tư pháp theo vụ việc quy định tại khoản 2 Điều 2 Nghị quyết này</w:t>
      </w:r>
    </w:p>
    <w:p w14:paraId="772355F7" w14:textId="77777777" w:rsidR="00C63FEC" w:rsidRPr="00C63FEC" w:rsidRDefault="00C63FEC" w:rsidP="00FD4EE5">
      <w:pPr>
        <w:spacing w:before="120"/>
        <w:ind w:firstLine="720"/>
        <w:jc w:val="both"/>
        <w:rPr>
          <w:sz w:val="28"/>
          <w:szCs w:val="28"/>
        </w:rPr>
      </w:pPr>
      <w:r w:rsidRPr="00C63FEC">
        <w:rPr>
          <w:sz w:val="28"/>
          <w:szCs w:val="28"/>
        </w:rPr>
        <w:t>a) Điều kiện hưởng hỗ trợ: có văn bản trưng cầu hoặc yêu cầu giám định; quyết định cử người giám định tư pháp theo vụ việc (nếu có) và đã hoàn thành việc giám định theo quy định của pháp luật.</w:t>
      </w:r>
    </w:p>
    <w:p w14:paraId="21A5EE27" w14:textId="77777777" w:rsidR="00C63FEC" w:rsidRPr="00C63FEC" w:rsidRDefault="00C63FEC" w:rsidP="00FD4EE5">
      <w:pPr>
        <w:spacing w:before="120"/>
        <w:ind w:firstLine="720"/>
        <w:jc w:val="both"/>
        <w:rPr>
          <w:sz w:val="28"/>
          <w:szCs w:val="28"/>
        </w:rPr>
      </w:pPr>
      <w:r w:rsidRPr="00C63FEC">
        <w:rPr>
          <w:sz w:val="28"/>
          <w:szCs w:val="28"/>
        </w:rPr>
        <w:t>b) Hồ sơ thanh toán: văn bản trưng cầu hoặc yêu cầu giám định; quyết định cử người giám định tư pháp theo vụ việc (nếu có); kết luận giám định hoặc tài liệu chứng minh đã hoàn thành việc giám định.</w:t>
      </w:r>
    </w:p>
    <w:p w14:paraId="75AE06BC" w14:textId="77777777" w:rsidR="00C63FEC" w:rsidRPr="00C63FEC" w:rsidRDefault="00C63FEC" w:rsidP="00FD4EE5">
      <w:pPr>
        <w:spacing w:before="120"/>
        <w:ind w:firstLine="720"/>
        <w:jc w:val="both"/>
        <w:rPr>
          <w:sz w:val="28"/>
          <w:szCs w:val="28"/>
        </w:rPr>
      </w:pPr>
      <w:r w:rsidRPr="00C63FEC">
        <w:rPr>
          <w:sz w:val="28"/>
          <w:szCs w:val="28"/>
        </w:rPr>
        <w:t>c) Kinh phí thực hiện</w:t>
      </w:r>
    </w:p>
    <w:p w14:paraId="30455FD2" w14:textId="77777777" w:rsidR="00D15287" w:rsidRPr="005C0FF2" w:rsidRDefault="00C63FEC" w:rsidP="00FD4EE5">
      <w:pPr>
        <w:spacing w:before="120"/>
        <w:ind w:firstLine="720"/>
        <w:jc w:val="both"/>
        <w:rPr>
          <w:spacing w:val="-4"/>
          <w:sz w:val="28"/>
          <w:szCs w:val="28"/>
        </w:rPr>
      </w:pPr>
      <w:r w:rsidRPr="005C0FF2">
        <w:rPr>
          <w:spacing w:val="-4"/>
          <w:sz w:val="28"/>
          <w:szCs w:val="28"/>
        </w:rPr>
        <w:t>- Hằng năm, căn cứ số lượng vụ việc giám định dự kiến và nhu cầu thực tế, các cơ quan, đơn vị có giám định viên tư pháp, người giám định tư pháp theo vụ việc lập dự toán kinh phí thực hiện chính sách hỗ trợ</w:t>
      </w:r>
      <w:r w:rsidR="00D15287" w:rsidRPr="005C0FF2">
        <w:rPr>
          <w:spacing w:val="-4"/>
          <w:sz w:val="28"/>
          <w:szCs w:val="28"/>
        </w:rPr>
        <w:t>,</w:t>
      </w:r>
      <w:r w:rsidRPr="005C0FF2">
        <w:rPr>
          <w:spacing w:val="-4"/>
          <w:sz w:val="28"/>
          <w:szCs w:val="28"/>
        </w:rPr>
        <w:t xml:space="preserve"> </w:t>
      </w:r>
      <w:r w:rsidR="00D15287" w:rsidRPr="005C0FF2">
        <w:rPr>
          <w:spacing w:val="-4"/>
          <w:sz w:val="28"/>
          <w:szCs w:val="28"/>
        </w:rPr>
        <w:t>thực hiện chi trả và quyết toán kinh phí theo quy định của Luật Ngân sách nhà nước số 89/2025/QH15.</w:t>
      </w:r>
    </w:p>
    <w:p w14:paraId="7079C923" w14:textId="77777777" w:rsidR="00C63FEC" w:rsidRPr="00C63FEC" w:rsidRDefault="00C63FEC" w:rsidP="00FD4EE5">
      <w:pPr>
        <w:spacing w:before="120"/>
        <w:ind w:firstLine="720"/>
        <w:jc w:val="both"/>
        <w:rPr>
          <w:sz w:val="28"/>
          <w:szCs w:val="28"/>
        </w:rPr>
      </w:pPr>
      <w:r w:rsidRPr="00C63FEC">
        <w:rPr>
          <w:sz w:val="28"/>
          <w:szCs w:val="28"/>
        </w:rPr>
        <w:t>- Định kỳ 06 tháng, hằng năm hoặc khi có yêu cầu của cơ quan có thẩm quyền, các cơ quan, đơn vị rà soát, tổng hợp tình hình thực hiện, quản lý, sử dụng và quyết toán kinh phí theo quy định của pháp luật.</w:t>
      </w:r>
    </w:p>
    <w:p w14:paraId="0B26395B" w14:textId="77777777" w:rsidR="00C63FEC" w:rsidRPr="00C63FEC" w:rsidRDefault="00C63FEC" w:rsidP="00FD4EE5">
      <w:pPr>
        <w:spacing w:before="120"/>
        <w:ind w:firstLine="720"/>
        <w:jc w:val="both"/>
        <w:rPr>
          <w:sz w:val="28"/>
          <w:szCs w:val="28"/>
        </w:rPr>
      </w:pPr>
      <w:r w:rsidRPr="00C63FEC">
        <w:rPr>
          <w:sz w:val="28"/>
          <w:szCs w:val="28"/>
        </w:rPr>
        <w:t>- Kinh phí đã được giao trong dự toán nhưng không phát sinh hoặc sử dụng không hết được xử lý theo quy định của pháp luật về ngân sách nhà nước.</w:t>
      </w:r>
    </w:p>
    <w:p w14:paraId="1B38089F" w14:textId="082CA88D" w:rsidR="00A60B9F" w:rsidRPr="005C0FF2" w:rsidRDefault="00AD68B6" w:rsidP="005C0FF2">
      <w:pPr>
        <w:spacing w:before="120"/>
        <w:ind w:firstLine="720"/>
        <w:jc w:val="both"/>
        <w:rPr>
          <w:sz w:val="28"/>
          <w:szCs w:val="28"/>
        </w:rPr>
      </w:pPr>
      <w:r>
        <w:rPr>
          <w:sz w:val="28"/>
          <w:szCs w:val="28"/>
        </w:rPr>
        <w:t>3</w:t>
      </w:r>
      <w:r w:rsidR="00FD7590" w:rsidRPr="00FD7590">
        <w:rPr>
          <w:sz w:val="28"/>
          <w:szCs w:val="28"/>
        </w:rPr>
        <w:t>.</w:t>
      </w:r>
      <w:r w:rsidR="00FD7590">
        <w:rPr>
          <w:b/>
          <w:bCs/>
          <w:sz w:val="28"/>
          <w:szCs w:val="28"/>
        </w:rPr>
        <w:t xml:space="preserve"> </w:t>
      </w:r>
      <w:r w:rsidR="00FD7590" w:rsidRPr="00497F64">
        <w:rPr>
          <w:sz w:val="28"/>
          <w:szCs w:val="28"/>
        </w:rPr>
        <w:t xml:space="preserve">Kinh phí thực hiện chế độ hỗ trợ đối với giám định viên tư pháp, người giám định tư pháp theo vụ việc do ngân sách </w:t>
      </w:r>
      <w:r w:rsidR="007F55CC">
        <w:rPr>
          <w:sz w:val="28"/>
          <w:szCs w:val="28"/>
        </w:rPr>
        <w:t xml:space="preserve">cấp </w:t>
      </w:r>
      <w:r w:rsidR="00FD7590" w:rsidRPr="00497F64">
        <w:rPr>
          <w:sz w:val="28"/>
          <w:szCs w:val="28"/>
        </w:rPr>
        <w:t xml:space="preserve">tỉnh bảo đảm và được bố trí trong dự toán chi thường xuyên hằng năm của các cơ quan, đơn vị theo </w:t>
      </w:r>
      <w:r w:rsidR="00FD7590">
        <w:rPr>
          <w:sz w:val="28"/>
          <w:szCs w:val="28"/>
        </w:rPr>
        <w:t>quy định của Luật Ngân sách nhà nước số 89/2025/QH15 và các văn bản có liên quan.</w:t>
      </w:r>
    </w:p>
    <w:p w14:paraId="5D96CC8B" w14:textId="2A79BC42" w:rsidR="00D049EC" w:rsidRDefault="00602669" w:rsidP="00FD4EE5">
      <w:pPr>
        <w:spacing w:before="120"/>
        <w:ind w:firstLine="720"/>
        <w:jc w:val="both"/>
        <w:rPr>
          <w:b/>
          <w:bCs/>
          <w:sz w:val="28"/>
          <w:szCs w:val="28"/>
        </w:rPr>
      </w:pPr>
      <w:r w:rsidRPr="00602669">
        <w:rPr>
          <w:b/>
          <w:bCs/>
          <w:sz w:val="28"/>
          <w:szCs w:val="28"/>
        </w:rPr>
        <w:t>Điều 4. Điều khoản thi hành</w:t>
      </w:r>
    </w:p>
    <w:p w14:paraId="7D31CE61" w14:textId="77777777" w:rsidR="00602669" w:rsidRPr="003A6ADC" w:rsidRDefault="00B8456F" w:rsidP="00FD4EE5">
      <w:pPr>
        <w:spacing w:before="120"/>
        <w:ind w:firstLine="720"/>
        <w:jc w:val="both"/>
        <w:rPr>
          <w:spacing w:val="-2"/>
          <w:sz w:val="28"/>
          <w:szCs w:val="28"/>
        </w:rPr>
      </w:pPr>
      <w:r w:rsidRPr="003A6ADC">
        <w:rPr>
          <w:spacing w:val="-2"/>
          <w:sz w:val="28"/>
          <w:szCs w:val="28"/>
        </w:rPr>
        <w:t xml:space="preserve">1. </w:t>
      </w:r>
      <w:r w:rsidR="00602669" w:rsidRPr="003A6ADC">
        <w:rPr>
          <w:spacing w:val="-2"/>
          <w:sz w:val="28"/>
          <w:szCs w:val="28"/>
        </w:rPr>
        <w:t xml:space="preserve">Nghị quyết này có hiệu lực thi hành kể từ ngày  </w:t>
      </w:r>
      <w:r w:rsidR="0036358E" w:rsidRPr="003A6ADC">
        <w:rPr>
          <w:spacing w:val="-2"/>
          <w:sz w:val="28"/>
          <w:szCs w:val="28"/>
        </w:rPr>
        <w:t xml:space="preserve"> </w:t>
      </w:r>
      <w:r w:rsidR="00602669" w:rsidRPr="003A6ADC">
        <w:rPr>
          <w:spacing w:val="-2"/>
          <w:sz w:val="28"/>
          <w:szCs w:val="28"/>
        </w:rPr>
        <w:t xml:space="preserve"> </w:t>
      </w:r>
      <w:r w:rsidR="0036358E" w:rsidRPr="003A6ADC">
        <w:rPr>
          <w:spacing w:val="-2"/>
          <w:sz w:val="28"/>
          <w:szCs w:val="28"/>
        </w:rPr>
        <w:t xml:space="preserve"> </w:t>
      </w:r>
      <w:r w:rsidR="00D049EC" w:rsidRPr="003A6ADC">
        <w:rPr>
          <w:spacing w:val="-2"/>
          <w:sz w:val="28"/>
          <w:szCs w:val="28"/>
        </w:rPr>
        <w:t xml:space="preserve">   </w:t>
      </w:r>
      <w:r w:rsidR="00602669" w:rsidRPr="003A6ADC">
        <w:rPr>
          <w:spacing w:val="-2"/>
          <w:sz w:val="28"/>
          <w:szCs w:val="28"/>
        </w:rPr>
        <w:t xml:space="preserve">tháng </w:t>
      </w:r>
      <w:r w:rsidR="0036358E" w:rsidRPr="003A6ADC">
        <w:rPr>
          <w:spacing w:val="-2"/>
          <w:sz w:val="28"/>
          <w:szCs w:val="28"/>
        </w:rPr>
        <w:t xml:space="preserve"> </w:t>
      </w:r>
      <w:r w:rsidR="00D049EC" w:rsidRPr="003A6ADC">
        <w:rPr>
          <w:spacing w:val="-2"/>
          <w:sz w:val="28"/>
          <w:szCs w:val="28"/>
        </w:rPr>
        <w:t xml:space="preserve">   </w:t>
      </w:r>
      <w:r w:rsidR="0036358E" w:rsidRPr="003A6ADC">
        <w:rPr>
          <w:spacing w:val="-2"/>
          <w:sz w:val="28"/>
          <w:szCs w:val="28"/>
        </w:rPr>
        <w:t xml:space="preserve"> </w:t>
      </w:r>
      <w:r w:rsidR="00602669" w:rsidRPr="003A6ADC">
        <w:rPr>
          <w:spacing w:val="-2"/>
          <w:sz w:val="28"/>
          <w:szCs w:val="28"/>
        </w:rPr>
        <w:t xml:space="preserve"> năm 2026</w:t>
      </w:r>
      <w:r w:rsidR="003A6ADC" w:rsidRPr="003A6ADC">
        <w:rPr>
          <w:spacing w:val="-2"/>
          <w:sz w:val="28"/>
          <w:szCs w:val="28"/>
        </w:rPr>
        <w:t>.</w:t>
      </w:r>
    </w:p>
    <w:p w14:paraId="7AC74FED" w14:textId="77777777" w:rsidR="00B8456F" w:rsidRPr="00B8456F" w:rsidRDefault="00B8456F" w:rsidP="00FD4EE5">
      <w:pPr>
        <w:spacing w:before="120"/>
        <w:ind w:firstLine="720"/>
        <w:jc w:val="both"/>
        <w:rPr>
          <w:b/>
          <w:bCs/>
          <w:sz w:val="28"/>
          <w:szCs w:val="28"/>
        </w:rPr>
      </w:pPr>
      <w:r>
        <w:rPr>
          <w:sz w:val="28"/>
          <w:szCs w:val="28"/>
        </w:rPr>
        <w:t xml:space="preserve">2. </w:t>
      </w:r>
      <w:r w:rsidRPr="00B8456F">
        <w:rPr>
          <w:spacing w:val="3"/>
          <w:sz w:val="28"/>
          <w:szCs w:val="28"/>
          <w:shd w:val="clear" w:color="auto" w:fill="FFFFFF"/>
        </w:rPr>
        <w:t>Khi các văn bản được dẫn chiếu để áp dụng tại Nghị quyết này được cấp có thẩm quyền sửa đổi, bổ sung hoặc thay thế thì áp dụng theo các văn bản sửa đổi, bổ sung hoặc thay thế đó</w:t>
      </w:r>
      <w:r>
        <w:rPr>
          <w:spacing w:val="3"/>
          <w:sz w:val="28"/>
          <w:szCs w:val="28"/>
          <w:shd w:val="clear" w:color="auto" w:fill="FFFFFF"/>
        </w:rPr>
        <w:t>.</w:t>
      </w:r>
    </w:p>
    <w:p w14:paraId="4B523E7E" w14:textId="77777777" w:rsidR="00136D80" w:rsidRPr="00136D80" w:rsidRDefault="00136D80" w:rsidP="00FD4EE5">
      <w:pPr>
        <w:spacing w:before="120"/>
        <w:ind w:firstLine="720"/>
        <w:jc w:val="both"/>
        <w:rPr>
          <w:b/>
          <w:bCs/>
          <w:sz w:val="28"/>
          <w:lang w:val="vi-VN"/>
        </w:rPr>
      </w:pPr>
      <w:r w:rsidRPr="00EC79DF">
        <w:rPr>
          <w:b/>
          <w:sz w:val="28"/>
          <w:lang w:val="vi-VN"/>
        </w:rPr>
        <w:lastRenderedPageBreak/>
        <w:t xml:space="preserve">Điều </w:t>
      </w:r>
      <w:r w:rsidR="00602669">
        <w:rPr>
          <w:b/>
          <w:sz w:val="28"/>
        </w:rPr>
        <w:t>5</w:t>
      </w:r>
      <w:r w:rsidRPr="00EC79DF">
        <w:rPr>
          <w:b/>
          <w:sz w:val="28"/>
          <w:lang w:val="vi-VN"/>
        </w:rPr>
        <w:t>.</w:t>
      </w:r>
      <w:r w:rsidRPr="00EC79DF">
        <w:rPr>
          <w:sz w:val="28"/>
          <w:lang w:val="vi-VN"/>
        </w:rPr>
        <w:t xml:space="preserve"> </w:t>
      </w:r>
      <w:r w:rsidRPr="00136D80">
        <w:rPr>
          <w:b/>
          <w:bCs/>
          <w:sz w:val="28"/>
          <w:lang w:val="vi-VN"/>
        </w:rPr>
        <w:t>Tổ chức thực hiện</w:t>
      </w:r>
    </w:p>
    <w:p w14:paraId="2D344A4E" w14:textId="77777777" w:rsidR="00136D80" w:rsidRPr="0055392E" w:rsidRDefault="00136D80" w:rsidP="00FD4EE5">
      <w:pPr>
        <w:spacing w:before="120"/>
        <w:ind w:firstLine="720"/>
        <w:jc w:val="both"/>
        <w:rPr>
          <w:sz w:val="28"/>
          <w:szCs w:val="28"/>
          <w:lang w:val="nl-NL"/>
        </w:rPr>
      </w:pPr>
      <w:r w:rsidRPr="0055392E">
        <w:rPr>
          <w:sz w:val="28"/>
          <w:szCs w:val="28"/>
          <w:lang w:val="nl-NL"/>
        </w:rPr>
        <w:t>1. Ủy ban nhân dân tỉnh có trách nhiệm tổ chức triển khai thực hiện Nghị quyết này.</w:t>
      </w:r>
    </w:p>
    <w:p w14:paraId="4A1366B4" w14:textId="77777777" w:rsidR="00136D80" w:rsidRDefault="00136D80" w:rsidP="00FD4EE5">
      <w:pPr>
        <w:spacing w:before="120"/>
        <w:ind w:firstLine="720"/>
        <w:jc w:val="both"/>
        <w:rPr>
          <w:sz w:val="28"/>
          <w:szCs w:val="28"/>
          <w:lang w:val="nl-NL"/>
        </w:rPr>
      </w:pPr>
      <w:r w:rsidRPr="0055392E">
        <w:rPr>
          <w:sz w:val="28"/>
          <w:szCs w:val="28"/>
          <w:lang w:val="nl-NL"/>
        </w:rPr>
        <w:t xml:space="preserve">2. Thường trực Hội đồng nhân </w:t>
      </w:r>
      <w:r w:rsidR="00566DA5">
        <w:rPr>
          <w:sz w:val="28"/>
          <w:szCs w:val="28"/>
          <w:lang w:val="nl-NL"/>
        </w:rPr>
        <w:t>d</w:t>
      </w:r>
      <w:r w:rsidRPr="0055392E">
        <w:rPr>
          <w:sz w:val="28"/>
          <w:szCs w:val="28"/>
          <w:lang w:val="nl-NL"/>
        </w:rPr>
        <w:t xml:space="preserve">ân tỉnh, các Ban Hội đồng nhân </w:t>
      </w:r>
      <w:r w:rsidR="00566DA5">
        <w:rPr>
          <w:sz w:val="28"/>
          <w:szCs w:val="28"/>
          <w:lang w:val="nl-NL"/>
        </w:rPr>
        <w:t>d</w:t>
      </w:r>
      <w:r w:rsidRPr="0055392E">
        <w:rPr>
          <w:sz w:val="28"/>
          <w:szCs w:val="28"/>
          <w:lang w:val="nl-NL"/>
        </w:rPr>
        <w:t xml:space="preserve">ân tỉnh, các Tổ đại biểu Hội đồng nhân </w:t>
      </w:r>
      <w:r w:rsidR="00566DA5">
        <w:rPr>
          <w:sz w:val="28"/>
          <w:szCs w:val="28"/>
          <w:lang w:val="nl-NL"/>
        </w:rPr>
        <w:t>d</w:t>
      </w:r>
      <w:r w:rsidRPr="0055392E">
        <w:rPr>
          <w:sz w:val="28"/>
          <w:szCs w:val="28"/>
          <w:lang w:val="nl-NL"/>
        </w:rPr>
        <w:t>ân tỉnh và đại biểu Hội đồng nhân dân tỉnh có trách nhiệm giám sát việc thực hiện Nghị quyết.</w:t>
      </w:r>
    </w:p>
    <w:p w14:paraId="6557F575" w14:textId="77777777" w:rsidR="00136D80" w:rsidRPr="00F74277" w:rsidRDefault="00136D80" w:rsidP="00FD4EE5">
      <w:pPr>
        <w:spacing w:before="120"/>
        <w:ind w:firstLine="720"/>
        <w:jc w:val="both"/>
        <w:rPr>
          <w:i/>
          <w:iCs/>
          <w:sz w:val="28"/>
          <w:szCs w:val="28"/>
          <w:lang w:val="nl-NL"/>
        </w:rPr>
      </w:pPr>
      <w:r w:rsidRPr="00E9408A">
        <w:rPr>
          <w:i/>
          <w:sz w:val="28"/>
          <w:szCs w:val="28"/>
        </w:rPr>
        <w:t>Nghị quyết này được H</w:t>
      </w:r>
      <w:r w:rsidR="00040A80">
        <w:rPr>
          <w:i/>
          <w:sz w:val="28"/>
          <w:szCs w:val="28"/>
        </w:rPr>
        <w:t xml:space="preserve">ội đồng nhân dân tỉnh </w:t>
      </w:r>
      <w:r w:rsidR="00A12410">
        <w:rPr>
          <w:i/>
          <w:sz w:val="28"/>
          <w:szCs w:val="28"/>
        </w:rPr>
        <w:t>Hà Tĩnh</w:t>
      </w:r>
      <w:r w:rsidR="00040A80">
        <w:rPr>
          <w:i/>
          <w:sz w:val="28"/>
          <w:szCs w:val="28"/>
        </w:rPr>
        <w:t xml:space="preserve"> k</w:t>
      </w:r>
      <w:r w:rsidRPr="00E9408A">
        <w:rPr>
          <w:i/>
          <w:sz w:val="28"/>
          <w:szCs w:val="28"/>
        </w:rPr>
        <w:t xml:space="preserve">hóa </w:t>
      </w:r>
      <w:r w:rsidR="00A12410">
        <w:rPr>
          <w:i/>
          <w:sz w:val="28"/>
          <w:szCs w:val="28"/>
        </w:rPr>
        <w:t>XI</w:t>
      </w:r>
      <w:r w:rsidR="00040A80">
        <w:rPr>
          <w:i/>
          <w:sz w:val="28"/>
          <w:szCs w:val="28"/>
        </w:rPr>
        <w:t>X,</w:t>
      </w:r>
      <w:r w:rsidR="001C6777">
        <w:rPr>
          <w:i/>
          <w:sz w:val="28"/>
          <w:szCs w:val="28"/>
        </w:rPr>
        <w:t xml:space="preserve"> Kỳ họp thứ </w:t>
      </w:r>
      <w:r w:rsidR="00734F21">
        <w:rPr>
          <w:i/>
          <w:sz w:val="28"/>
          <w:szCs w:val="28"/>
        </w:rPr>
        <w:t>…</w:t>
      </w:r>
      <w:r w:rsidR="00BB33A9">
        <w:rPr>
          <w:i/>
          <w:sz w:val="28"/>
          <w:szCs w:val="28"/>
        </w:rPr>
        <w:t xml:space="preserve">thông qua ngày …. tháng </w:t>
      </w:r>
      <w:r w:rsidR="00A12410">
        <w:rPr>
          <w:i/>
          <w:sz w:val="28"/>
          <w:szCs w:val="28"/>
        </w:rPr>
        <w:t>…</w:t>
      </w:r>
      <w:r w:rsidRPr="00E9408A">
        <w:rPr>
          <w:i/>
          <w:sz w:val="28"/>
          <w:szCs w:val="28"/>
        </w:rPr>
        <w:t xml:space="preserve"> năm 202</w:t>
      </w:r>
      <w:r w:rsidR="00A12410">
        <w:rPr>
          <w:i/>
          <w:sz w:val="28"/>
          <w:szCs w:val="28"/>
        </w:rPr>
        <w:t>6</w:t>
      </w:r>
      <w:r w:rsidR="00734F21">
        <w:rPr>
          <w:i/>
          <w:sz w:val="28"/>
          <w:szCs w:val="28"/>
        </w:rPr>
        <w:t>./.</w:t>
      </w:r>
    </w:p>
    <w:p w14:paraId="7A70832F" w14:textId="77777777" w:rsidR="000D7BA8" w:rsidRPr="00092A0E" w:rsidRDefault="000D7BA8" w:rsidP="001734C2">
      <w:pPr>
        <w:spacing w:before="60" w:after="60"/>
        <w:ind w:firstLine="720"/>
        <w:jc w:val="both"/>
        <w:rPr>
          <w:sz w:val="2"/>
          <w:szCs w:val="2"/>
        </w:rPr>
      </w:pPr>
    </w:p>
    <w:tbl>
      <w:tblPr>
        <w:tblW w:w="5294" w:type="pct"/>
        <w:tblCellMar>
          <w:left w:w="0" w:type="dxa"/>
          <w:right w:w="0" w:type="dxa"/>
        </w:tblCellMar>
        <w:tblLook w:val="04A0" w:firstRow="1" w:lastRow="0" w:firstColumn="1" w:lastColumn="0" w:noHBand="0" w:noVBand="1"/>
      </w:tblPr>
      <w:tblGrid>
        <w:gridCol w:w="4820"/>
        <w:gridCol w:w="4785"/>
      </w:tblGrid>
      <w:tr w:rsidR="000D7BA8" w14:paraId="66B91ABB" w14:textId="77777777" w:rsidTr="00592EC1">
        <w:tc>
          <w:tcPr>
            <w:tcW w:w="2509" w:type="pct"/>
            <w:tcMar>
              <w:top w:w="0" w:type="dxa"/>
              <w:left w:w="0" w:type="dxa"/>
              <w:bottom w:w="0" w:type="dxa"/>
              <w:right w:w="0" w:type="dxa"/>
            </w:tcMar>
          </w:tcPr>
          <w:p w14:paraId="4965A1AD" w14:textId="77777777" w:rsidR="00E9408A" w:rsidRPr="005E329C" w:rsidRDefault="000D7BA8" w:rsidP="00136D80">
            <w:pPr>
              <w:rPr>
                <w:sz w:val="22"/>
                <w:szCs w:val="22"/>
              </w:rPr>
            </w:pPr>
            <w:r w:rsidRPr="00CB5C82">
              <w:rPr>
                <w:b/>
                <w:bCs/>
                <w:i/>
                <w:iCs/>
              </w:rPr>
              <w:t>Nơi nhận:</w:t>
            </w:r>
            <w:r w:rsidRPr="00CB5C82">
              <w:rPr>
                <w:b/>
                <w:bCs/>
                <w:i/>
                <w:iCs/>
              </w:rPr>
              <w:br/>
            </w:r>
            <w:r w:rsidRPr="005E329C">
              <w:rPr>
                <w:sz w:val="22"/>
                <w:szCs w:val="22"/>
              </w:rPr>
              <w:t xml:space="preserve">- </w:t>
            </w:r>
            <w:r w:rsidR="00E9408A" w:rsidRPr="005E329C">
              <w:rPr>
                <w:sz w:val="22"/>
                <w:szCs w:val="22"/>
              </w:rPr>
              <w:t>Ủy ban Thường vụ Quốc hội;</w:t>
            </w:r>
            <w:r w:rsidRPr="005E329C">
              <w:rPr>
                <w:sz w:val="22"/>
                <w:szCs w:val="22"/>
              </w:rPr>
              <w:t xml:space="preserve"> </w:t>
            </w:r>
            <w:r w:rsidRPr="005E329C">
              <w:rPr>
                <w:sz w:val="22"/>
                <w:szCs w:val="22"/>
              </w:rPr>
              <w:br/>
              <w:t>- Văn phòng Quốc hội</w:t>
            </w:r>
            <w:r w:rsidR="00E9408A" w:rsidRPr="005E329C">
              <w:rPr>
                <w:sz w:val="22"/>
                <w:szCs w:val="22"/>
              </w:rPr>
              <w:t>;</w:t>
            </w:r>
          </w:p>
          <w:p w14:paraId="5AF85093" w14:textId="77777777" w:rsidR="005576DE" w:rsidRPr="005E329C" w:rsidRDefault="00E9408A" w:rsidP="00136D80">
            <w:pPr>
              <w:rPr>
                <w:sz w:val="22"/>
                <w:szCs w:val="22"/>
              </w:rPr>
            </w:pPr>
            <w:r w:rsidRPr="005E329C">
              <w:rPr>
                <w:sz w:val="22"/>
                <w:szCs w:val="22"/>
              </w:rPr>
              <w:t>-</w:t>
            </w:r>
            <w:r w:rsidR="000D7BA8" w:rsidRPr="005E329C">
              <w:rPr>
                <w:sz w:val="22"/>
                <w:szCs w:val="22"/>
              </w:rPr>
              <w:t xml:space="preserve"> Văn phòng Chính phủ;</w:t>
            </w:r>
          </w:p>
          <w:p w14:paraId="0337F25F" w14:textId="77777777" w:rsidR="005576DE" w:rsidRPr="00C05EE6" w:rsidRDefault="00C05EE6" w:rsidP="00136D80">
            <w:pPr>
              <w:rPr>
                <w:sz w:val="22"/>
                <w:szCs w:val="22"/>
                <w:lang w:val="pt-BR"/>
              </w:rPr>
            </w:pPr>
            <w:r w:rsidRPr="00EE69B5">
              <w:rPr>
                <w:sz w:val="22"/>
                <w:szCs w:val="22"/>
                <w:lang w:val="pt-BR"/>
              </w:rPr>
              <w:t xml:space="preserve">- Cục </w:t>
            </w:r>
            <w:r w:rsidR="00F0329E">
              <w:rPr>
                <w:sz w:val="22"/>
                <w:szCs w:val="22"/>
                <w:lang w:val="pt-BR"/>
              </w:rPr>
              <w:t>KTVB</w:t>
            </w:r>
            <w:r w:rsidR="00592EC1">
              <w:rPr>
                <w:sz w:val="22"/>
                <w:szCs w:val="22"/>
                <w:lang w:val="pt-BR"/>
              </w:rPr>
              <w:t xml:space="preserve"> </w:t>
            </w:r>
            <w:r w:rsidRPr="00EE69B5">
              <w:rPr>
                <w:sz w:val="22"/>
                <w:szCs w:val="22"/>
                <w:lang w:val="pt-BR"/>
              </w:rPr>
              <w:t xml:space="preserve">và </w:t>
            </w:r>
            <w:r w:rsidR="00F0329E">
              <w:rPr>
                <w:sz w:val="22"/>
                <w:szCs w:val="22"/>
                <w:lang w:val="pt-BR"/>
              </w:rPr>
              <w:t>TCTHPL</w:t>
            </w:r>
            <w:r w:rsidRPr="00EE69B5">
              <w:rPr>
                <w:sz w:val="22"/>
                <w:szCs w:val="22"/>
                <w:lang w:val="pt-BR"/>
              </w:rPr>
              <w:t xml:space="preserve"> - Bộ Tư pháp;</w:t>
            </w:r>
            <w:r w:rsidR="000D7BA8" w:rsidRPr="005E329C">
              <w:rPr>
                <w:sz w:val="22"/>
                <w:szCs w:val="22"/>
              </w:rPr>
              <w:br/>
              <w:t>- Cục</w:t>
            </w:r>
            <w:r w:rsidR="00A205EA" w:rsidRPr="005E329C">
              <w:rPr>
                <w:sz w:val="22"/>
                <w:szCs w:val="22"/>
              </w:rPr>
              <w:t xml:space="preserve"> </w:t>
            </w:r>
            <w:r w:rsidR="00E846BC" w:rsidRPr="005E329C">
              <w:rPr>
                <w:sz w:val="22"/>
                <w:szCs w:val="22"/>
              </w:rPr>
              <w:t>Bổ trợ tư pháp</w:t>
            </w:r>
            <w:r w:rsidR="005576DE" w:rsidRPr="005E329C">
              <w:rPr>
                <w:sz w:val="22"/>
                <w:szCs w:val="22"/>
              </w:rPr>
              <w:t xml:space="preserve"> - Bộ Tư pháp</w:t>
            </w:r>
            <w:r w:rsidR="000D7BA8" w:rsidRPr="005E329C">
              <w:rPr>
                <w:sz w:val="22"/>
                <w:szCs w:val="22"/>
              </w:rPr>
              <w:t>;</w:t>
            </w:r>
          </w:p>
          <w:p w14:paraId="1459C742" w14:textId="77777777" w:rsidR="00E9408A" w:rsidRPr="005E329C" w:rsidRDefault="005576DE" w:rsidP="00136D80">
            <w:pPr>
              <w:rPr>
                <w:sz w:val="22"/>
                <w:szCs w:val="22"/>
              </w:rPr>
            </w:pPr>
            <w:r w:rsidRPr="005E329C">
              <w:rPr>
                <w:sz w:val="22"/>
                <w:szCs w:val="22"/>
              </w:rPr>
              <w:t>- Vụ Pháp chế - Bộ Tài chính;</w:t>
            </w:r>
            <w:r w:rsidR="000D7BA8" w:rsidRPr="005E329C">
              <w:rPr>
                <w:sz w:val="22"/>
                <w:szCs w:val="22"/>
              </w:rPr>
              <w:br/>
              <w:t xml:space="preserve">- </w:t>
            </w:r>
            <w:r w:rsidR="00E9408A" w:rsidRPr="005E329C">
              <w:rPr>
                <w:sz w:val="22"/>
                <w:szCs w:val="22"/>
              </w:rPr>
              <w:t>Thường trực Tỉnh ủy;</w:t>
            </w:r>
          </w:p>
          <w:p w14:paraId="533DF0EA" w14:textId="77777777" w:rsidR="00E9408A" w:rsidRPr="005E329C" w:rsidRDefault="00E9408A" w:rsidP="00136D80">
            <w:pPr>
              <w:rPr>
                <w:sz w:val="22"/>
                <w:szCs w:val="22"/>
              </w:rPr>
            </w:pPr>
            <w:r w:rsidRPr="005E329C">
              <w:rPr>
                <w:sz w:val="22"/>
                <w:szCs w:val="22"/>
              </w:rPr>
              <w:t xml:space="preserve">- </w:t>
            </w:r>
            <w:r w:rsidR="00C81D22">
              <w:rPr>
                <w:sz w:val="22"/>
                <w:szCs w:val="22"/>
              </w:rPr>
              <w:t xml:space="preserve">Đoàn </w:t>
            </w:r>
            <w:r w:rsidRPr="005E329C">
              <w:rPr>
                <w:sz w:val="22"/>
                <w:szCs w:val="22"/>
              </w:rPr>
              <w:t>Đại biểu Quốc hội tỉnh;</w:t>
            </w:r>
          </w:p>
          <w:p w14:paraId="0A502BDC" w14:textId="77777777" w:rsidR="00E9408A" w:rsidRPr="005E329C" w:rsidRDefault="00E9408A" w:rsidP="00136D80">
            <w:pPr>
              <w:rPr>
                <w:sz w:val="22"/>
                <w:szCs w:val="22"/>
              </w:rPr>
            </w:pPr>
            <w:r w:rsidRPr="005E329C">
              <w:rPr>
                <w:sz w:val="22"/>
                <w:szCs w:val="22"/>
              </w:rPr>
              <w:t>- Thường trực HĐND tỉnh;</w:t>
            </w:r>
          </w:p>
          <w:p w14:paraId="40AF4B26" w14:textId="77777777" w:rsidR="00E9408A" w:rsidRPr="005E329C" w:rsidRDefault="00E9408A" w:rsidP="00E9408A">
            <w:pPr>
              <w:rPr>
                <w:sz w:val="22"/>
                <w:szCs w:val="22"/>
              </w:rPr>
            </w:pPr>
            <w:r w:rsidRPr="005E329C">
              <w:rPr>
                <w:sz w:val="22"/>
                <w:szCs w:val="22"/>
              </w:rPr>
              <w:t xml:space="preserve">- </w:t>
            </w:r>
            <w:r w:rsidR="000D7BA8" w:rsidRPr="005E329C">
              <w:rPr>
                <w:sz w:val="22"/>
                <w:szCs w:val="22"/>
              </w:rPr>
              <w:t>UBND</w:t>
            </w:r>
            <w:r w:rsidRPr="005E329C">
              <w:rPr>
                <w:sz w:val="22"/>
                <w:szCs w:val="22"/>
              </w:rPr>
              <w:t xml:space="preserve"> tỉnh, Ủy ban M</w:t>
            </w:r>
            <w:r w:rsidR="000D7BA8" w:rsidRPr="005E329C">
              <w:rPr>
                <w:sz w:val="22"/>
                <w:szCs w:val="22"/>
              </w:rPr>
              <w:t>TTQVN tỉnh;</w:t>
            </w:r>
            <w:r w:rsidR="000D7BA8" w:rsidRPr="005E329C">
              <w:rPr>
                <w:sz w:val="22"/>
                <w:szCs w:val="22"/>
              </w:rPr>
              <w:br/>
              <w:t xml:space="preserve">- </w:t>
            </w:r>
            <w:r w:rsidRPr="005E329C">
              <w:rPr>
                <w:sz w:val="22"/>
                <w:szCs w:val="22"/>
              </w:rPr>
              <w:t xml:space="preserve">Đại biểu </w:t>
            </w:r>
            <w:r w:rsidR="000D7BA8" w:rsidRPr="005E329C">
              <w:rPr>
                <w:sz w:val="22"/>
                <w:szCs w:val="22"/>
              </w:rPr>
              <w:t>HĐND tỉnh;</w:t>
            </w:r>
          </w:p>
          <w:p w14:paraId="1FE2BB70" w14:textId="77777777" w:rsidR="00E9408A" w:rsidRPr="005E329C" w:rsidRDefault="00E9408A" w:rsidP="00E9408A">
            <w:pPr>
              <w:rPr>
                <w:sz w:val="22"/>
                <w:szCs w:val="22"/>
              </w:rPr>
            </w:pPr>
            <w:r w:rsidRPr="005E329C">
              <w:rPr>
                <w:sz w:val="22"/>
                <w:szCs w:val="22"/>
              </w:rPr>
              <w:t>- Các Sở, ban, ngành;</w:t>
            </w:r>
          </w:p>
          <w:p w14:paraId="583D67DE" w14:textId="77777777" w:rsidR="001E0819" w:rsidRPr="005E329C" w:rsidRDefault="00E9408A" w:rsidP="00E9408A">
            <w:pPr>
              <w:rPr>
                <w:sz w:val="22"/>
                <w:szCs w:val="22"/>
              </w:rPr>
            </w:pPr>
            <w:r w:rsidRPr="005E329C">
              <w:rPr>
                <w:sz w:val="22"/>
                <w:szCs w:val="22"/>
              </w:rPr>
              <w:t>- Văn phòng: Tỉnh ủy, Đoàn ĐBQH và HĐND</w:t>
            </w:r>
            <w:r w:rsidR="00974C0D">
              <w:rPr>
                <w:sz w:val="22"/>
                <w:szCs w:val="22"/>
              </w:rPr>
              <w:t xml:space="preserve"> tỉnh</w:t>
            </w:r>
            <w:r w:rsidRPr="005E329C">
              <w:rPr>
                <w:sz w:val="22"/>
                <w:szCs w:val="22"/>
              </w:rPr>
              <w:t>, UBND tỉnh;</w:t>
            </w:r>
            <w:r w:rsidR="000D7BA8" w:rsidRPr="005E329C">
              <w:rPr>
                <w:sz w:val="22"/>
                <w:szCs w:val="22"/>
              </w:rPr>
              <w:br/>
              <w:t>- TT</w:t>
            </w:r>
            <w:r w:rsidR="001E0819" w:rsidRPr="005E329C">
              <w:rPr>
                <w:sz w:val="22"/>
                <w:szCs w:val="22"/>
              </w:rPr>
              <w:t>.</w:t>
            </w:r>
            <w:r w:rsidR="000D7BA8" w:rsidRPr="005E329C">
              <w:rPr>
                <w:sz w:val="22"/>
                <w:szCs w:val="22"/>
              </w:rPr>
              <w:t xml:space="preserve">HĐND, UBND </w:t>
            </w:r>
            <w:r w:rsidR="001E0819" w:rsidRPr="005E329C">
              <w:rPr>
                <w:sz w:val="22"/>
                <w:szCs w:val="22"/>
              </w:rPr>
              <w:t>cấp xã</w:t>
            </w:r>
            <w:r w:rsidR="000D7BA8" w:rsidRPr="005E329C">
              <w:rPr>
                <w:sz w:val="22"/>
                <w:szCs w:val="22"/>
              </w:rPr>
              <w:t>;</w:t>
            </w:r>
          </w:p>
          <w:p w14:paraId="46C6819F" w14:textId="77777777" w:rsidR="00B8456F" w:rsidRDefault="001E0819" w:rsidP="0075091B">
            <w:pPr>
              <w:rPr>
                <w:sz w:val="22"/>
                <w:szCs w:val="22"/>
              </w:rPr>
            </w:pPr>
            <w:r w:rsidRPr="005E329C">
              <w:rPr>
                <w:sz w:val="22"/>
                <w:szCs w:val="22"/>
              </w:rPr>
              <w:t xml:space="preserve">- Báo và </w:t>
            </w:r>
            <w:r w:rsidRPr="0075091B">
              <w:rPr>
                <w:sz w:val="22"/>
                <w:szCs w:val="22"/>
              </w:rPr>
              <w:t xml:space="preserve">Phát thanh, truyền hình </w:t>
            </w:r>
            <w:r w:rsidR="00A12410">
              <w:rPr>
                <w:sz w:val="22"/>
                <w:szCs w:val="22"/>
              </w:rPr>
              <w:t>Hà Tĩnh</w:t>
            </w:r>
            <w:r w:rsidR="00B8456F">
              <w:rPr>
                <w:sz w:val="22"/>
                <w:szCs w:val="22"/>
              </w:rPr>
              <w:t>;</w:t>
            </w:r>
          </w:p>
          <w:p w14:paraId="48677FA9" w14:textId="77777777" w:rsidR="0075091B" w:rsidRDefault="000D7BA8" w:rsidP="0075091B">
            <w:pPr>
              <w:rPr>
                <w:spacing w:val="-4"/>
                <w:sz w:val="22"/>
                <w:szCs w:val="22"/>
              </w:rPr>
            </w:pPr>
            <w:r w:rsidRPr="00592EC1">
              <w:rPr>
                <w:spacing w:val="-4"/>
                <w:sz w:val="22"/>
                <w:szCs w:val="22"/>
              </w:rPr>
              <w:t>-</w:t>
            </w:r>
            <w:r w:rsidR="00592EC1" w:rsidRPr="00592EC1">
              <w:rPr>
                <w:spacing w:val="-4"/>
                <w:sz w:val="23"/>
                <w:szCs w:val="23"/>
                <w:shd w:val="clear" w:color="auto" w:fill="FFFFFF"/>
              </w:rPr>
              <w:t xml:space="preserve"> Trung tâm Thông tin và Xúc tiến, hỗ trợ đầu tư tỉnh</w:t>
            </w:r>
            <w:r w:rsidR="001E0819" w:rsidRPr="00592EC1">
              <w:rPr>
                <w:spacing w:val="-4"/>
                <w:sz w:val="22"/>
                <w:szCs w:val="22"/>
              </w:rPr>
              <w:t>;</w:t>
            </w:r>
          </w:p>
          <w:p w14:paraId="45995A80" w14:textId="0164D1F6" w:rsidR="00F0329E" w:rsidRPr="00592EC1" w:rsidRDefault="00F0329E" w:rsidP="0075091B">
            <w:pPr>
              <w:rPr>
                <w:spacing w:val="-4"/>
                <w:sz w:val="22"/>
                <w:szCs w:val="22"/>
              </w:rPr>
            </w:pPr>
            <w:r>
              <w:rPr>
                <w:spacing w:val="-4"/>
                <w:sz w:val="22"/>
                <w:szCs w:val="22"/>
              </w:rPr>
              <w:t>- Cổng thông tin điện tử tỉnh;</w:t>
            </w:r>
          </w:p>
          <w:p w14:paraId="2731ADC1" w14:textId="77777777" w:rsidR="0075091B" w:rsidRPr="0075091B" w:rsidRDefault="0075091B" w:rsidP="0075091B">
            <w:pPr>
              <w:rPr>
                <w:sz w:val="22"/>
                <w:szCs w:val="22"/>
              </w:rPr>
            </w:pPr>
            <w:r w:rsidRPr="0075091B">
              <w:rPr>
                <w:sz w:val="22"/>
                <w:szCs w:val="22"/>
                <w:lang w:val="pt-BR"/>
              </w:rPr>
              <w:t>- Lưu: VT, PCTHĐND</w:t>
            </w:r>
            <w:r w:rsidRPr="0075091B">
              <w:rPr>
                <w:sz w:val="22"/>
                <w:szCs w:val="22"/>
              </w:rPr>
              <w:t>.</w:t>
            </w:r>
          </w:p>
          <w:p w14:paraId="37E38301" w14:textId="77777777" w:rsidR="000D7BA8" w:rsidRPr="00CB5C82" w:rsidRDefault="000D7BA8" w:rsidP="005576DE"/>
        </w:tc>
        <w:tc>
          <w:tcPr>
            <w:tcW w:w="2491" w:type="pct"/>
            <w:tcMar>
              <w:top w:w="0" w:type="dxa"/>
              <w:left w:w="0" w:type="dxa"/>
              <w:bottom w:w="0" w:type="dxa"/>
              <w:right w:w="0" w:type="dxa"/>
            </w:tcMar>
          </w:tcPr>
          <w:p w14:paraId="2E25988D" w14:textId="17E18C78" w:rsidR="000D7BA8" w:rsidRDefault="000D7BA8" w:rsidP="00136D80">
            <w:pPr>
              <w:jc w:val="center"/>
              <w:rPr>
                <w:sz w:val="28"/>
                <w:szCs w:val="28"/>
              </w:rPr>
            </w:pPr>
            <w:r w:rsidRPr="00CB5C82">
              <w:rPr>
                <w:b/>
                <w:bCs/>
                <w:sz w:val="28"/>
                <w:szCs w:val="28"/>
              </w:rPr>
              <w:t>CHỦ TỊCH</w:t>
            </w:r>
            <w:r w:rsidRPr="00CB5C82">
              <w:rPr>
                <w:b/>
                <w:bCs/>
                <w:sz w:val="28"/>
                <w:szCs w:val="28"/>
              </w:rPr>
              <w:br/>
            </w:r>
            <w:r w:rsidRPr="00CB5C82">
              <w:rPr>
                <w:b/>
                <w:bCs/>
                <w:sz w:val="28"/>
                <w:szCs w:val="28"/>
              </w:rPr>
              <w:br/>
            </w:r>
            <w:r w:rsidRPr="00CB5C82">
              <w:rPr>
                <w:b/>
                <w:bCs/>
                <w:sz w:val="28"/>
                <w:szCs w:val="28"/>
              </w:rPr>
              <w:br/>
            </w:r>
            <w:r w:rsidRPr="00CB5C82">
              <w:rPr>
                <w:b/>
                <w:bCs/>
                <w:sz w:val="28"/>
                <w:szCs w:val="28"/>
              </w:rPr>
              <w:br/>
            </w:r>
            <w:r w:rsidRPr="00CB5C82">
              <w:rPr>
                <w:b/>
                <w:bCs/>
                <w:sz w:val="28"/>
                <w:szCs w:val="28"/>
              </w:rPr>
              <w:br/>
            </w:r>
            <w:r w:rsidR="0045520A">
              <w:rPr>
                <w:sz w:val="28"/>
                <w:szCs w:val="28"/>
              </w:rPr>
              <w:t xml:space="preserve"> </w:t>
            </w:r>
          </w:p>
          <w:p w14:paraId="735A353B" w14:textId="28A058FB" w:rsidR="00F0329E" w:rsidRPr="00CB5C82" w:rsidRDefault="004000F3" w:rsidP="00136D80">
            <w:pPr>
              <w:jc w:val="center"/>
              <w:rPr>
                <w:sz w:val="28"/>
                <w:szCs w:val="28"/>
              </w:rPr>
            </w:pPr>
            <w:r>
              <w:rPr>
                <w:sz w:val="28"/>
                <w:szCs w:val="28"/>
              </w:rPr>
              <w:t xml:space="preserve"> </w:t>
            </w:r>
          </w:p>
        </w:tc>
      </w:tr>
    </w:tbl>
    <w:p w14:paraId="66437357" w14:textId="77777777" w:rsidR="000D7BA8" w:rsidRDefault="000D7BA8">
      <w:pPr>
        <w:spacing w:before="120" w:after="280" w:afterAutospacing="1"/>
      </w:pPr>
      <w:r>
        <w:t> </w:t>
      </w:r>
    </w:p>
    <w:sectPr w:rsidR="000D7BA8" w:rsidSect="005C0FF2">
      <w:headerReference w:type="default" r:id="rId8"/>
      <w:pgSz w:w="11907" w:h="16840" w:code="9"/>
      <w:pgMar w:top="1134" w:right="1134" w:bottom="1134" w:left="1701" w:header="568"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E8AB" w14:textId="77777777" w:rsidR="0074552C" w:rsidRDefault="0074552C" w:rsidP="005576DE">
      <w:r>
        <w:separator/>
      </w:r>
    </w:p>
  </w:endnote>
  <w:endnote w:type="continuationSeparator" w:id="0">
    <w:p w14:paraId="559DA4B9" w14:textId="77777777" w:rsidR="0074552C" w:rsidRDefault="0074552C" w:rsidP="005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0E0D" w14:textId="77777777" w:rsidR="0074552C" w:rsidRDefault="0074552C" w:rsidP="005576DE">
      <w:r>
        <w:separator/>
      </w:r>
    </w:p>
  </w:footnote>
  <w:footnote w:type="continuationSeparator" w:id="0">
    <w:p w14:paraId="658729F1" w14:textId="77777777" w:rsidR="0074552C" w:rsidRDefault="0074552C" w:rsidP="0055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01EA" w14:textId="77777777" w:rsidR="005576DE" w:rsidRPr="005C0FF2" w:rsidRDefault="005576DE">
    <w:pPr>
      <w:pStyle w:val="Header"/>
      <w:jc w:val="center"/>
      <w:rPr>
        <w:sz w:val="28"/>
        <w:szCs w:val="28"/>
      </w:rPr>
    </w:pPr>
    <w:r w:rsidRPr="005C0FF2">
      <w:rPr>
        <w:sz w:val="28"/>
        <w:szCs w:val="28"/>
      </w:rPr>
      <w:fldChar w:fldCharType="begin"/>
    </w:r>
    <w:r w:rsidRPr="005C0FF2">
      <w:rPr>
        <w:sz w:val="28"/>
        <w:szCs w:val="28"/>
      </w:rPr>
      <w:instrText xml:space="preserve"> PAGE   \* MERGEFORMAT </w:instrText>
    </w:r>
    <w:r w:rsidRPr="005C0FF2">
      <w:rPr>
        <w:sz w:val="28"/>
        <w:szCs w:val="28"/>
      </w:rPr>
      <w:fldChar w:fldCharType="separate"/>
    </w:r>
    <w:r w:rsidR="005C0FF2">
      <w:rPr>
        <w:noProof/>
        <w:sz w:val="28"/>
        <w:szCs w:val="28"/>
      </w:rPr>
      <w:t>3</w:t>
    </w:r>
    <w:r w:rsidRPr="005C0FF2">
      <w:rPr>
        <w:noProof/>
        <w:sz w:val="28"/>
        <w:szCs w:val="28"/>
      </w:rPr>
      <w:fldChar w:fldCharType="end"/>
    </w:r>
  </w:p>
  <w:p w14:paraId="3C4E4407" w14:textId="77777777" w:rsidR="005576DE" w:rsidRDefault="00557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C42"/>
    <w:multiLevelType w:val="hybridMultilevel"/>
    <w:tmpl w:val="0C9E8420"/>
    <w:lvl w:ilvl="0" w:tplc="EB70E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9A2198"/>
    <w:multiLevelType w:val="multilevel"/>
    <w:tmpl w:val="00C85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385CFC"/>
    <w:multiLevelType w:val="multilevel"/>
    <w:tmpl w:val="EFBC9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A60D9"/>
    <w:multiLevelType w:val="multilevel"/>
    <w:tmpl w:val="47FA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779477">
    <w:abstractNumId w:val="3"/>
  </w:num>
  <w:num w:numId="2" w16cid:durableId="930969896">
    <w:abstractNumId w:val="2"/>
  </w:num>
  <w:num w:numId="3" w16cid:durableId="761225000">
    <w:abstractNumId w:val="1"/>
  </w:num>
  <w:num w:numId="4" w16cid:durableId="114107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C82"/>
    <w:rsid w:val="000018C6"/>
    <w:rsid w:val="000239EA"/>
    <w:rsid w:val="00040A80"/>
    <w:rsid w:val="00042CB4"/>
    <w:rsid w:val="00047156"/>
    <w:rsid w:val="00060A07"/>
    <w:rsid w:val="00085068"/>
    <w:rsid w:val="00092A0E"/>
    <w:rsid w:val="000A06D5"/>
    <w:rsid w:val="000B2A84"/>
    <w:rsid w:val="000D7BA8"/>
    <w:rsid w:val="000E5E51"/>
    <w:rsid w:val="000F2394"/>
    <w:rsid w:val="0010110E"/>
    <w:rsid w:val="00136D80"/>
    <w:rsid w:val="0015641D"/>
    <w:rsid w:val="001734C2"/>
    <w:rsid w:val="0019324D"/>
    <w:rsid w:val="001C6777"/>
    <w:rsid w:val="001D2E27"/>
    <w:rsid w:val="001E0819"/>
    <w:rsid w:val="0020412C"/>
    <w:rsid w:val="00237A28"/>
    <w:rsid w:val="00240E20"/>
    <w:rsid w:val="00254273"/>
    <w:rsid w:val="002666CA"/>
    <w:rsid w:val="0027596F"/>
    <w:rsid w:val="00294BB6"/>
    <w:rsid w:val="002F79C9"/>
    <w:rsid w:val="00302322"/>
    <w:rsid w:val="00307F0C"/>
    <w:rsid w:val="0036358E"/>
    <w:rsid w:val="003862F7"/>
    <w:rsid w:val="00393317"/>
    <w:rsid w:val="003A6ADC"/>
    <w:rsid w:val="003B790D"/>
    <w:rsid w:val="003C0932"/>
    <w:rsid w:val="003E09CD"/>
    <w:rsid w:val="004000F3"/>
    <w:rsid w:val="0042056D"/>
    <w:rsid w:val="0045520A"/>
    <w:rsid w:val="00463838"/>
    <w:rsid w:val="00485F01"/>
    <w:rsid w:val="004913D1"/>
    <w:rsid w:val="00497F64"/>
    <w:rsid w:val="004A4E75"/>
    <w:rsid w:val="00504BA4"/>
    <w:rsid w:val="005104ED"/>
    <w:rsid w:val="00522836"/>
    <w:rsid w:val="005576DE"/>
    <w:rsid w:val="00566DA5"/>
    <w:rsid w:val="0057336E"/>
    <w:rsid w:val="0058317D"/>
    <w:rsid w:val="00592EC1"/>
    <w:rsid w:val="00595781"/>
    <w:rsid w:val="005C0FF2"/>
    <w:rsid w:val="005D2335"/>
    <w:rsid w:val="005E329C"/>
    <w:rsid w:val="005E69F6"/>
    <w:rsid w:val="00602669"/>
    <w:rsid w:val="00612F52"/>
    <w:rsid w:val="00614DE6"/>
    <w:rsid w:val="00627077"/>
    <w:rsid w:val="00640C14"/>
    <w:rsid w:val="00647782"/>
    <w:rsid w:val="00677129"/>
    <w:rsid w:val="006948BE"/>
    <w:rsid w:val="006F47F4"/>
    <w:rsid w:val="00734F21"/>
    <w:rsid w:val="00740466"/>
    <w:rsid w:val="0074552C"/>
    <w:rsid w:val="0075091B"/>
    <w:rsid w:val="0077040C"/>
    <w:rsid w:val="007706DA"/>
    <w:rsid w:val="00792D01"/>
    <w:rsid w:val="007A078A"/>
    <w:rsid w:val="007A4379"/>
    <w:rsid w:val="007E2079"/>
    <w:rsid w:val="007E7795"/>
    <w:rsid w:val="007F0540"/>
    <w:rsid w:val="007F3470"/>
    <w:rsid w:val="007F55CC"/>
    <w:rsid w:val="00807F5B"/>
    <w:rsid w:val="00834B89"/>
    <w:rsid w:val="008D669C"/>
    <w:rsid w:val="009072C7"/>
    <w:rsid w:val="00912E10"/>
    <w:rsid w:val="00923300"/>
    <w:rsid w:val="0096426E"/>
    <w:rsid w:val="009655EB"/>
    <w:rsid w:val="00974C0D"/>
    <w:rsid w:val="009869D6"/>
    <w:rsid w:val="009A2378"/>
    <w:rsid w:val="009B146D"/>
    <w:rsid w:val="009C3FE6"/>
    <w:rsid w:val="00A10421"/>
    <w:rsid w:val="00A12410"/>
    <w:rsid w:val="00A205C6"/>
    <w:rsid w:val="00A205EA"/>
    <w:rsid w:val="00A209D1"/>
    <w:rsid w:val="00A47216"/>
    <w:rsid w:val="00A50778"/>
    <w:rsid w:val="00A561FF"/>
    <w:rsid w:val="00A56567"/>
    <w:rsid w:val="00A60B9F"/>
    <w:rsid w:val="00A6753C"/>
    <w:rsid w:val="00A720FF"/>
    <w:rsid w:val="00AA4EE4"/>
    <w:rsid w:val="00AA5473"/>
    <w:rsid w:val="00AB0BB4"/>
    <w:rsid w:val="00AB3BA5"/>
    <w:rsid w:val="00AD68B6"/>
    <w:rsid w:val="00AE1834"/>
    <w:rsid w:val="00AE51A0"/>
    <w:rsid w:val="00AF3639"/>
    <w:rsid w:val="00B010B4"/>
    <w:rsid w:val="00B0352F"/>
    <w:rsid w:val="00B470EF"/>
    <w:rsid w:val="00B57263"/>
    <w:rsid w:val="00B8456F"/>
    <w:rsid w:val="00BA58BF"/>
    <w:rsid w:val="00BB33A9"/>
    <w:rsid w:val="00BC26B0"/>
    <w:rsid w:val="00BD6A83"/>
    <w:rsid w:val="00BE2963"/>
    <w:rsid w:val="00BF30FF"/>
    <w:rsid w:val="00C05EE6"/>
    <w:rsid w:val="00C14465"/>
    <w:rsid w:val="00C4030B"/>
    <w:rsid w:val="00C509D6"/>
    <w:rsid w:val="00C63FEC"/>
    <w:rsid w:val="00C77827"/>
    <w:rsid w:val="00C81D22"/>
    <w:rsid w:val="00CA46C3"/>
    <w:rsid w:val="00CB5C82"/>
    <w:rsid w:val="00CD1E8A"/>
    <w:rsid w:val="00D049EC"/>
    <w:rsid w:val="00D15287"/>
    <w:rsid w:val="00D26BDF"/>
    <w:rsid w:val="00D776DA"/>
    <w:rsid w:val="00D83E08"/>
    <w:rsid w:val="00E13523"/>
    <w:rsid w:val="00E31D20"/>
    <w:rsid w:val="00E56734"/>
    <w:rsid w:val="00E846BC"/>
    <w:rsid w:val="00E91308"/>
    <w:rsid w:val="00E91329"/>
    <w:rsid w:val="00E9408A"/>
    <w:rsid w:val="00EA4608"/>
    <w:rsid w:val="00EB4245"/>
    <w:rsid w:val="00EC04C7"/>
    <w:rsid w:val="00ED3AA8"/>
    <w:rsid w:val="00ED7DD3"/>
    <w:rsid w:val="00F0329E"/>
    <w:rsid w:val="00F03F0C"/>
    <w:rsid w:val="00F14D38"/>
    <w:rsid w:val="00F37BF8"/>
    <w:rsid w:val="00F74277"/>
    <w:rsid w:val="00F84AF8"/>
    <w:rsid w:val="00F84CA6"/>
    <w:rsid w:val="00FD13B1"/>
    <w:rsid w:val="00FD3CCA"/>
    <w:rsid w:val="00FD4EE5"/>
    <w:rsid w:val="00FD7590"/>
    <w:rsid w:val="00FE6120"/>
    <w:rsid w:val="00FF05D1"/>
    <w:rsid w:val="00FF3D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89621"/>
  <w15:docId w15:val="{52F30D91-8FAD-4D6D-8551-6B0AEDEF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838"/>
    <w:rPr>
      <w:rFonts w:ascii="Segoe UI" w:hAnsi="Segoe UI" w:cs="Segoe UI"/>
      <w:sz w:val="18"/>
      <w:szCs w:val="18"/>
    </w:rPr>
  </w:style>
  <w:style w:type="character" w:customStyle="1" w:styleId="BalloonTextChar">
    <w:name w:val="Balloon Text Char"/>
    <w:link w:val="BalloonText"/>
    <w:uiPriority w:val="99"/>
    <w:semiHidden/>
    <w:rsid w:val="00463838"/>
    <w:rPr>
      <w:rFonts w:ascii="Segoe UI" w:hAnsi="Segoe UI" w:cs="Segoe UI"/>
      <w:sz w:val="18"/>
      <w:szCs w:val="18"/>
    </w:rPr>
  </w:style>
  <w:style w:type="paragraph" w:styleId="Header">
    <w:name w:val="header"/>
    <w:basedOn w:val="Normal"/>
    <w:link w:val="HeaderChar"/>
    <w:uiPriority w:val="99"/>
    <w:unhideWhenUsed/>
    <w:rsid w:val="005576DE"/>
    <w:pPr>
      <w:tabs>
        <w:tab w:val="center" w:pos="4680"/>
        <w:tab w:val="right" w:pos="9360"/>
      </w:tabs>
    </w:pPr>
  </w:style>
  <w:style w:type="character" w:customStyle="1" w:styleId="HeaderChar">
    <w:name w:val="Header Char"/>
    <w:link w:val="Header"/>
    <w:uiPriority w:val="99"/>
    <w:rsid w:val="005576DE"/>
    <w:rPr>
      <w:sz w:val="24"/>
      <w:szCs w:val="24"/>
    </w:rPr>
  </w:style>
  <w:style w:type="paragraph" w:styleId="Footer">
    <w:name w:val="footer"/>
    <w:basedOn w:val="Normal"/>
    <w:link w:val="FooterChar"/>
    <w:uiPriority w:val="99"/>
    <w:unhideWhenUsed/>
    <w:rsid w:val="005576DE"/>
    <w:pPr>
      <w:tabs>
        <w:tab w:val="center" w:pos="4680"/>
        <w:tab w:val="right" w:pos="9360"/>
      </w:tabs>
    </w:pPr>
  </w:style>
  <w:style w:type="character" w:customStyle="1" w:styleId="FooterChar">
    <w:name w:val="Footer Char"/>
    <w:link w:val="Footer"/>
    <w:uiPriority w:val="99"/>
    <w:rsid w:val="005576DE"/>
    <w:rPr>
      <w:sz w:val="24"/>
      <w:szCs w:val="24"/>
    </w:rPr>
  </w:style>
  <w:style w:type="character" w:customStyle="1" w:styleId="whitespace-normal">
    <w:name w:val="whitespace-normal"/>
    <w:basedOn w:val="DefaultParagraphFont"/>
    <w:rsid w:val="00497F64"/>
  </w:style>
  <w:style w:type="character" w:styleId="CommentReference">
    <w:name w:val="annotation reference"/>
    <w:uiPriority w:val="99"/>
    <w:semiHidden/>
    <w:unhideWhenUsed/>
    <w:rsid w:val="00092A0E"/>
    <w:rPr>
      <w:sz w:val="16"/>
      <w:szCs w:val="16"/>
    </w:rPr>
  </w:style>
  <w:style w:type="paragraph" w:styleId="CommentText">
    <w:name w:val="annotation text"/>
    <w:basedOn w:val="Normal"/>
    <w:link w:val="CommentTextChar"/>
    <w:uiPriority w:val="99"/>
    <w:semiHidden/>
    <w:unhideWhenUsed/>
    <w:rsid w:val="00092A0E"/>
    <w:rPr>
      <w:sz w:val="20"/>
      <w:szCs w:val="20"/>
    </w:rPr>
  </w:style>
  <w:style w:type="character" w:customStyle="1" w:styleId="CommentTextChar">
    <w:name w:val="Comment Text Char"/>
    <w:basedOn w:val="DefaultParagraphFont"/>
    <w:link w:val="CommentText"/>
    <w:uiPriority w:val="99"/>
    <w:semiHidden/>
    <w:rsid w:val="00092A0E"/>
  </w:style>
  <w:style w:type="paragraph" w:styleId="CommentSubject">
    <w:name w:val="annotation subject"/>
    <w:basedOn w:val="CommentText"/>
    <w:next w:val="CommentText"/>
    <w:link w:val="CommentSubjectChar"/>
    <w:uiPriority w:val="99"/>
    <w:semiHidden/>
    <w:unhideWhenUsed/>
    <w:rsid w:val="00092A0E"/>
    <w:rPr>
      <w:b/>
      <w:bCs/>
    </w:rPr>
  </w:style>
  <w:style w:type="character" w:customStyle="1" w:styleId="CommentSubjectChar">
    <w:name w:val="Comment Subject Char"/>
    <w:link w:val="CommentSubject"/>
    <w:uiPriority w:val="99"/>
    <w:semiHidden/>
    <w:rsid w:val="00092A0E"/>
    <w:rPr>
      <w:b/>
      <w:bCs/>
    </w:rPr>
  </w:style>
  <w:style w:type="paragraph" w:customStyle="1" w:styleId="isselectedend">
    <w:name w:val="isselectedend"/>
    <w:basedOn w:val="Normal"/>
    <w:rsid w:val="00FF05D1"/>
    <w:pPr>
      <w:spacing w:before="100" w:beforeAutospacing="1" w:after="100" w:afterAutospacing="1"/>
    </w:pPr>
  </w:style>
  <w:style w:type="paragraph" w:styleId="NormalWeb">
    <w:name w:val="Normal (Web)"/>
    <w:basedOn w:val="Normal"/>
    <w:uiPriority w:val="99"/>
    <w:semiHidden/>
    <w:unhideWhenUsed/>
    <w:rsid w:val="009A23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1709">
      <w:bodyDiv w:val="1"/>
      <w:marLeft w:val="0"/>
      <w:marRight w:val="0"/>
      <w:marTop w:val="0"/>
      <w:marBottom w:val="0"/>
      <w:divBdr>
        <w:top w:val="none" w:sz="0" w:space="0" w:color="auto"/>
        <w:left w:val="none" w:sz="0" w:space="0" w:color="auto"/>
        <w:bottom w:val="none" w:sz="0" w:space="0" w:color="auto"/>
        <w:right w:val="none" w:sz="0" w:space="0" w:color="auto"/>
      </w:divBdr>
    </w:div>
    <w:div w:id="600340556">
      <w:bodyDiv w:val="1"/>
      <w:marLeft w:val="0"/>
      <w:marRight w:val="0"/>
      <w:marTop w:val="0"/>
      <w:marBottom w:val="0"/>
      <w:divBdr>
        <w:top w:val="none" w:sz="0" w:space="0" w:color="auto"/>
        <w:left w:val="none" w:sz="0" w:space="0" w:color="auto"/>
        <w:bottom w:val="none" w:sz="0" w:space="0" w:color="auto"/>
        <w:right w:val="none" w:sz="0" w:space="0" w:color="auto"/>
      </w:divBdr>
    </w:div>
    <w:div w:id="1051660678">
      <w:bodyDiv w:val="1"/>
      <w:marLeft w:val="0"/>
      <w:marRight w:val="0"/>
      <w:marTop w:val="0"/>
      <w:marBottom w:val="0"/>
      <w:divBdr>
        <w:top w:val="none" w:sz="0" w:space="0" w:color="auto"/>
        <w:left w:val="none" w:sz="0" w:space="0" w:color="auto"/>
        <w:bottom w:val="none" w:sz="0" w:space="0" w:color="auto"/>
        <w:right w:val="none" w:sz="0" w:space="0" w:color="auto"/>
      </w:divBdr>
    </w:div>
    <w:div w:id="1080179260">
      <w:bodyDiv w:val="1"/>
      <w:marLeft w:val="0"/>
      <w:marRight w:val="0"/>
      <w:marTop w:val="0"/>
      <w:marBottom w:val="0"/>
      <w:divBdr>
        <w:top w:val="none" w:sz="0" w:space="0" w:color="auto"/>
        <w:left w:val="none" w:sz="0" w:space="0" w:color="auto"/>
        <w:bottom w:val="none" w:sz="0" w:space="0" w:color="auto"/>
        <w:right w:val="none" w:sz="0" w:space="0" w:color="auto"/>
      </w:divBdr>
    </w:div>
    <w:div w:id="1778597713">
      <w:bodyDiv w:val="1"/>
      <w:marLeft w:val="0"/>
      <w:marRight w:val="0"/>
      <w:marTop w:val="0"/>
      <w:marBottom w:val="0"/>
      <w:divBdr>
        <w:top w:val="none" w:sz="0" w:space="0" w:color="auto"/>
        <w:left w:val="none" w:sz="0" w:space="0" w:color="auto"/>
        <w:bottom w:val="none" w:sz="0" w:space="0" w:color="auto"/>
        <w:right w:val="none" w:sz="0" w:space="0" w:color="auto"/>
      </w:divBdr>
    </w:div>
    <w:div w:id="208171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D9F6-68B9-4773-AB0D-FAC6FFE0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9</cp:revision>
  <cp:lastPrinted>2026-06-03T01:59:00Z</cp:lastPrinted>
  <dcterms:created xsi:type="dcterms:W3CDTF">2026-06-04T02:45:00Z</dcterms:created>
  <dcterms:modified xsi:type="dcterms:W3CDTF">2026-06-06T07:34:00Z</dcterms:modified>
</cp:coreProperties>
</file>