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34" w:type="dxa"/>
        <w:tblLook w:val="01E0" w:firstRow="1" w:lastRow="1" w:firstColumn="1" w:lastColumn="1" w:noHBand="0" w:noVBand="0"/>
      </w:tblPr>
      <w:tblGrid>
        <w:gridCol w:w="3403"/>
        <w:gridCol w:w="5811"/>
      </w:tblGrid>
      <w:tr w:rsidR="003F18A6" w:rsidRPr="00D53715" w14:paraId="47F02F8F" w14:textId="77777777">
        <w:trPr>
          <w:trHeight w:val="457"/>
        </w:trPr>
        <w:tc>
          <w:tcPr>
            <w:tcW w:w="3403" w:type="dxa"/>
          </w:tcPr>
          <w:p w14:paraId="54A7121E" w14:textId="77777777" w:rsidR="003F18A6" w:rsidRPr="00D53715" w:rsidRDefault="00000000">
            <w:pPr>
              <w:spacing w:after="0" w:line="240" w:lineRule="auto"/>
              <w:ind w:firstLine="21"/>
              <w:jc w:val="center"/>
              <w:rPr>
                <w:rFonts w:ascii="Times New Roman" w:hAnsi="Times New Roman"/>
                <w:b/>
                <w:color w:val="000000"/>
                <w:sz w:val="26"/>
                <w:szCs w:val="26"/>
                <w:lang w:val="nl-NL"/>
              </w:rPr>
            </w:pPr>
            <w:bookmarkStart w:id="0" w:name="loai_1"/>
            <w:r w:rsidRPr="00D53715">
              <w:rPr>
                <w:rFonts w:ascii="Times New Roman" w:hAnsi="Times New Roman"/>
                <w:b/>
                <w:color w:val="000000"/>
                <w:sz w:val="26"/>
                <w:szCs w:val="26"/>
                <w:lang w:val="nl-NL"/>
              </w:rPr>
              <w:t xml:space="preserve">HỘI ĐỒNG NHÂN DÂN </w:t>
            </w:r>
          </w:p>
          <w:p w14:paraId="286EE97C" w14:textId="77777777" w:rsidR="003F18A6" w:rsidRPr="00D53715" w:rsidRDefault="00000000">
            <w:pPr>
              <w:spacing w:after="0" w:line="240" w:lineRule="auto"/>
              <w:ind w:firstLine="21"/>
              <w:jc w:val="center"/>
              <w:rPr>
                <w:rFonts w:ascii="Times New Roman" w:hAnsi="Times New Roman"/>
                <w:b/>
                <w:color w:val="000000"/>
                <w:sz w:val="26"/>
                <w:szCs w:val="26"/>
                <w:lang w:val="nl-NL"/>
              </w:rPr>
            </w:pPr>
            <w:r w:rsidRPr="00D53715">
              <w:rPr>
                <w:rFonts w:ascii="Times New Roman" w:hAnsi="Times New Roman"/>
                <w:b/>
                <w:color w:val="000000"/>
                <w:sz w:val="26"/>
                <w:szCs w:val="26"/>
                <w:lang w:val="nl-NL"/>
              </w:rPr>
              <w:t xml:space="preserve">TỈNH HÀ TĨNH </w:t>
            </w:r>
          </w:p>
          <w:p w14:paraId="41FFF2B1" w14:textId="77777777" w:rsidR="003F18A6" w:rsidRPr="00D53715" w:rsidRDefault="00000000">
            <w:pPr>
              <w:spacing w:after="0" w:line="240" w:lineRule="auto"/>
              <w:ind w:firstLine="21"/>
              <w:jc w:val="center"/>
              <w:rPr>
                <w:rFonts w:ascii="Times New Roman" w:hAnsi="Times New Roman"/>
                <w:b/>
                <w:color w:val="000000"/>
                <w:sz w:val="28"/>
                <w:szCs w:val="28"/>
                <w:lang w:val="nl-NL"/>
              </w:rPr>
            </w:pPr>
            <w:r w:rsidRPr="00D53715">
              <w:rPr>
                <w:rFonts w:ascii="Times New Roman" w:hAnsi="Times New Roman"/>
                <w:noProof/>
                <w:color w:val="000000"/>
              </w:rPr>
              <mc:AlternateContent>
                <mc:Choice Requires="wps">
                  <w:drawing>
                    <wp:anchor distT="0" distB="0" distL="114300" distR="114300" simplePos="0" relativeHeight="251657728" behindDoc="0" locked="0" layoutInCell="1" allowOverlap="1" wp14:anchorId="298BEBC4" wp14:editId="77E09617">
                      <wp:simplePos x="0" y="0"/>
                      <wp:positionH relativeFrom="column">
                        <wp:posOffset>683615</wp:posOffset>
                      </wp:positionH>
                      <wp:positionV relativeFrom="paragraph">
                        <wp:posOffset>39370</wp:posOffset>
                      </wp:positionV>
                      <wp:extent cx="579102" cy="0"/>
                      <wp:effectExtent l="0" t="0" r="0" b="0"/>
                      <wp:wrapNone/>
                      <wp:docPr id="6207995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B48722" id="_x0000_t32" coordsize="21600,21600" o:spt="32" o:oned="t" path="m,l21600,21600e" filled="f">
                      <v:path arrowok="t" fillok="f" o:connecttype="none"/>
                      <o:lock v:ext="edit" shapetype="t"/>
                    </v:shapetype>
                    <v:shape id="AutoShape 10" o:spid="_x0000_s1026" type="#_x0000_t32" style="position:absolute;margin-left:53.85pt;margin-top:3.1pt;width:45.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ZQtwEAAFU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Pqy01VLqVQ&#10;F1cB9SXPE4fvGkeRjEZyIDD9ELboXJwoUpWrwPGBQ2IF9SUhFXV4b6zNg7VOTI28WS1XOYHRmjY5&#10;UxhTv99aEkdIq5G/3GL0vA0jPLg2gw0a2m9nO4CxL3Ysbt1ZmSRG2jyu99iednRRLM4uszzvWVqO&#10;t/ec/fo3bP4AAAD//wMAUEsDBBQABgAIAAAAIQAzUJ6b2gAAAAcBAAAPAAAAZHJzL2Rvd25yZXYu&#10;eG1sTI7BTsMwEETvSPyDtUhcELUbibYJcaoKiQNH2kpc3XhJ0sbrKHaa0K9ny4Uen2Y08/L15Fpx&#10;xj40njTMZwoEUultQ5WG/e79eQUiREPWtJ5Qww8GWBf3d7nJrB/pE8/bWAkeoZAZDXWMXSZlKGt0&#10;Jsx8h8TZt++diYx9JW1vRh53rUyUWkhnGuKH2nT4VmN52g5OA4bhZa42qav2H5fx6Su5HMdup/Xj&#10;w7R5BRFxiv9luOqzOhTsdPAD2SBaZrVcclXDIgFxzdNVCuLwx7LI5a1/8QsAAP//AwBQSwECLQAU&#10;AAYACAAAACEAtoM4kv4AAADhAQAAEwAAAAAAAAAAAAAAAAAAAAAAW0NvbnRlbnRfVHlwZXNdLnht&#10;bFBLAQItABQABgAIAAAAIQA4/SH/1gAAAJQBAAALAAAAAAAAAAAAAAAAAC8BAABfcmVscy8ucmVs&#10;c1BLAQItABQABgAIAAAAIQDXyxZQtwEAAFUDAAAOAAAAAAAAAAAAAAAAAC4CAABkcnMvZTJvRG9j&#10;LnhtbFBLAQItABQABgAIAAAAIQAzUJ6b2gAAAAcBAAAPAAAAAAAAAAAAAAAAABEEAABkcnMvZG93&#10;bnJldi54bWxQSwUGAAAAAAQABADzAAAAGAUAAAAA&#10;"/>
                  </w:pict>
                </mc:Fallback>
              </mc:AlternateContent>
            </w:r>
          </w:p>
        </w:tc>
        <w:tc>
          <w:tcPr>
            <w:tcW w:w="5811" w:type="dxa"/>
          </w:tcPr>
          <w:p w14:paraId="130E566E" w14:textId="77777777" w:rsidR="003F18A6" w:rsidRPr="00D53715" w:rsidRDefault="00000000">
            <w:pPr>
              <w:spacing w:after="0" w:line="240" w:lineRule="auto"/>
              <w:ind w:hanging="14"/>
              <w:jc w:val="center"/>
              <w:rPr>
                <w:rFonts w:ascii="Times New Roman" w:hAnsi="Times New Roman"/>
                <w:b/>
                <w:color w:val="000000"/>
                <w:sz w:val="26"/>
                <w:szCs w:val="26"/>
                <w:lang w:val="nl-NL"/>
              </w:rPr>
            </w:pPr>
            <w:r w:rsidRPr="00D53715">
              <w:rPr>
                <w:rFonts w:ascii="Times New Roman" w:hAnsi="Times New Roman"/>
                <w:b/>
                <w:color w:val="000000"/>
                <w:sz w:val="26"/>
                <w:szCs w:val="26"/>
                <w:lang w:val="nl-NL"/>
              </w:rPr>
              <w:t xml:space="preserve">CỘNG HÒA XÃ HỘI CHỦ NGHĨA VIỆT NAM </w:t>
            </w:r>
          </w:p>
          <w:p w14:paraId="2816838B" w14:textId="77777777" w:rsidR="003F18A6" w:rsidRPr="00D53715" w:rsidRDefault="00000000">
            <w:pPr>
              <w:spacing w:after="0" w:line="240" w:lineRule="auto"/>
              <w:ind w:hanging="14"/>
              <w:jc w:val="center"/>
              <w:rPr>
                <w:rFonts w:ascii="Times New Roman" w:hAnsi="Times New Roman"/>
                <w:b/>
                <w:color w:val="000000"/>
                <w:sz w:val="28"/>
                <w:szCs w:val="28"/>
                <w:lang w:val="nl-NL"/>
              </w:rPr>
            </w:pPr>
            <w:r w:rsidRPr="00D53715">
              <w:rPr>
                <w:rFonts w:ascii="Times New Roman" w:hAnsi="Times New Roman"/>
                <w:b/>
                <w:color w:val="000000"/>
                <w:sz w:val="28"/>
                <w:szCs w:val="28"/>
                <w:lang w:val="nl-NL"/>
              </w:rPr>
              <w:t>Độc lập - Tự do - Hạnh phúc</w:t>
            </w:r>
          </w:p>
          <w:p w14:paraId="02C12D36" w14:textId="77777777" w:rsidR="003F18A6" w:rsidRPr="00D53715" w:rsidRDefault="00000000">
            <w:pPr>
              <w:spacing w:after="0" w:line="240" w:lineRule="auto"/>
              <w:ind w:hanging="14"/>
              <w:jc w:val="center"/>
              <w:rPr>
                <w:rFonts w:ascii="Times New Roman" w:hAnsi="Times New Roman"/>
                <w:b/>
                <w:color w:val="000000"/>
                <w:sz w:val="28"/>
                <w:szCs w:val="28"/>
                <w:lang w:val="nl-NL"/>
              </w:rPr>
            </w:pPr>
            <w:r w:rsidRPr="00D53715">
              <w:rPr>
                <w:rFonts w:ascii="Times New Roman" w:hAnsi="Times New Roman"/>
                <w:b/>
                <w:noProof/>
                <w:color w:val="000000"/>
                <w:sz w:val="28"/>
                <w:szCs w:val="28"/>
              </w:rPr>
              <mc:AlternateContent>
                <mc:Choice Requires="wps">
                  <w:drawing>
                    <wp:anchor distT="0" distB="0" distL="114300" distR="114300" simplePos="0" relativeHeight="251658752" behindDoc="0" locked="0" layoutInCell="1" allowOverlap="1" wp14:anchorId="7DEAF307" wp14:editId="397A4B5B">
                      <wp:simplePos x="0" y="0"/>
                      <wp:positionH relativeFrom="column">
                        <wp:posOffset>760785</wp:posOffset>
                      </wp:positionH>
                      <wp:positionV relativeFrom="paragraph">
                        <wp:posOffset>48895</wp:posOffset>
                      </wp:positionV>
                      <wp:extent cx="2043006" cy="0"/>
                      <wp:effectExtent l="0" t="0" r="0" b="0"/>
                      <wp:wrapNone/>
                      <wp:docPr id="165784245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0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99749" id="AutoShape 11" o:spid="_x0000_s1026" type="#_x0000_t32" style="position:absolute;margin-left:59.9pt;margin-top:3.85pt;width:160.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TftwEAAFYDAAAOAAAAZHJzL2Uyb0RvYy54bWysU8Fu2zAMvQ/YPwi6L3ayddi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XFVf3ifBiiF&#10;uvgqaC6JgTh+NTiKbLSSI4Hth7hF79NIkZalDBwfOGZa0FwSclWP99a5MlnnxdTKzzerm5LA6KzO&#10;zhzG1O+3jsQR8m6Ur/SYPK/DCA9eF7DBgP5ytiNY92yn4s6fpclq5NXjZo/6tKOLZGl4heV50fJ2&#10;vL6X7JffYfMbAAD//wMAUEsDBBQABgAIAAAAIQBwSfgR2wAAAAcBAAAPAAAAZHJzL2Rvd25yZXYu&#10;eG1sTI7BTsMwEETvSPyDtUhcEHVStZSGOFWFxIEjbSWu23hJAvE6ip0m9OtZuNDj04xmXr6ZXKtO&#10;1IfGs4F0loAiLr1tuDJw2L/cP4IKEdli65kMfFOATXF9lWNm/chvdNrFSskIhwwN1DF2mdahrMlh&#10;mPmOWLIP3zuMgn2lbY+jjLtWz5PkQTtsWB5q7Oi5pvJrNzgDFIZlmmzXrjq8nse79/n5c+z2xtze&#10;TNsnUJGm+F+GX31Rh0Kcjn5gG1QrnK5FPRpYrUBJvlikS1DHP9ZFri/9ix8AAAD//wMAUEsBAi0A&#10;FAAGAAgAAAAhALaDOJL+AAAA4QEAABMAAAAAAAAAAAAAAAAAAAAAAFtDb250ZW50X1R5cGVzXS54&#10;bWxQSwECLQAUAAYACAAAACEAOP0h/9YAAACUAQAACwAAAAAAAAAAAAAAAAAvAQAAX3JlbHMvLnJl&#10;bHNQSwECLQAUAAYACAAAACEApNnU37cBAABWAwAADgAAAAAAAAAAAAAAAAAuAgAAZHJzL2Uyb0Rv&#10;Yy54bWxQSwECLQAUAAYACAAAACEAcEn4EdsAAAAHAQAADwAAAAAAAAAAAAAAAAARBAAAZHJzL2Rv&#10;d25yZXYueG1sUEsFBgAAAAAEAAQA8wAAABkFAAAAAA==&#10;"/>
                  </w:pict>
                </mc:Fallback>
              </mc:AlternateContent>
            </w:r>
          </w:p>
        </w:tc>
      </w:tr>
      <w:tr w:rsidR="003F18A6" w:rsidRPr="00D53715" w14:paraId="35E71764" w14:textId="77777777">
        <w:trPr>
          <w:trHeight w:val="314"/>
        </w:trPr>
        <w:tc>
          <w:tcPr>
            <w:tcW w:w="3403" w:type="dxa"/>
          </w:tcPr>
          <w:p w14:paraId="645D4A9B" w14:textId="77777777" w:rsidR="003F18A6" w:rsidRPr="00D53715" w:rsidRDefault="00000000">
            <w:pPr>
              <w:spacing w:after="0" w:line="240" w:lineRule="auto"/>
              <w:ind w:firstLine="21"/>
              <w:jc w:val="center"/>
              <w:rPr>
                <w:rFonts w:ascii="Times New Roman" w:hAnsi="Times New Roman"/>
                <w:color w:val="000000"/>
                <w:sz w:val="26"/>
                <w:szCs w:val="26"/>
                <w:lang w:val="nl-NL"/>
              </w:rPr>
            </w:pPr>
            <w:r w:rsidRPr="00D53715">
              <w:rPr>
                <w:rFonts w:ascii="Times New Roman" w:hAnsi="Times New Roman"/>
                <w:color w:val="000000"/>
                <w:sz w:val="26"/>
                <w:szCs w:val="26"/>
                <w:lang w:val="nl-NL"/>
              </w:rPr>
              <w:t>Số:              /2026/NQ-HĐND</w:t>
            </w:r>
          </w:p>
        </w:tc>
        <w:tc>
          <w:tcPr>
            <w:tcW w:w="5811" w:type="dxa"/>
          </w:tcPr>
          <w:p w14:paraId="6A03FBFD" w14:textId="77777777" w:rsidR="003F18A6" w:rsidRPr="00D53715" w:rsidRDefault="00000000">
            <w:pPr>
              <w:keepNext/>
              <w:spacing w:after="0" w:line="240" w:lineRule="auto"/>
              <w:jc w:val="center"/>
              <w:outlineLvl w:val="0"/>
              <w:rPr>
                <w:rFonts w:ascii="Times New Roman" w:eastAsia="Times New Roman" w:hAnsi="Times New Roman"/>
                <w:i/>
                <w:color w:val="000000"/>
                <w:sz w:val="28"/>
                <w:szCs w:val="28"/>
                <w:lang w:val="nl-NL"/>
              </w:rPr>
            </w:pPr>
            <w:r w:rsidRPr="00D53715">
              <w:rPr>
                <w:rFonts w:ascii="Times New Roman" w:eastAsia="Times New Roman" w:hAnsi="Times New Roman"/>
                <w:i/>
                <w:color w:val="000000"/>
                <w:sz w:val="28"/>
                <w:szCs w:val="28"/>
                <w:lang w:val="nl-NL"/>
              </w:rPr>
              <w:t xml:space="preserve">             Hà Tĩnh, ngày        tháng          năm 2026</w:t>
            </w:r>
          </w:p>
        </w:tc>
      </w:tr>
    </w:tbl>
    <w:p w14:paraId="7D79222E" w14:textId="77777777" w:rsidR="003F18A6" w:rsidRPr="006030ED" w:rsidRDefault="00000000">
      <w:pPr>
        <w:pStyle w:val="NormalWeb"/>
        <w:shd w:val="clear" w:color="auto" w:fill="FFFFFF"/>
        <w:spacing w:before="120" w:beforeAutospacing="0" w:after="240" w:afterAutospacing="0"/>
        <w:jc w:val="center"/>
        <w:rPr>
          <w:b/>
          <w:bCs/>
          <w:sz w:val="32"/>
          <w:szCs w:val="32"/>
        </w:rPr>
      </w:pPr>
      <w:r w:rsidRPr="006030ED">
        <w:rPr>
          <w:b/>
          <w:bCs/>
          <w:noProof/>
          <w:sz w:val="32"/>
          <w:szCs w:val="32"/>
        </w:rPr>
        <mc:AlternateContent>
          <mc:Choice Requires="wps">
            <w:drawing>
              <wp:anchor distT="45720" distB="45720" distL="114300" distR="114300" simplePos="0" relativeHeight="251664384" behindDoc="0" locked="0" layoutInCell="1" allowOverlap="1" wp14:anchorId="23A9A69F" wp14:editId="3E69DCF5">
                <wp:simplePos x="0" y="0"/>
                <wp:positionH relativeFrom="column">
                  <wp:posOffset>110491</wp:posOffset>
                </wp:positionH>
                <wp:positionV relativeFrom="paragraph">
                  <wp:posOffset>86360</wp:posOffset>
                </wp:positionV>
                <wp:extent cx="895350" cy="342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solidFill>
                            <a:srgbClr val="000000"/>
                          </a:solidFill>
                          <a:miter lim="800000"/>
                          <a:headEnd/>
                          <a:tailEnd/>
                        </a:ln>
                      </wps:spPr>
                      <wps:txbx>
                        <w:txbxContent>
                          <w:p w14:paraId="3CD85488" w14:textId="77777777" w:rsidR="003F18A6" w:rsidRDefault="00000000">
                            <w:pPr>
                              <w:rPr>
                                <w:rFonts w:ascii="Times New Roman" w:hAnsi="Times New Roman"/>
                                <w:sz w:val="24"/>
                                <w:szCs w:val="24"/>
                              </w:rPr>
                            </w:pPr>
                            <w:r>
                              <w:rPr>
                                <w:rFonts w:ascii="Times New Roman" w:hAnsi="Times New Roman"/>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9A69F" id="_x0000_t202" coordsize="21600,21600" o:spt="202" path="m,l,21600r21600,l21600,xe">
                <v:stroke joinstyle="miter"/>
                <v:path gradientshapeok="t" o:connecttype="rect"/>
              </v:shapetype>
              <v:shape id="Text Box 2" o:spid="_x0000_s1026" type="#_x0000_t202" style="position:absolute;left:0;text-align:left;margin-left:8.7pt;margin-top:6.8pt;width:70.5pt;height:2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VmDgIAAB4EAAAOAAAAZHJzL2Uyb0RvYy54bWysU9uO0zAQfUfiHyy/06TdFrZR09XSpQhp&#10;uUgLHzBxnMbC8RjbbVK+nrHT7VYLvCD8YHk84+M5Z2ZWN0On2UE6r9CUfDrJOZNGYK3MruTfvm5f&#10;XXPmA5gaNBpZ8qP0/Gb98sWqt4WcYYu6lo4RiPFFb0vehmCLLPOilR34CVppyNmg6yCQ6XZZ7aAn&#10;9E5nszx/nfXoautQSO/p9m508nXCbxopwuem8TIwXXLKLaTdpb2Ke7ZeQbFzYFslTmnAP2TRgTL0&#10;6RnqDgKwvVO/QXVKOPTYhInALsOmUUImDsRmmj9j89CClYkLiePtWSb//2DFp8OD/eJYGN7iQAVM&#10;JLy9R/HdM4ObFsxO3jqHfSuhpo+nUbKst744PY1S+8JHkKr/iDUVGfYBE9DQuC6qQjwZoVMBjmfR&#10;5RCYoMvr5eJqQR5Brqv5bJmnomRQPD62zof3EjsWDyV3VNMEDod7H2IyUDyGxL88alVvldbJcLtq&#10;ox07ANV/m1bK/1mYNqwv+XIxW4z8/wqRp/UniE4FamStOmJ0DoIiqvbO1KnNAig9nillbU4yRuVG&#10;DcNQDRQY5aywPpKgDseGpQGjQ4vuJ2c9NWvJ/Y89OMmZ/mCoKMvpfB67OxnzxZsZGe7SU116wAiC&#10;KnngbDxuQpqIKJjBWypeo5KwT5mccqUmTHqfBiZ2+aWdop7Gev0LAAD//wMAUEsDBBQABgAIAAAA&#10;IQCE+4Zw3gAAAAgBAAAPAAAAZHJzL2Rvd25yZXYueG1sTI/BTsMwEETvSPyDtUhcUOtAixNCnAoh&#10;gegNWgRXN3aTCHsdbDcNf8/2BKfV7Ixm31aryVk2mhB7jxKu5xkwg43XPbYS3rdPswJYTAq1sh6N&#10;hB8TYVWfn1Wq1P6Ib2bcpJZRCcZSSehSGkrOY9MZp+LcDwbJ2/vgVCIZWq6DOlK5s/wmywR3qke6&#10;0KnBPHam+docnIRi+TJ+xvXi9aMRe3uXrvLx+TtIeXkxPdwDS2ZKf2E44RM61MS08wfUkVnS+ZKS&#10;NBcC2Mm/LWixkyByAbyu+P8H6l8AAAD//wMAUEsBAi0AFAAGAAgAAAAhALaDOJL+AAAA4QEAABMA&#10;AAAAAAAAAAAAAAAAAAAAAFtDb250ZW50X1R5cGVzXS54bWxQSwECLQAUAAYACAAAACEAOP0h/9YA&#10;AACUAQAACwAAAAAAAAAAAAAAAAAvAQAAX3JlbHMvLnJlbHNQSwECLQAUAAYACAAAACEAHKTlZg4C&#10;AAAeBAAADgAAAAAAAAAAAAAAAAAuAgAAZHJzL2Uyb0RvYy54bWxQSwECLQAUAAYACAAAACEAhPuG&#10;cN4AAAAIAQAADwAAAAAAAAAAAAAAAABoBAAAZHJzL2Rvd25yZXYueG1sUEsFBgAAAAAEAAQA8wAA&#10;AHMFAAAAAA==&#10;">
                <v:textbox>
                  <w:txbxContent>
                    <w:p w14:paraId="3CD85488" w14:textId="77777777" w:rsidR="003F18A6" w:rsidRDefault="00000000">
                      <w:pPr>
                        <w:rPr>
                          <w:rFonts w:ascii="Times New Roman" w:hAnsi="Times New Roman"/>
                          <w:sz w:val="24"/>
                          <w:szCs w:val="24"/>
                        </w:rPr>
                      </w:pPr>
                      <w:r>
                        <w:rPr>
                          <w:rFonts w:ascii="Times New Roman" w:hAnsi="Times New Roman"/>
                          <w:sz w:val="24"/>
                          <w:szCs w:val="24"/>
                        </w:rPr>
                        <w:t>DỰ THẢO</w:t>
                      </w:r>
                    </w:p>
                  </w:txbxContent>
                </v:textbox>
              </v:shape>
            </w:pict>
          </mc:Fallback>
        </mc:AlternateContent>
      </w:r>
    </w:p>
    <w:p w14:paraId="2B212A29" w14:textId="77777777" w:rsidR="003F18A6" w:rsidRPr="00D53715" w:rsidRDefault="00000000">
      <w:pPr>
        <w:pStyle w:val="NormalWeb"/>
        <w:shd w:val="clear" w:color="auto" w:fill="FFFFFF"/>
        <w:spacing w:before="0" w:beforeAutospacing="0" w:after="0" w:afterAutospacing="0"/>
        <w:jc w:val="center"/>
        <w:rPr>
          <w:b/>
          <w:bCs/>
          <w:sz w:val="28"/>
          <w:szCs w:val="28"/>
        </w:rPr>
      </w:pPr>
      <w:r w:rsidRPr="00D53715">
        <w:rPr>
          <w:b/>
          <w:bCs/>
          <w:sz w:val="28"/>
          <w:szCs w:val="28"/>
        </w:rPr>
        <w:t>NGHỊ QUYẾT</w:t>
      </w:r>
      <w:bookmarkEnd w:id="0"/>
    </w:p>
    <w:p w14:paraId="325B2CA7" w14:textId="77777777" w:rsidR="003F18A6" w:rsidRPr="00D53715" w:rsidRDefault="00000000">
      <w:pPr>
        <w:pStyle w:val="NormalWeb"/>
        <w:shd w:val="clear" w:color="auto" w:fill="FFFFFF"/>
        <w:spacing w:before="0" w:beforeAutospacing="0" w:after="0" w:afterAutospacing="0"/>
        <w:jc w:val="center"/>
        <w:rPr>
          <w:b/>
          <w:bCs/>
          <w:sz w:val="28"/>
          <w:szCs w:val="28"/>
        </w:rPr>
      </w:pPr>
      <w:bookmarkStart w:id="1" w:name="loai_1_name"/>
      <w:bookmarkStart w:id="2" w:name="_Hlk206072820"/>
      <w:r w:rsidRPr="00D53715">
        <w:rPr>
          <w:b/>
          <w:bCs/>
          <w:sz w:val="28"/>
          <w:szCs w:val="28"/>
        </w:rPr>
        <w:t>Quy định mức chi đào tạo, bồi dưỡng công chức, viên chức</w:t>
      </w:r>
      <w:bookmarkEnd w:id="1"/>
      <w:r w:rsidRPr="00D53715">
        <w:rPr>
          <w:b/>
          <w:bCs/>
          <w:sz w:val="28"/>
          <w:szCs w:val="28"/>
        </w:rPr>
        <w:t xml:space="preserve"> </w:t>
      </w:r>
    </w:p>
    <w:p w14:paraId="6ECCE0A0" w14:textId="77777777" w:rsidR="003F18A6" w:rsidRPr="00D53715" w:rsidRDefault="00000000">
      <w:pPr>
        <w:pStyle w:val="NormalWeb"/>
        <w:shd w:val="clear" w:color="auto" w:fill="FFFFFF"/>
        <w:spacing w:before="0" w:beforeAutospacing="0" w:after="0" w:afterAutospacing="0"/>
        <w:jc w:val="center"/>
        <w:rPr>
          <w:b/>
          <w:bCs/>
          <w:sz w:val="28"/>
          <w:szCs w:val="28"/>
        </w:rPr>
      </w:pPr>
      <w:r w:rsidRPr="00D53715">
        <w:rPr>
          <w:b/>
          <w:bCs/>
          <w:sz w:val="28"/>
          <w:szCs w:val="28"/>
        </w:rPr>
        <w:t>trên địa bàn tỉnh Hà Tĩnh</w:t>
      </w:r>
    </w:p>
    <w:bookmarkEnd w:id="2"/>
    <w:p w14:paraId="44D251C9" w14:textId="77777777" w:rsidR="003F18A6" w:rsidRPr="004807DE" w:rsidRDefault="00000000">
      <w:pPr>
        <w:pStyle w:val="NormalWeb"/>
        <w:shd w:val="clear" w:color="auto" w:fill="FFFFFF"/>
        <w:spacing w:beforeAutospacing="0" w:after="240" w:afterAutospacing="0"/>
        <w:jc w:val="center"/>
        <w:rPr>
          <w:b/>
          <w:bCs/>
        </w:rPr>
      </w:pPr>
      <w:r w:rsidRPr="004807DE">
        <w:rPr>
          <w:noProof/>
        </w:rPr>
        <mc:AlternateContent>
          <mc:Choice Requires="wps">
            <w:drawing>
              <wp:anchor distT="4294967295" distB="4294967295" distL="114300" distR="114300" simplePos="0" relativeHeight="251656192" behindDoc="0" locked="0" layoutInCell="1" allowOverlap="1" wp14:anchorId="7E4E6982" wp14:editId="21329D82">
                <wp:simplePos x="0" y="0"/>
                <wp:positionH relativeFrom="column">
                  <wp:posOffset>2239645</wp:posOffset>
                </wp:positionH>
                <wp:positionV relativeFrom="paragraph">
                  <wp:posOffset>64135</wp:posOffset>
                </wp:positionV>
                <wp:extent cx="140970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45D03"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35pt,5.05pt" to="287.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Y6sAEAAEgDAAAOAAAAZHJzL2Uyb0RvYy54bWysU8GO0zAQvSPxD5bvNGnF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S7f17cf69QT&#10;dYlV0FwKA3H8YnAUedNKZ332ARo4PnLMRKC5pORrjw/WudJL58XUytub1U0pYHRW52BOY+r3W0fi&#10;CHkayldUpcjrNMKD1wVsMKA/n/cRrHvZp8edP5uR9edh42aP+rSji0mpXYXlebTyPLw+l+rfP8Dm&#10;FwAAAP//AwBQSwMEFAAGAAgAAAAhAELWVjPdAAAACQEAAA8AAABkcnMvZG93bnJldi54bWxMj8FO&#10;wzAQRO9I/IO1SFwqajelLQpxKgTkxoVSxHWbLElEvE5jtw18PYs4wHFnnmZnsvXoOnWkIbSeLcym&#10;BhRx6auWawvbl+LqBlSIyBV2nsnCJwVY5+dnGaaVP/EzHTexVhLCIUULTYx9qnUoG3IYpr4nFu/d&#10;Dw6jnEOtqwFPEu46nRiz1A5blg8N9nTfUPmxOTgLoXilffE1KSfmbV57SvYPT49o7eXFeHcLKtIY&#10;/2D4qS/VIZdOO3/gKqjOwnyRrAQVw8xACbBYXYuw+xV0nun/C/JvAAAA//8DAFBLAQItABQABgAI&#10;AAAAIQC2gziS/gAAAOEBAAATAAAAAAAAAAAAAAAAAAAAAABbQ29udGVudF9UeXBlc10ueG1sUEsB&#10;Ai0AFAAGAAgAAAAhADj9If/WAAAAlAEAAAsAAAAAAAAAAAAAAAAALwEAAF9yZWxzLy5yZWxzUEsB&#10;Ai0AFAAGAAgAAAAhAOkB9jqwAQAASAMAAA4AAAAAAAAAAAAAAAAALgIAAGRycy9lMm9Eb2MueG1s&#10;UEsBAi0AFAAGAAgAAAAhAELWVjPdAAAACQEAAA8AAAAAAAAAAAAAAAAACgQAAGRycy9kb3ducmV2&#10;LnhtbFBLBQYAAAAABAAEAPMAAAAUBQAAAAA=&#10;"/>
            </w:pict>
          </mc:Fallback>
        </mc:AlternateContent>
      </w:r>
    </w:p>
    <w:p w14:paraId="53986901" w14:textId="77777777" w:rsidR="003F18A6" w:rsidRPr="001B618E" w:rsidRDefault="00000000" w:rsidP="006030ED">
      <w:pPr>
        <w:spacing w:after="120" w:line="240" w:lineRule="auto"/>
        <w:ind w:firstLine="720"/>
        <w:jc w:val="both"/>
        <w:rPr>
          <w:rFonts w:ascii="Times New Roman" w:hAnsi="Times New Roman"/>
          <w:i/>
          <w:sz w:val="28"/>
          <w:szCs w:val="28"/>
          <w:lang w:val="vi-VN"/>
        </w:rPr>
      </w:pPr>
      <w:bookmarkStart w:id="3" w:name="_hlk198537339"/>
      <w:r w:rsidRPr="001B618E">
        <w:rPr>
          <w:rFonts w:ascii="Times New Roman" w:hAnsi="Times New Roman"/>
          <w:i/>
          <w:iCs/>
          <w:sz w:val="28"/>
          <w:szCs w:val="28"/>
          <w:lang w:val="vi-VN"/>
        </w:rPr>
        <w:t xml:space="preserve">Căn cứ </w:t>
      </w:r>
      <w:r w:rsidRPr="001B618E">
        <w:rPr>
          <w:rFonts w:ascii="Times New Roman" w:hAnsi="Times New Roman"/>
          <w:i/>
          <w:iCs/>
          <w:sz w:val="28"/>
          <w:szCs w:val="28"/>
          <w:shd w:val="clear" w:color="auto" w:fill="FFFFFF"/>
          <w:lang w:val="vi-VN"/>
        </w:rPr>
        <w:t>Luật Tổ chức chính quyền địa phương </w:t>
      </w:r>
      <w:bookmarkEnd w:id="3"/>
      <w:r w:rsidRPr="001B618E">
        <w:rPr>
          <w:rFonts w:ascii="Times New Roman" w:hAnsi="Times New Roman"/>
          <w:i/>
          <w:iCs/>
          <w:sz w:val="28"/>
          <w:szCs w:val="28"/>
          <w:shd w:val="clear" w:color="auto" w:fill="FFFFFF"/>
          <w:lang w:val="vi-VN"/>
        </w:rPr>
        <w:t>số 72/2025/QH15;</w:t>
      </w:r>
    </w:p>
    <w:p w14:paraId="1901352A" w14:textId="77777777" w:rsidR="003F18A6" w:rsidRPr="001B618E" w:rsidRDefault="00000000" w:rsidP="006030ED">
      <w:pPr>
        <w:spacing w:after="120" w:line="240" w:lineRule="auto"/>
        <w:ind w:firstLine="720"/>
        <w:jc w:val="both"/>
        <w:rPr>
          <w:rFonts w:ascii="Times New Roman" w:hAnsi="Times New Roman"/>
          <w:i/>
          <w:iCs/>
          <w:sz w:val="28"/>
          <w:szCs w:val="28"/>
          <w:shd w:val="clear" w:color="auto" w:fill="FFFFFF"/>
          <w:lang w:val="vi-VN"/>
        </w:rPr>
      </w:pPr>
      <w:r w:rsidRPr="001B618E">
        <w:rPr>
          <w:rFonts w:ascii="Times New Roman" w:hAnsi="Times New Roman"/>
          <w:i/>
          <w:iCs/>
          <w:sz w:val="28"/>
          <w:szCs w:val="28"/>
          <w:shd w:val="clear" w:color="auto" w:fill="FFFFFF"/>
          <w:lang w:val="vi-VN"/>
        </w:rPr>
        <w:t>Căn cứ Luật Ban hành văn bản quy phạm pháp luật số 64/2025/QH15 được sửa đổi, bổ sung bởi Luật số 87/2025/QH15;</w:t>
      </w:r>
    </w:p>
    <w:p w14:paraId="5E615204" w14:textId="77777777" w:rsidR="003F18A6" w:rsidRDefault="00000000" w:rsidP="006030ED">
      <w:pPr>
        <w:spacing w:after="120" w:line="240" w:lineRule="auto"/>
        <w:ind w:firstLine="720"/>
        <w:jc w:val="both"/>
        <w:rPr>
          <w:rFonts w:ascii="Times New Roman" w:hAnsi="Times New Roman"/>
          <w:i/>
          <w:sz w:val="28"/>
          <w:szCs w:val="28"/>
          <w:shd w:val="clear" w:color="auto" w:fill="FFFFFF"/>
        </w:rPr>
      </w:pPr>
      <w:r w:rsidRPr="001B618E">
        <w:rPr>
          <w:rFonts w:ascii="Times New Roman" w:hAnsi="Times New Roman"/>
          <w:i/>
          <w:iCs/>
          <w:sz w:val="28"/>
          <w:szCs w:val="28"/>
          <w:lang w:val="vi-VN"/>
        </w:rPr>
        <w:t xml:space="preserve">Căn cứ Luật Ngân sách nhà nước số </w:t>
      </w:r>
      <w:r w:rsidRPr="001B618E">
        <w:rPr>
          <w:rFonts w:ascii="Times New Roman" w:hAnsi="Times New Roman"/>
          <w:i/>
          <w:sz w:val="28"/>
          <w:szCs w:val="28"/>
          <w:shd w:val="clear" w:color="auto" w:fill="FFFFFF"/>
          <w:lang w:val="vi-VN"/>
        </w:rPr>
        <w:t>89/2025/QH15;</w:t>
      </w:r>
    </w:p>
    <w:p w14:paraId="4AEE42F8" w14:textId="77777777" w:rsidR="00C33EAF" w:rsidRPr="00C33EAF" w:rsidRDefault="00C33EAF" w:rsidP="006030ED">
      <w:pPr>
        <w:spacing w:after="120" w:line="240" w:lineRule="auto"/>
        <w:ind w:firstLine="720"/>
        <w:jc w:val="both"/>
        <w:rPr>
          <w:rFonts w:ascii="Times New Roman" w:hAnsi="Times New Roman"/>
          <w:i/>
          <w:iCs/>
          <w:sz w:val="28"/>
          <w:szCs w:val="28"/>
          <w:shd w:val="clear" w:color="auto" w:fill="FFFFFF"/>
          <w:lang w:val="vi-VN"/>
        </w:rPr>
      </w:pPr>
      <w:r w:rsidRPr="00C33EAF">
        <w:rPr>
          <w:rFonts w:ascii="Times New Roman" w:hAnsi="Times New Roman"/>
          <w:i/>
          <w:iCs/>
          <w:sz w:val="28"/>
          <w:szCs w:val="28"/>
          <w:shd w:val="clear" w:color="auto" w:fill="FFFFFF"/>
          <w:lang w:val="vi-VN"/>
        </w:rPr>
        <w:t xml:space="preserve">Căn cứ Nghị định số 101/2017/NĐ-CP của Chính phủ về đào tạo, bồi dưỡng cán bộ, công chức, viên chức; </w:t>
      </w:r>
    </w:p>
    <w:p w14:paraId="32F0620C" w14:textId="51FD80D1" w:rsidR="00C33EAF" w:rsidRPr="00C33EAF" w:rsidRDefault="00C33EAF" w:rsidP="006030ED">
      <w:pPr>
        <w:spacing w:after="120" w:line="240" w:lineRule="auto"/>
        <w:ind w:firstLine="720"/>
        <w:jc w:val="both"/>
        <w:rPr>
          <w:rFonts w:ascii="Times New Roman" w:hAnsi="Times New Roman"/>
          <w:i/>
          <w:iCs/>
          <w:sz w:val="28"/>
          <w:szCs w:val="28"/>
          <w:shd w:val="clear" w:color="auto" w:fill="FFFFFF"/>
          <w:lang w:val="vi-VN"/>
        </w:rPr>
      </w:pPr>
      <w:r w:rsidRPr="00C33EAF">
        <w:rPr>
          <w:rFonts w:ascii="Times New Roman" w:hAnsi="Times New Roman"/>
          <w:i/>
          <w:iCs/>
          <w:sz w:val="28"/>
          <w:szCs w:val="28"/>
          <w:shd w:val="clear" w:color="auto" w:fill="FFFFFF"/>
          <w:lang w:val="vi-VN"/>
        </w:rPr>
        <w:t>Căn cứ Nghị định số 89/2021/NĐ-CP của Chính phủ sửa đổi, bổ sung một số điều của Nghị định số 101/2017/NĐ-CP của Chính phủ về đào tạo, bồi dưỡng cán bộ, công chức, viên chức;</w:t>
      </w:r>
    </w:p>
    <w:p w14:paraId="5694416A" w14:textId="6CE172E6" w:rsidR="003F18A6" w:rsidRPr="001B618E" w:rsidRDefault="00000000" w:rsidP="006030ED">
      <w:pPr>
        <w:spacing w:after="120" w:line="240" w:lineRule="auto"/>
        <w:ind w:firstLine="720"/>
        <w:jc w:val="both"/>
        <w:rPr>
          <w:rFonts w:ascii="Times New Roman" w:hAnsi="Times New Roman"/>
          <w:bCs/>
          <w:i/>
          <w:sz w:val="28"/>
          <w:szCs w:val="28"/>
          <w:lang w:val="nl-NL"/>
        </w:rPr>
      </w:pPr>
      <w:r w:rsidRPr="001B618E">
        <w:rPr>
          <w:rFonts w:ascii="Times New Roman" w:hAnsi="Times New Roman"/>
          <w:bCs/>
          <w:i/>
          <w:sz w:val="28"/>
          <w:szCs w:val="28"/>
          <w:lang w:val="nl-NL"/>
        </w:rPr>
        <w:t>Căn cứ Nghị định số 171/2025/NĐ-CP của Chính phủ quy định về đào tạo, bồi dưỡng công chức;</w:t>
      </w:r>
    </w:p>
    <w:p w14:paraId="109E50CF" w14:textId="2001C1B1" w:rsidR="003F18A6" w:rsidRPr="001B618E" w:rsidRDefault="00000000" w:rsidP="006030ED">
      <w:pPr>
        <w:spacing w:after="120" w:line="240" w:lineRule="auto"/>
        <w:ind w:firstLine="720"/>
        <w:jc w:val="both"/>
        <w:rPr>
          <w:rFonts w:ascii="Times New Roman" w:hAnsi="Times New Roman"/>
          <w:bCs/>
          <w:i/>
          <w:sz w:val="28"/>
          <w:szCs w:val="28"/>
          <w:lang w:val="nl-NL"/>
        </w:rPr>
      </w:pPr>
      <w:r w:rsidRPr="001B618E">
        <w:rPr>
          <w:rFonts w:ascii="Times New Roman" w:hAnsi="Times New Roman"/>
          <w:bCs/>
          <w:i/>
          <w:sz w:val="28"/>
          <w:szCs w:val="28"/>
          <w:lang w:val="nl-NL"/>
        </w:rPr>
        <w:t>Căn cứ Thông tư số 100/2025/TT-BTC của Bộ trưởng Bộ Tài chính hướng dẫn lập dự toán, quản lý, sử dụng và quyết toán kinh phí dành cho công tác đào tạo, bồi dưỡng công chức, viên chức;</w:t>
      </w:r>
    </w:p>
    <w:p w14:paraId="248ECBC0" w14:textId="0FC81D6A" w:rsidR="003F18A6" w:rsidRPr="001B618E" w:rsidRDefault="00000000" w:rsidP="006030ED">
      <w:pPr>
        <w:spacing w:after="120" w:line="240" w:lineRule="auto"/>
        <w:ind w:firstLine="720"/>
        <w:jc w:val="both"/>
        <w:rPr>
          <w:rFonts w:ascii="Times New Roman" w:hAnsi="Times New Roman"/>
          <w:i/>
          <w:iCs/>
          <w:sz w:val="28"/>
          <w:szCs w:val="28"/>
          <w:lang w:val="vi-VN"/>
        </w:rPr>
      </w:pPr>
      <w:r w:rsidRPr="001B618E">
        <w:rPr>
          <w:rFonts w:ascii="Times New Roman" w:hAnsi="Times New Roman"/>
          <w:i/>
          <w:iCs/>
          <w:sz w:val="28"/>
          <w:szCs w:val="28"/>
          <w:lang w:val="vi-VN"/>
        </w:rPr>
        <w:t xml:space="preserve">Xét Tờ trình số </w:t>
      </w:r>
      <w:r w:rsidRPr="001B618E">
        <w:rPr>
          <w:rFonts w:ascii="Times New Roman" w:hAnsi="Times New Roman"/>
          <w:i/>
          <w:iCs/>
          <w:sz w:val="28"/>
          <w:szCs w:val="28"/>
          <w:lang w:val="nl-NL"/>
        </w:rPr>
        <w:t>......</w:t>
      </w:r>
      <w:r w:rsidRPr="001B618E">
        <w:rPr>
          <w:rFonts w:ascii="Times New Roman" w:hAnsi="Times New Roman"/>
          <w:i/>
          <w:iCs/>
          <w:sz w:val="28"/>
          <w:szCs w:val="28"/>
          <w:lang w:val="vi-VN"/>
        </w:rPr>
        <w:t xml:space="preserve"> /TTr-UBND ngày</w:t>
      </w:r>
      <w:r w:rsidRPr="001B618E">
        <w:rPr>
          <w:rFonts w:ascii="Times New Roman" w:hAnsi="Times New Roman"/>
          <w:i/>
          <w:iCs/>
          <w:sz w:val="28"/>
          <w:szCs w:val="28"/>
          <w:lang w:val="nl-NL"/>
        </w:rPr>
        <w:t>.....</w:t>
      </w:r>
      <w:r w:rsidRPr="001B618E">
        <w:rPr>
          <w:rFonts w:ascii="Times New Roman" w:hAnsi="Times New Roman"/>
          <w:i/>
          <w:iCs/>
          <w:sz w:val="28"/>
          <w:szCs w:val="28"/>
          <w:lang w:val="vi-VN"/>
        </w:rPr>
        <w:t xml:space="preserve"> tháng</w:t>
      </w:r>
      <w:r w:rsidRPr="001B618E">
        <w:rPr>
          <w:rFonts w:ascii="Times New Roman" w:hAnsi="Times New Roman"/>
          <w:i/>
          <w:iCs/>
          <w:sz w:val="28"/>
          <w:szCs w:val="28"/>
          <w:lang w:val="nl-NL"/>
        </w:rPr>
        <w:t>.....</w:t>
      </w:r>
      <w:r w:rsidRPr="001B618E">
        <w:rPr>
          <w:rFonts w:ascii="Times New Roman" w:hAnsi="Times New Roman"/>
          <w:i/>
          <w:iCs/>
          <w:sz w:val="28"/>
          <w:szCs w:val="28"/>
          <w:lang w:val="vi-VN"/>
        </w:rPr>
        <w:t xml:space="preserve">năm 2026 của Ủy ban nhân dân tỉnh về việc </w:t>
      </w:r>
      <w:r w:rsidRPr="001B618E">
        <w:rPr>
          <w:rFonts w:ascii="Times New Roman" w:hAnsi="Times New Roman"/>
          <w:i/>
          <w:iCs/>
          <w:sz w:val="28"/>
          <w:szCs w:val="28"/>
        </w:rPr>
        <w:t xml:space="preserve">đề nghị thông qua Nghị quyết </w:t>
      </w:r>
      <w:r w:rsidRPr="001B618E">
        <w:rPr>
          <w:rFonts w:ascii="Times New Roman" w:hAnsi="Times New Roman"/>
          <w:i/>
          <w:iCs/>
          <w:sz w:val="28"/>
          <w:szCs w:val="28"/>
          <w:lang w:val="vi-VN"/>
        </w:rPr>
        <w:t>quy định mức chi đào tạo, bồi dưỡng công chức, viên chức</w:t>
      </w:r>
      <w:r w:rsidRPr="001B618E">
        <w:rPr>
          <w:rFonts w:ascii="Times New Roman" w:hAnsi="Times New Roman"/>
          <w:i/>
          <w:iCs/>
          <w:sz w:val="28"/>
          <w:szCs w:val="28"/>
          <w:lang w:val="nl-NL"/>
        </w:rPr>
        <w:t xml:space="preserve"> trên địa bàn tỉnh Hà Tĩnh</w:t>
      </w:r>
      <w:r w:rsidRPr="001B618E">
        <w:rPr>
          <w:rFonts w:ascii="Times New Roman" w:hAnsi="Times New Roman"/>
          <w:i/>
          <w:iCs/>
          <w:sz w:val="28"/>
          <w:szCs w:val="28"/>
          <w:lang w:val="vi-VN"/>
        </w:rPr>
        <w:t xml:space="preserve">; </w:t>
      </w:r>
      <w:r w:rsidRPr="001B618E">
        <w:rPr>
          <w:rFonts w:ascii="Times New Roman" w:hAnsi="Times New Roman"/>
          <w:i/>
          <w:iCs/>
          <w:sz w:val="28"/>
          <w:szCs w:val="28"/>
        </w:rPr>
        <w:t>B</w:t>
      </w:r>
      <w:r w:rsidRPr="001B618E">
        <w:rPr>
          <w:rFonts w:ascii="Times New Roman" w:hAnsi="Times New Roman"/>
          <w:i/>
          <w:iCs/>
          <w:sz w:val="28"/>
          <w:szCs w:val="28"/>
          <w:lang w:val="vi-VN"/>
        </w:rPr>
        <w:t>áo cáo thẩm tra</w:t>
      </w:r>
      <w:r w:rsidRPr="001B618E">
        <w:rPr>
          <w:rFonts w:ascii="Times New Roman" w:hAnsi="Times New Roman"/>
          <w:i/>
          <w:iCs/>
          <w:sz w:val="28"/>
          <w:szCs w:val="28"/>
        </w:rPr>
        <w:t xml:space="preserve"> số …../BC-HĐND ngày</w:t>
      </w:r>
      <w:r w:rsidRPr="001B618E">
        <w:rPr>
          <w:rFonts w:ascii="Times New Roman" w:hAnsi="Times New Roman"/>
          <w:i/>
          <w:iCs/>
          <w:sz w:val="28"/>
          <w:szCs w:val="28"/>
          <w:lang w:val="nl-NL"/>
        </w:rPr>
        <w:t>.....</w:t>
      </w:r>
      <w:r w:rsidRPr="001B618E">
        <w:rPr>
          <w:rFonts w:ascii="Times New Roman" w:hAnsi="Times New Roman"/>
          <w:i/>
          <w:iCs/>
          <w:sz w:val="28"/>
          <w:szCs w:val="28"/>
        </w:rPr>
        <w:t xml:space="preserve">/ </w:t>
      </w:r>
      <w:r w:rsidRPr="001B618E">
        <w:rPr>
          <w:rFonts w:ascii="Times New Roman" w:hAnsi="Times New Roman"/>
          <w:i/>
          <w:iCs/>
          <w:sz w:val="28"/>
          <w:szCs w:val="28"/>
          <w:lang w:val="nl-NL"/>
        </w:rPr>
        <w:t>.....</w:t>
      </w:r>
      <w:r w:rsidRPr="001B618E">
        <w:rPr>
          <w:rFonts w:ascii="Times New Roman" w:hAnsi="Times New Roman"/>
          <w:i/>
          <w:iCs/>
          <w:sz w:val="28"/>
          <w:szCs w:val="28"/>
        </w:rPr>
        <w:t>/2026</w:t>
      </w:r>
      <w:r w:rsidRPr="001B618E">
        <w:rPr>
          <w:rFonts w:ascii="Times New Roman" w:hAnsi="Times New Roman"/>
          <w:i/>
          <w:iCs/>
          <w:sz w:val="28"/>
          <w:szCs w:val="28"/>
          <w:lang w:val="vi-VN"/>
        </w:rPr>
        <w:t xml:space="preserve"> của </w:t>
      </w:r>
      <w:r w:rsidRPr="001B618E">
        <w:rPr>
          <w:rFonts w:ascii="Times New Roman" w:hAnsi="Times New Roman"/>
          <w:i/>
          <w:iCs/>
          <w:sz w:val="28"/>
          <w:szCs w:val="28"/>
          <w:lang w:val="nl-NL"/>
        </w:rPr>
        <w:t>........</w:t>
      </w:r>
      <w:r w:rsidRPr="001B618E">
        <w:rPr>
          <w:rFonts w:ascii="Times New Roman" w:hAnsi="Times New Roman"/>
          <w:i/>
          <w:iCs/>
          <w:sz w:val="28"/>
          <w:szCs w:val="28"/>
          <w:lang w:val="vi-VN"/>
        </w:rPr>
        <w:t xml:space="preserve"> và ý kiến thảo luận của đại biểu Hội đồng nhân dân tỉnh tại kỳ họp.</w:t>
      </w:r>
    </w:p>
    <w:p w14:paraId="152B4138" w14:textId="77777777" w:rsidR="003F18A6" w:rsidRPr="001B618E" w:rsidRDefault="00000000" w:rsidP="006030ED">
      <w:pPr>
        <w:spacing w:after="120" w:line="240" w:lineRule="auto"/>
        <w:ind w:firstLine="720"/>
        <w:jc w:val="both"/>
        <w:rPr>
          <w:rFonts w:ascii="Times New Roman" w:hAnsi="Times New Roman"/>
          <w:bCs/>
          <w:sz w:val="28"/>
          <w:szCs w:val="28"/>
          <w:lang w:val="vi-VN"/>
        </w:rPr>
      </w:pPr>
      <w:r w:rsidRPr="001B618E">
        <w:rPr>
          <w:rFonts w:ascii="Times New Roman" w:hAnsi="Times New Roman"/>
          <w:i/>
          <w:iCs/>
          <w:sz w:val="28"/>
          <w:szCs w:val="28"/>
          <w:lang w:val="vi-VN"/>
        </w:rPr>
        <w:t xml:space="preserve">Hội đồng nhân dân tỉnh ban hành Nghị quyết </w:t>
      </w:r>
      <w:r w:rsidRPr="001B618E">
        <w:rPr>
          <w:rFonts w:ascii="Times New Roman" w:hAnsi="Times New Roman"/>
          <w:bCs/>
          <w:i/>
          <w:iCs/>
          <w:sz w:val="28"/>
          <w:szCs w:val="28"/>
          <w:lang w:val="vi-VN"/>
        </w:rPr>
        <w:t>quy định mức chi đào tạo, bồi dưỡng công chức, viên chức trên địa bàn tỉnh Hà Tĩnh.</w:t>
      </w:r>
    </w:p>
    <w:p w14:paraId="3771CB39" w14:textId="77777777" w:rsidR="003F18A6" w:rsidRPr="001B618E" w:rsidRDefault="00000000" w:rsidP="006030ED">
      <w:pPr>
        <w:spacing w:after="120" w:line="240" w:lineRule="auto"/>
        <w:ind w:firstLine="720"/>
        <w:jc w:val="both"/>
        <w:rPr>
          <w:rFonts w:ascii="Times New Roman" w:hAnsi="Times New Roman"/>
          <w:sz w:val="28"/>
          <w:szCs w:val="28"/>
          <w:lang w:val="vi-VN"/>
        </w:rPr>
      </w:pPr>
      <w:bookmarkStart w:id="4" w:name="dieu_1"/>
      <w:r w:rsidRPr="001B618E">
        <w:rPr>
          <w:rFonts w:ascii="Times New Roman" w:hAnsi="Times New Roman"/>
          <w:b/>
          <w:bCs/>
          <w:sz w:val="28"/>
          <w:szCs w:val="28"/>
          <w:lang w:val="vi-VN"/>
        </w:rPr>
        <w:t>Điều 1. Phạm vi điều chỉnh và đối tượng áp dụng</w:t>
      </w:r>
      <w:bookmarkEnd w:id="4"/>
    </w:p>
    <w:p w14:paraId="238E274B" w14:textId="77777777" w:rsidR="003F18A6" w:rsidRPr="001B618E" w:rsidRDefault="00000000" w:rsidP="006030ED">
      <w:pPr>
        <w:spacing w:after="120" w:line="240" w:lineRule="auto"/>
        <w:ind w:firstLine="720"/>
        <w:jc w:val="both"/>
        <w:rPr>
          <w:rFonts w:ascii="Times New Roman" w:hAnsi="Times New Roman"/>
          <w:sz w:val="28"/>
          <w:szCs w:val="28"/>
          <w:lang w:val="vi-VN"/>
        </w:rPr>
      </w:pPr>
      <w:r w:rsidRPr="001B618E">
        <w:rPr>
          <w:rFonts w:ascii="Times New Roman" w:hAnsi="Times New Roman"/>
          <w:sz w:val="28"/>
          <w:szCs w:val="28"/>
          <w:lang w:val="vi-VN"/>
        </w:rPr>
        <w:t>1. Phạm vi điều chỉnh</w:t>
      </w:r>
    </w:p>
    <w:p w14:paraId="1F863D11" w14:textId="4ACB984C" w:rsidR="003F18A6" w:rsidRPr="00B37FF0" w:rsidRDefault="00000000" w:rsidP="006030ED">
      <w:pPr>
        <w:shd w:val="clear" w:color="auto" w:fill="FFFFFF"/>
        <w:spacing w:after="120" w:line="240" w:lineRule="auto"/>
        <w:ind w:firstLine="720"/>
        <w:jc w:val="both"/>
        <w:rPr>
          <w:rFonts w:ascii="Times New Roman" w:hAnsi="Times New Roman"/>
          <w:spacing w:val="-4"/>
          <w:sz w:val="28"/>
          <w:szCs w:val="28"/>
          <w:lang w:val="vi-VN"/>
        </w:rPr>
      </w:pPr>
      <w:r w:rsidRPr="00B37FF0">
        <w:rPr>
          <w:rFonts w:ascii="Times New Roman" w:hAnsi="Times New Roman"/>
          <w:spacing w:val="-4"/>
          <w:sz w:val="28"/>
          <w:szCs w:val="28"/>
          <w:lang w:val="vi-VN"/>
        </w:rPr>
        <w:t>Nghị quyết này quy định một số mức chi cho công tác đào tạo, bồi dưỡng công chức, viên chức thuộc phạm vi quản lý của tỉnh Hà Tĩnh theo quy định tại khoản 3 Điều 8 Thông tư số 100/2025/TT-BTC</w:t>
      </w:r>
      <w:r w:rsidR="00B37FF0" w:rsidRPr="00B37FF0">
        <w:rPr>
          <w:rFonts w:ascii="Times New Roman" w:hAnsi="Times New Roman"/>
          <w:spacing w:val="-4"/>
          <w:sz w:val="28"/>
          <w:szCs w:val="28"/>
          <w:lang w:val="vi-VN"/>
        </w:rPr>
        <w:t xml:space="preserve"> hướng dẫn lập dự toán, quản lý, sử dụng và quyết toán kinh phí dành cho công tác đào tạo, bồi dưỡng công chức, viên chức</w:t>
      </w:r>
      <w:r w:rsidRPr="00B37FF0">
        <w:rPr>
          <w:rFonts w:ascii="Times New Roman" w:hAnsi="Times New Roman"/>
          <w:spacing w:val="-4"/>
          <w:sz w:val="28"/>
          <w:szCs w:val="28"/>
          <w:lang w:val="vi-VN"/>
        </w:rPr>
        <w:t>.</w:t>
      </w:r>
    </w:p>
    <w:p w14:paraId="7BE18053" w14:textId="77777777" w:rsidR="003F18A6" w:rsidRPr="001B618E" w:rsidRDefault="00000000" w:rsidP="006030ED">
      <w:pPr>
        <w:shd w:val="clear" w:color="auto" w:fill="FFFFFF"/>
        <w:spacing w:after="120" w:line="240" w:lineRule="auto"/>
        <w:ind w:firstLine="720"/>
        <w:jc w:val="both"/>
        <w:rPr>
          <w:rFonts w:ascii="Times New Roman" w:hAnsi="Times New Roman"/>
          <w:spacing w:val="-2"/>
          <w:sz w:val="28"/>
          <w:szCs w:val="28"/>
          <w:lang w:val="vi-VN"/>
        </w:rPr>
      </w:pPr>
      <w:r w:rsidRPr="001B618E">
        <w:rPr>
          <w:rFonts w:ascii="Times New Roman" w:hAnsi="Times New Roman"/>
          <w:spacing w:val="-2"/>
          <w:sz w:val="28"/>
          <w:szCs w:val="28"/>
          <w:lang w:val="vi-VN"/>
        </w:rPr>
        <w:t>Trường hợp các chương trình/đề án/dự án có văn bản hướng dẫn riêng thì thực hiện theo quy định tại các văn bản hướng dẫn của chương trình/đề án/dự án đó.</w:t>
      </w:r>
    </w:p>
    <w:p w14:paraId="1504F77A" w14:textId="77777777" w:rsidR="003F18A6" w:rsidRPr="001B618E" w:rsidRDefault="00000000" w:rsidP="006030ED">
      <w:pPr>
        <w:spacing w:after="120" w:line="240" w:lineRule="auto"/>
        <w:ind w:firstLine="720"/>
        <w:jc w:val="both"/>
        <w:rPr>
          <w:rFonts w:ascii="Times New Roman" w:hAnsi="Times New Roman"/>
          <w:sz w:val="28"/>
          <w:szCs w:val="28"/>
          <w:lang w:val="vi-VN"/>
        </w:rPr>
      </w:pPr>
      <w:r w:rsidRPr="001B618E">
        <w:rPr>
          <w:rFonts w:ascii="Times New Roman" w:hAnsi="Times New Roman"/>
          <w:sz w:val="28"/>
          <w:szCs w:val="28"/>
          <w:lang w:val="vi-VN"/>
        </w:rPr>
        <w:t>2. Đối tượng áp dụng</w:t>
      </w:r>
    </w:p>
    <w:p w14:paraId="7A96B897" w14:textId="77777777" w:rsidR="003F18A6" w:rsidRPr="001B618E" w:rsidRDefault="00000000" w:rsidP="006030ED">
      <w:pPr>
        <w:spacing w:after="120" w:line="240" w:lineRule="auto"/>
        <w:ind w:firstLine="720"/>
        <w:jc w:val="both"/>
        <w:rPr>
          <w:rFonts w:ascii="Times New Roman" w:hAnsi="Times New Roman"/>
          <w:sz w:val="28"/>
          <w:szCs w:val="28"/>
          <w:lang w:val="vi-VN"/>
        </w:rPr>
      </w:pPr>
      <w:bookmarkStart w:id="5" w:name="dieu_2"/>
      <w:r w:rsidRPr="001B618E">
        <w:rPr>
          <w:rFonts w:ascii="Times New Roman" w:hAnsi="Times New Roman"/>
          <w:sz w:val="28"/>
          <w:szCs w:val="28"/>
          <w:lang w:val="vi-VN"/>
        </w:rPr>
        <w:lastRenderedPageBreak/>
        <w:t>a) Công chức trong cơ quan của Đảng Cộng sản Việt Nam, Nhà nước, Mặt trận Tổ quốc Việt Nam, tổ chức chính trị - xã hội cấp tỉnh, cấp xã.</w:t>
      </w:r>
    </w:p>
    <w:p w14:paraId="03347EAE" w14:textId="77777777" w:rsidR="003F18A6" w:rsidRPr="001B618E" w:rsidRDefault="00000000" w:rsidP="006030ED">
      <w:pPr>
        <w:spacing w:after="120" w:line="240" w:lineRule="auto"/>
        <w:ind w:firstLine="720"/>
        <w:jc w:val="both"/>
        <w:rPr>
          <w:rFonts w:ascii="Times New Roman" w:hAnsi="Times New Roman"/>
          <w:sz w:val="28"/>
          <w:szCs w:val="28"/>
          <w:lang w:val="vi-VN"/>
        </w:rPr>
      </w:pPr>
      <w:r w:rsidRPr="001B618E">
        <w:rPr>
          <w:rFonts w:ascii="Times New Roman" w:hAnsi="Times New Roman"/>
          <w:sz w:val="28"/>
          <w:szCs w:val="28"/>
          <w:lang w:val="vi-VN"/>
        </w:rPr>
        <w:t>b) Viên chức trong đơn vị sự nghiệp công lập;</w:t>
      </w:r>
    </w:p>
    <w:p w14:paraId="033F7233" w14:textId="7F9F4B5F" w:rsidR="003F18A6" w:rsidRPr="001B618E" w:rsidRDefault="00000000" w:rsidP="006030ED">
      <w:pPr>
        <w:spacing w:after="120" w:line="240" w:lineRule="auto"/>
        <w:ind w:firstLine="720"/>
        <w:jc w:val="both"/>
        <w:rPr>
          <w:rFonts w:ascii="Times New Roman" w:hAnsi="Times New Roman"/>
          <w:b/>
          <w:bCs/>
          <w:sz w:val="28"/>
          <w:szCs w:val="28"/>
        </w:rPr>
      </w:pPr>
      <w:r w:rsidRPr="001B618E">
        <w:rPr>
          <w:rFonts w:ascii="Times New Roman" w:hAnsi="Times New Roman"/>
          <w:sz w:val="28"/>
          <w:szCs w:val="28"/>
          <w:lang w:val="vi-VN"/>
        </w:rPr>
        <w:t>c) Các cơ quan, tổ chức, cá nhân có liên quan.</w:t>
      </w:r>
      <w:bookmarkStart w:id="6" w:name="dieu_2_1"/>
    </w:p>
    <w:p w14:paraId="340CBAE3" w14:textId="1D1B731A" w:rsidR="003F18A6" w:rsidRPr="001B618E" w:rsidRDefault="00000000" w:rsidP="006030ED">
      <w:pPr>
        <w:shd w:val="clear" w:color="auto" w:fill="FFFFFF"/>
        <w:spacing w:after="120" w:line="240" w:lineRule="auto"/>
        <w:ind w:firstLine="720"/>
        <w:rPr>
          <w:rFonts w:ascii="Times New Roman" w:hAnsi="Times New Roman"/>
          <w:sz w:val="28"/>
          <w:szCs w:val="28"/>
          <w:lang w:val="vi-VN"/>
        </w:rPr>
      </w:pPr>
      <w:r w:rsidRPr="001B618E">
        <w:rPr>
          <w:rFonts w:ascii="Times New Roman" w:hAnsi="Times New Roman"/>
          <w:b/>
          <w:bCs/>
          <w:sz w:val="28"/>
          <w:szCs w:val="28"/>
          <w:lang w:val="vi-VN"/>
        </w:rPr>
        <w:t xml:space="preserve">Điều 2. Mức chi </w:t>
      </w:r>
      <w:bookmarkEnd w:id="6"/>
    </w:p>
    <w:p w14:paraId="4F967384" w14:textId="77777777"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bookmarkStart w:id="7" w:name="dieu_7"/>
      <w:bookmarkEnd w:id="5"/>
      <w:r w:rsidRPr="001F20C3">
        <w:rPr>
          <w:rFonts w:ascii="Times New Roman" w:hAnsi="Times New Roman"/>
          <w:sz w:val="28"/>
          <w:szCs w:val="28"/>
          <w:lang w:val="vi-VN"/>
        </w:rPr>
        <w:t>1. Mức chi đào tạo công chức trong nước</w:t>
      </w:r>
    </w:p>
    <w:p w14:paraId="59DA7BE6" w14:textId="019A40C3" w:rsidR="001F20C3" w:rsidRPr="001F20C3" w:rsidRDefault="001F20C3" w:rsidP="006030ED">
      <w:pPr>
        <w:shd w:val="clear" w:color="auto" w:fill="FFFFFF"/>
        <w:spacing w:after="120" w:line="240" w:lineRule="auto"/>
        <w:ind w:firstLine="720"/>
        <w:jc w:val="both"/>
        <w:rPr>
          <w:rFonts w:ascii="Times New Roman" w:hAnsi="Times New Roman"/>
          <w:spacing w:val="-2"/>
          <w:sz w:val="28"/>
          <w:szCs w:val="28"/>
          <w:lang w:val="vi-VN"/>
        </w:rPr>
      </w:pPr>
      <w:r w:rsidRPr="001F20C3">
        <w:rPr>
          <w:rFonts w:ascii="Times New Roman" w:hAnsi="Times New Roman"/>
          <w:spacing w:val="-2"/>
          <w:sz w:val="28"/>
          <w:szCs w:val="28"/>
          <w:lang w:val="vi-VN"/>
        </w:rPr>
        <w:t xml:space="preserve">Chi hỗ trợ một phần tiền ăn trong thời gian đi học tập trung; chi hỗ trợ chi phí đi lại từ cơ quan đến nơi học tập (một lượt đi và về; nghỉ lễ; nghỉ tết); chi thanh toán tiền thuê chỗ nghỉ cho công chức trong những ngày đi tập trung học tại cơ sở đào tạo (trong trường hợp cơ sở đào tạo và đơn vị tổ chức đào tạo xác nhận không bố trí được chỗ nghỉ): </w:t>
      </w:r>
      <w:bookmarkStart w:id="8" w:name="dieu_3"/>
      <w:r w:rsidRPr="001F20C3">
        <w:rPr>
          <w:rFonts w:ascii="Times New Roman" w:hAnsi="Times New Roman"/>
          <w:spacing w:val="-2"/>
          <w:sz w:val="28"/>
          <w:szCs w:val="28"/>
          <w:lang w:val="vi-VN"/>
        </w:rPr>
        <w:t>Căn cứ địa điểm tổ chức lớp học và khả năng ngân sách, các cơ quan, đơn vị quản lý công chức sử dụng từ nguồn kinh phí chi thường xuyên và nguồn kinh phí hợp pháp khác của mình để hỗ trợ cho công chức được cử đi đào tạo các khoản chi phí nêu trên không vượt quá mức chi quy định tại Nghị quyết số 70/2017/NQ-HĐND quy định chế độ công tác phí, chế độ chi hội nghị; Nghị quyết số 156/2025/NQ-HĐND sửa đổi, bổ sung một số điều của Nghị quyết số 70/2017/NQ-HĐND (sau đây viết tắt là Nghị quyết số 70/2017/NQ-HĐND được sửa đổi, bổ sung tại Nghị quyết số 156/2025/NQ-HĐND).</w:t>
      </w:r>
    </w:p>
    <w:p w14:paraId="2DD00471" w14:textId="77777777"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2. Mức chi bồi dưỡng công chức trong nước</w:t>
      </w:r>
      <w:bookmarkEnd w:id="8"/>
    </w:p>
    <w:p w14:paraId="20472D62" w14:textId="77777777"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a) Mức chi tiền công giảng viên, trợ giảng, báo cáo viên (một buổi giảng được tính 04 tiết học, bao gồm cả tiền công soạn giáo án/bài giảng):</w:t>
      </w:r>
    </w:p>
    <w:p w14:paraId="65A4C345" w14:textId="77777777"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 xml:space="preserve"> Giảng viên, báo cáo viên là Ủy viên Trung ương Đảng, Bộ trưởng, Bí thư Tỉnh ủy và các chức danh tương đương (tính theo phụ cấp chức vụ), Giáo sư, Chuyên gia cao cấp: 4.000.000 đồng/người/buổi.</w:t>
      </w:r>
    </w:p>
    <w:p w14:paraId="7CE41085" w14:textId="45F287F0"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 xml:space="preserve"> Giảng viên, báo cáo viên là Thứ trưởng, Phó Bí </w:t>
      </w:r>
      <w:r w:rsidR="00FC1A95">
        <w:rPr>
          <w:rFonts w:ascii="Times New Roman" w:hAnsi="Times New Roman"/>
          <w:sz w:val="28"/>
          <w:szCs w:val="28"/>
        </w:rPr>
        <w:t>t</w:t>
      </w:r>
      <w:r w:rsidRPr="001F20C3">
        <w:rPr>
          <w:rFonts w:ascii="Times New Roman" w:hAnsi="Times New Roman"/>
          <w:sz w:val="28"/>
          <w:szCs w:val="28"/>
          <w:lang w:val="vi-VN"/>
        </w:rPr>
        <w:t xml:space="preserve">hư Tỉnh ủy, Chủ tịch Hội đồng nhân dân tỉnh, Chủ tịch </w:t>
      </w:r>
      <w:r w:rsidR="00BB338A">
        <w:rPr>
          <w:rFonts w:ascii="Times New Roman" w:hAnsi="Times New Roman"/>
          <w:sz w:val="28"/>
          <w:szCs w:val="28"/>
        </w:rPr>
        <w:t>Ủy</w:t>
      </w:r>
      <w:r w:rsidRPr="001F20C3">
        <w:rPr>
          <w:rFonts w:ascii="Times New Roman" w:hAnsi="Times New Roman"/>
          <w:sz w:val="28"/>
          <w:szCs w:val="28"/>
          <w:lang w:val="vi-VN"/>
        </w:rPr>
        <w:t xml:space="preserve"> ban nhân dân tỉnh và các chức danh tương đương (tính theo phụ cấp chức vụ), Phó giáo sư: 3.000.000 đồng/người/buổi.</w:t>
      </w:r>
    </w:p>
    <w:p w14:paraId="545AB214" w14:textId="4AFA8CA3"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 xml:space="preserve"> Giảng viên, báo cáo viên là </w:t>
      </w:r>
      <w:r w:rsidR="00BB338A">
        <w:rPr>
          <w:rFonts w:ascii="Times New Roman" w:hAnsi="Times New Roman"/>
          <w:sz w:val="28"/>
          <w:szCs w:val="28"/>
        </w:rPr>
        <w:t>Ủy</w:t>
      </w:r>
      <w:r w:rsidRPr="001F20C3">
        <w:rPr>
          <w:rFonts w:ascii="Times New Roman" w:hAnsi="Times New Roman"/>
          <w:sz w:val="28"/>
          <w:szCs w:val="28"/>
          <w:lang w:val="vi-VN"/>
        </w:rPr>
        <w:t xml:space="preserve"> viên Ban Thường vụ Tỉnh ủy, Phó Chủ tịch Hội đồng nhân dân tỉnh, Phó Chủ tịch </w:t>
      </w:r>
      <w:r w:rsidR="00BB338A">
        <w:rPr>
          <w:rFonts w:ascii="Times New Roman" w:hAnsi="Times New Roman"/>
          <w:sz w:val="28"/>
          <w:szCs w:val="28"/>
        </w:rPr>
        <w:t>Ủy</w:t>
      </w:r>
      <w:r w:rsidRPr="001F20C3">
        <w:rPr>
          <w:rFonts w:ascii="Times New Roman" w:hAnsi="Times New Roman"/>
          <w:sz w:val="28"/>
          <w:szCs w:val="28"/>
          <w:lang w:val="vi-VN"/>
        </w:rPr>
        <w:t xml:space="preserve"> ban nhân dân tỉnh, Lãnh đạo các đơn vị trực thuộc Bộ và cơ quan Trung ương, Tiến s</w:t>
      </w:r>
      <w:r w:rsidR="00BB338A">
        <w:rPr>
          <w:rFonts w:ascii="Times New Roman" w:hAnsi="Times New Roman"/>
          <w:sz w:val="28"/>
          <w:szCs w:val="28"/>
        </w:rPr>
        <w:t>ĩ</w:t>
      </w:r>
      <w:r w:rsidRPr="001F20C3">
        <w:rPr>
          <w:rFonts w:ascii="Times New Roman" w:hAnsi="Times New Roman"/>
          <w:sz w:val="28"/>
          <w:szCs w:val="28"/>
          <w:lang w:val="vi-VN"/>
        </w:rPr>
        <w:t>: 2.500.000 đồng/người/buổi.</w:t>
      </w:r>
    </w:p>
    <w:p w14:paraId="366E9B88" w14:textId="4C1DC2EC"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 xml:space="preserve">Giảng viên, báo cáo viên là </w:t>
      </w:r>
      <w:r w:rsidR="00BB338A">
        <w:rPr>
          <w:rFonts w:ascii="Times New Roman" w:hAnsi="Times New Roman"/>
          <w:sz w:val="28"/>
          <w:szCs w:val="28"/>
        </w:rPr>
        <w:t>Ủy</w:t>
      </w:r>
      <w:r w:rsidRPr="001F20C3">
        <w:rPr>
          <w:rFonts w:ascii="Times New Roman" w:hAnsi="Times New Roman"/>
          <w:sz w:val="28"/>
          <w:szCs w:val="28"/>
          <w:lang w:val="vi-VN"/>
        </w:rPr>
        <w:t xml:space="preserve"> viên Ban Chấp hành Đảng bộ tỉnh, Giám đốc, Phó Giám đốc sở, Thủ trưởng, phó thủ trưởng ban, ngành cấp tỉnh và các chức danh tương đương (tính theo phụ cấp chức vụ), cán bộ, công chức, viên chức công tác tại các cơ quan, đơn vị ở trung ương (ngoài các đối tượng nêu trên): 2.000.000 đồng/người/buổi.</w:t>
      </w:r>
    </w:p>
    <w:p w14:paraId="4C518A52" w14:textId="77777777"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Giảng viên, báo cáo viên là cán bộ, công chức, viên chức công tác tại các cơ quan, đơn vị cấp tỉnh (ngoài các đối tượng nêu trên): 1.500.000 đồng/người/buổi.</w:t>
      </w:r>
    </w:p>
    <w:p w14:paraId="6F34446D" w14:textId="77777777"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Giảng viên, báo cáo viên là cán bộ, công chức, viên chức công tác tại các cơ quan, đơn vị cấp xã (ngoài các đối tượng nêu trên): 1.000.000 đồng/người/buổi.</w:t>
      </w:r>
    </w:p>
    <w:p w14:paraId="4332053B" w14:textId="77777777"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lastRenderedPageBreak/>
        <w:t>Trường hợp giảng viên, báo cáo viên thuộc nhiều nhóm đối tượng thì áp dụng mức chi tiền công cao nhất.</w:t>
      </w:r>
    </w:p>
    <w:p w14:paraId="70FF772E" w14:textId="151F97F5"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 xml:space="preserve">Trợ giảng: </w:t>
      </w:r>
      <w:r w:rsidR="00B37FF0">
        <w:rPr>
          <w:rFonts w:ascii="Times New Roman" w:hAnsi="Times New Roman"/>
          <w:sz w:val="28"/>
          <w:szCs w:val="28"/>
        </w:rPr>
        <w:t>m</w:t>
      </w:r>
      <w:r w:rsidRPr="001F20C3">
        <w:rPr>
          <w:rFonts w:ascii="Times New Roman" w:hAnsi="Times New Roman"/>
          <w:sz w:val="28"/>
          <w:szCs w:val="28"/>
          <w:lang w:val="vi-VN"/>
        </w:rPr>
        <w:t>ức chi bằng 30% mức chi tiền công giảng viên, báo cáo viên của cùng một buổi giảng.</w:t>
      </w:r>
    </w:p>
    <w:p w14:paraId="138C1C3F" w14:textId="78FBFB99"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 xml:space="preserve">b) Phụ cấp tiền ăn cho giảng viên, báo cáo viên: </w:t>
      </w:r>
      <w:r w:rsidR="00B37FF0">
        <w:rPr>
          <w:rFonts w:ascii="Times New Roman" w:hAnsi="Times New Roman"/>
          <w:sz w:val="28"/>
          <w:szCs w:val="28"/>
        </w:rPr>
        <w:t>t</w:t>
      </w:r>
      <w:r w:rsidRPr="001F20C3">
        <w:rPr>
          <w:rFonts w:ascii="Times New Roman" w:hAnsi="Times New Roman"/>
          <w:sz w:val="28"/>
          <w:szCs w:val="28"/>
          <w:lang w:val="vi-VN"/>
        </w:rPr>
        <w:t>ùy theo địa điểm, thời gian tổ chức lớp học, các cơ quan, đơn vị được giao chủ trì tổ chức các lớp bồi dưỡng công chức quyết định chi phụ cấp tiền ăn cho giảng viên, báo cáo viên phù hợp với mức chi phụ cấp lưu trú được quy định tại Nghị quyết số 70/2017/NQ-HĐND được sửa đổi, bổ sung tại Nghị quyết số 156/2025/NQ-HĐND.</w:t>
      </w:r>
    </w:p>
    <w:p w14:paraId="01244C2C" w14:textId="13F825F3"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 xml:space="preserve">c) Chi phí thanh toán tiền phương tiện đi lại, tiền thuê phòng nghỉ cho giảng viên, báo cáo viên: </w:t>
      </w:r>
      <w:r w:rsidR="00B37FF0">
        <w:rPr>
          <w:rFonts w:ascii="Times New Roman" w:hAnsi="Times New Roman"/>
          <w:sz w:val="28"/>
          <w:szCs w:val="28"/>
        </w:rPr>
        <w:t>t</w:t>
      </w:r>
      <w:r w:rsidRPr="001F20C3">
        <w:rPr>
          <w:rFonts w:ascii="Times New Roman" w:hAnsi="Times New Roman"/>
          <w:sz w:val="28"/>
          <w:szCs w:val="28"/>
          <w:lang w:val="vi-VN"/>
        </w:rPr>
        <w:t>rường hợp cơ quan, đơn vị không bố trí được phương tiện, không có điều kiện bố trí chỗ nghỉ cho giảng viên, báo cáo viên trong nước mà phải đi thuê thì được chi theo mức chi quy định tại Nghị quyết số 70/2017/NQ-HĐND được sửa đổi, bổ sung tại Nghị quyết số 156/2025/NQ-HĐND.</w:t>
      </w:r>
    </w:p>
    <w:p w14:paraId="688AD8B2" w14:textId="47472822"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 xml:space="preserve">d) Chi tiền ăn, thuê phòng nghỉ, phương tiện đi lại đối với trợ giảng: </w:t>
      </w:r>
      <w:r w:rsidR="00B37FF0">
        <w:rPr>
          <w:rFonts w:ascii="Times New Roman" w:hAnsi="Times New Roman"/>
          <w:sz w:val="28"/>
          <w:szCs w:val="28"/>
        </w:rPr>
        <w:t>đ</w:t>
      </w:r>
      <w:r w:rsidRPr="001F20C3">
        <w:rPr>
          <w:rFonts w:ascii="Times New Roman" w:hAnsi="Times New Roman"/>
          <w:sz w:val="28"/>
          <w:szCs w:val="28"/>
          <w:lang w:val="vi-VN"/>
        </w:rPr>
        <w:t>ối với các khóa bồi dưỡng công chức yêu cầu có trợ giảng, tùy theo mức độ cần thiết, thủ trưởng cơ sở đào tạo, bồi dưỡng quyết định số lượng trợ giảng và được chi tiền ăn, thuê phòng nghỉ, phương tiện đi lại đối với trợ giảng trong phạm vi dự toán của cơ quan, đơn vị được giao chủ trì tổ chức các khóa bồi dưỡng theo mức chi quy định tại Nghị quyết số 70/2017/NQ-HĐND được sửa đổi, bổ sung tại Nghị quyết số 156/2025/NQ-HĐND.</w:t>
      </w:r>
    </w:p>
    <w:p w14:paraId="31A82505" w14:textId="74E25954"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 xml:space="preserve">đ)  Chi giải khát giữa giờ phục vụ lớp học: </w:t>
      </w:r>
      <w:r w:rsidR="00B37FF0">
        <w:rPr>
          <w:rFonts w:ascii="Times New Roman" w:hAnsi="Times New Roman"/>
          <w:sz w:val="28"/>
          <w:szCs w:val="28"/>
        </w:rPr>
        <w:t>t</w:t>
      </w:r>
      <w:r w:rsidRPr="001F20C3">
        <w:rPr>
          <w:rFonts w:ascii="Times New Roman" w:hAnsi="Times New Roman"/>
          <w:sz w:val="28"/>
          <w:szCs w:val="28"/>
          <w:lang w:val="vi-VN"/>
        </w:rPr>
        <w:t>heo mức chi giải khát giữa giờ tổ chức các cuộc hội nghị theo quy định tại Nghị quyết số 70/2017/NQ-HĐND được sửa đổi, bổ sung tại Nghị quyết số 156/2025/NQ-HĐND.</w:t>
      </w:r>
    </w:p>
    <w:p w14:paraId="1AA0F587" w14:textId="51EAD964"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 xml:space="preserve">e) Chi ra đề thi, coi thi, chấm thi: </w:t>
      </w:r>
      <w:r w:rsidR="00B37FF0">
        <w:rPr>
          <w:rFonts w:ascii="Times New Roman" w:hAnsi="Times New Roman"/>
          <w:sz w:val="28"/>
          <w:szCs w:val="28"/>
        </w:rPr>
        <w:t>á</w:t>
      </w:r>
      <w:r w:rsidRPr="001F20C3">
        <w:rPr>
          <w:rFonts w:ascii="Times New Roman" w:hAnsi="Times New Roman"/>
          <w:sz w:val="28"/>
          <w:szCs w:val="28"/>
          <w:lang w:val="vi-VN"/>
        </w:rPr>
        <w:t xml:space="preserve">p dụng mức chi tiền công </w:t>
      </w:r>
      <w:r w:rsidR="00E51295">
        <w:rPr>
          <w:rFonts w:ascii="Times New Roman" w:hAnsi="Times New Roman"/>
          <w:sz w:val="28"/>
          <w:szCs w:val="28"/>
        </w:rPr>
        <w:t>ra đề thi</w:t>
      </w:r>
      <w:r w:rsidRPr="001F20C3">
        <w:rPr>
          <w:rFonts w:ascii="Times New Roman" w:hAnsi="Times New Roman"/>
          <w:sz w:val="28"/>
          <w:szCs w:val="28"/>
          <w:lang w:val="vi-VN"/>
        </w:rPr>
        <w:t xml:space="preserve">, coi thi, chấm thi tại Nghị quyết số 66/2022/NQ-HĐND </w:t>
      </w:r>
      <w:r w:rsidR="00B37FF0">
        <w:rPr>
          <w:rFonts w:ascii="Times New Roman" w:hAnsi="Times New Roman"/>
          <w:sz w:val="28"/>
          <w:szCs w:val="28"/>
        </w:rPr>
        <w:t>q</w:t>
      </w:r>
      <w:r w:rsidRPr="001F20C3">
        <w:rPr>
          <w:rFonts w:ascii="Times New Roman" w:hAnsi="Times New Roman"/>
          <w:sz w:val="28"/>
          <w:szCs w:val="28"/>
          <w:lang w:val="vi-VN"/>
        </w:rPr>
        <w:t xml:space="preserve">uy định nội dung, mức chi tổ chức các kỳ thi, cuộc thi, hội thi trong lĩnh vực giáo dục và đào tạo trên địa bàn tỉnh Hà Tĩnh; Nghị quyết số 77/2022/NQ-HĐND sửa đổi, bổ sung </w:t>
      </w:r>
      <w:r w:rsidR="00A14A8B">
        <w:rPr>
          <w:rFonts w:ascii="Times New Roman" w:hAnsi="Times New Roman"/>
          <w:sz w:val="28"/>
          <w:szCs w:val="28"/>
        </w:rPr>
        <w:t>k</w:t>
      </w:r>
      <w:r w:rsidRPr="001F20C3">
        <w:rPr>
          <w:rFonts w:ascii="Times New Roman" w:hAnsi="Times New Roman"/>
          <w:sz w:val="28"/>
          <w:szCs w:val="28"/>
          <w:lang w:val="vi-VN"/>
        </w:rPr>
        <w:t>hoản 3 Điều 4 Nghị quyết số 66/2022/NQ-HĐND.</w:t>
      </w:r>
    </w:p>
    <w:p w14:paraId="2BF8052D" w14:textId="77777777"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g) Chi khen thưởng cho học viên đạt loại giỏi, loại xuất sắc:</w:t>
      </w:r>
    </w:p>
    <w:p w14:paraId="64EB4D9C" w14:textId="77777777"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Căn cứ khả năng nguồn kinh phí, căn cứ số lượng học viên đạt loại giỏi, loại xuất sắc của từng lớp, cơ sở đào tạo bồi dưỡng được quyết định chi khen thưởng cho học viên đạt loại giỏi, loại xuất sắc với các mức sau:</w:t>
      </w:r>
    </w:p>
    <w:p w14:paraId="320D57B4" w14:textId="77777777"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Học viên đạt loại giỏi: 200.000 đồng/học viên;</w:t>
      </w:r>
    </w:p>
    <w:p w14:paraId="44EA5BCC" w14:textId="77777777"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Học viên đạt loại xuất sắc: 300.000 đồng/học viên.</w:t>
      </w:r>
    </w:p>
    <w:p w14:paraId="6DD07EEB" w14:textId="552C592B"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 xml:space="preserve">h) Chi hỗ trợ một phần tiền ăn, tiền nghỉ cho học viên trong những ngày đi thực tế theo yêu cầu của chương trình đào tạo, bồi dưỡng do cấp có thẩm quyền ban hành: </w:t>
      </w:r>
      <w:r w:rsidR="00C8330C">
        <w:rPr>
          <w:rFonts w:ascii="Times New Roman" w:hAnsi="Times New Roman"/>
          <w:sz w:val="28"/>
          <w:szCs w:val="28"/>
        </w:rPr>
        <w:t>d</w:t>
      </w:r>
      <w:r w:rsidRPr="001F20C3">
        <w:rPr>
          <w:rFonts w:ascii="Times New Roman" w:hAnsi="Times New Roman"/>
          <w:sz w:val="28"/>
          <w:szCs w:val="28"/>
          <w:lang w:val="vi-VN"/>
        </w:rPr>
        <w:t>o thủ trưởng các cơ quan, đơn vị, cơ sở đào tạo, bồi dưỡng quyết định mức hỗ trợ không vượt quá mức quy định chế độ công tác phí theo quy định tại Nghị quyết số 70/2017/NQ-HĐND được sửa đổi, bổ sung tại Nghị quyết số 156/2025/NQ-HĐND.</w:t>
      </w:r>
    </w:p>
    <w:p w14:paraId="72A1E718" w14:textId="197D12A3" w:rsidR="001F20C3" w:rsidRPr="00C8330C" w:rsidRDefault="001F20C3" w:rsidP="006030ED">
      <w:pPr>
        <w:shd w:val="clear" w:color="auto" w:fill="FFFFFF"/>
        <w:spacing w:after="120" w:line="240" w:lineRule="auto"/>
        <w:ind w:firstLine="720"/>
        <w:jc w:val="both"/>
        <w:rPr>
          <w:rFonts w:ascii="Times New Roman" w:hAnsi="Times New Roman"/>
          <w:spacing w:val="-2"/>
          <w:sz w:val="28"/>
          <w:szCs w:val="28"/>
          <w:lang w:val="vi-VN"/>
        </w:rPr>
      </w:pPr>
      <w:r w:rsidRPr="00C8330C">
        <w:rPr>
          <w:rFonts w:ascii="Times New Roman" w:hAnsi="Times New Roman"/>
          <w:spacing w:val="-2"/>
          <w:sz w:val="28"/>
          <w:szCs w:val="28"/>
          <w:lang w:val="vi-VN"/>
        </w:rPr>
        <w:lastRenderedPageBreak/>
        <w:t xml:space="preserve">i) Chi hỗ trợ cho các đối tượng là những người hoạt động không chuyên trách ở thôn, tổ dân phố trong những ngày đi tập trung học tại cơ sở đào tạo các khoản: </w:t>
      </w:r>
      <w:r w:rsidR="00C8330C">
        <w:rPr>
          <w:rFonts w:ascii="Times New Roman" w:hAnsi="Times New Roman"/>
          <w:spacing w:val="-2"/>
          <w:sz w:val="28"/>
          <w:szCs w:val="28"/>
        </w:rPr>
        <w:t>c</w:t>
      </w:r>
      <w:r w:rsidRPr="00C8330C">
        <w:rPr>
          <w:rFonts w:ascii="Times New Roman" w:hAnsi="Times New Roman"/>
          <w:spacing w:val="-2"/>
          <w:sz w:val="28"/>
          <w:szCs w:val="28"/>
          <w:lang w:val="vi-VN"/>
        </w:rPr>
        <w:t>hi phí đi lại từ cơ quan đến nơi học tập (một lượt đi và về; ngh</w:t>
      </w:r>
      <w:r w:rsidR="00E77690">
        <w:rPr>
          <w:rFonts w:ascii="Times New Roman" w:hAnsi="Times New Roman"/>
          <w:spacing w:val="-2"/>
          <w:sz w:val="28"/>
          <w:szCs w:val="28"/>
        </w:rPr>
        <w:t>ỉ</w:t>
      </w:r>
      <w:r w:rsidRPr="00C8330C">
        <w:rPr>
          <w:rFonts w:ascii="Times New Roman" w:hAnsi="Times New Roman"/>
          <w:spacing w:val="-2"/>
          <w:sz w:val="28"/>
          <w:szCs w:val="28"/>
          <w:lang w:val="vi-VN"/>
        </w:rPr>
        <w:t xml:space="preserve"> lễ; nghỉ tết); chi hỗ trợ tiền thuê chỗ nghỉ theo mức chi quy định tại Nghị quyết số 70/2017/NQ-HĐND được sửa đổi, bổ sung tại Nghị quyết số 156/2025/NQ-HĐND.</w:t>
      </w:r>
    </w:p>
    <w:p w14:paraId="482B68F2" w14:textId="2F9C7174"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 xml:space="preserve">k) Chi hỗ trợ một phần tiền ăn trong thời gian đi học tập trung; chi hỗ trợ chi phí đi lại từ cơ quan đến nơi học tập (một lượt đi và về; nghỉ lễ; nghỉ tết); chi thanh toán tiền thuê chỗ nghỉ cho công chức trong những ngày đi học tập trung tại cơ sở bồi dưỡng (trong trường hợp cơ sở bồi dưỡng và đơn vị tổ chức bồi dưỡng xác nhận không bố trí được chỗ nghỉ): </w:t>
      </w:r>
      <w:r w:rsidR="00B54998">
        <w:rPr>
          <w:rFonts w:ascii="Times New Roman" w:hAnsi="Times New Roman"/>
          <w:sz w:val="28"/>
          <w:szCs w:val="28"/>
        </w:rPr>
        <w:t>c</w:t>
      </w:r>
      <w:r w:rsidRPr="001F20C3">
        <w:rPr>
          <w:rFonts w:ascii="Times New Roman" w:hAnsi="Times New Roman"/>
          <w:sz w:val="28"/>
          <w:szCs w:val="28"/>
          <w:lang w:val="vi-VN"/>
        </w:rPr>
        <w:t>ác khoản chi hỗ trợ phù hợp với quy định Nghị quyết số 70/2017/NQ-HĐND được sửa đổi, bổ sung tại Nghị quyết số 156/2025/NQ-HĐND.</w:t>
      </w:r>
    </w:p>
    <w:p w14:paraId="4465F50A" w14:textId="361F0E42" w:rsidR="001F20C3" w:rsidRPr="001F20C3" w:rsidRDefault="001F20C3" w:rsidP="006030ED">
      <w:pPr>
        <w:shd w:val="clear" w:color="auto" w:fill="FFFFFF"/>
        <w:spacing w:after="120" w:line="240" w:lineRule="auto"/>
        <w:ind w:firstLine="720"/>
        <w:jc w:val="both"/>
        <w:rPr>
          <w:rFonts w:ascii="Times New Roman" w:hAnsi="Times New Roman"/>
          <w:sz w:val="28"/>
          <w:szCs w:val="28"/>
          <w:lang w:val="vi-VN"/>
        </w:rPr>
      </w:pPr>
      <w:r w:rsidRPr="001F20C3">
        <w:rPr>
          <w:rFonts w:ascii="Times New Roman" w:hAnsi="Times New Roman"/>
          <w:sz w:val="28"/>
          <w:szCs w:val="28"/>
          <w:lang w:val="vi-VN"/>
        </w:rPr>
        <w:t xml:space="preserve">3. Mức chi đào tạo, bồi dưỡng viên chức: </w:t>
      </w:r>
      <w:r w:rsidR="00B54998">
        <w:rPr>
          <w:rFonts w:ascii="Times New Roman" w:hAnsi="Times New Roman"/>
          <w:sz w:val="28"/>
          <w:szCs w:val="28"/>
        </w:rPr>
        <w:t>c</w:t>
      </w:r>
      <w:r w:rsidRPr="001F20C3">
        <w:rPr>
          <w:rFonts w:ascii="Times New Roman" w:hAnsi="Times New Roman"/>
          <w:sz w:val="28"/>
          <w:szCs w:val="28"/>
          <w:lang w:val="vi-VN"/>
        </w:rPr>
        <w:t>ăn cứ nguồn lực tài chính bố trí cho công tác đào tạo, bồi dưỡng viên chức tại cơ quan, đơn vị; căn cứ mức chi đào tạo, bồi dưỡng đối với công chức quy định tại khoản 1, khoản 2 Điều này; Thủ trưởng đơn vị sự nghiệp công lập quyết định mức chi đào tạo, bồi dưỡng đối với viên chức phù hợp với quy định của pháp luật về cơ chế tài chính của đơn vị sự nghiệp công lập.</w:t>
      </w:r>
    </w:p>
    <w:p w14:paraId="4D02E023" w14:textId="205D0BF0" w:rsidR="003F18A6" w:rsidRPr="00F23EA7" w:rsidRDefault="001F20C3" w:rsidP="006030ED">
      <w:pPr>
        <w:shd w:val="clear" w:color="auto" w:fill="FFFFFF"/>
        <w:spacing w:after="120" w:line="240" w:lineRule="auto"/>
        <w:ind w:firstLine="720"/>
        <w:jc w:val="both"/>
        <w:rPr>
          <w:rFonts w:ascii="Times New Roman" w:hAnsi="Times New Roman"/>
          <w:spacing w:val="-2"/>
          <w:sz w:val="28"/>
          <w:szCs w:val="28"/>
          <w:lang w:val="vi-VN"/>
        </w:rPr>
      </w:pPr>
      <w:bookmarkStart w:id="9" w:name="dieu_4"/>
      <w:r w:rsidRPr="00F23EA7">
        <w:rPr>
          <w:rFonts w:ascii="Times New Roman" w:hAnsi="Times New Roman"/>
          <w:spacing w:val="-2"/>
          <w:sz w:val="28"/>
          <w:szCs w:val="28"/>
          <w:lang w:val="vi-VN"/>
        </w:rPr>
        <w:t xml:space="preserve">4. </w:t>
      </w:r>
      <w:bookmarkEnd w:id="9"/>
      <w:r w:rsidRPr="00F23EA7">
        <w:rPr>
          <w:rFonts w:ascii="Times New Roman" w:hAnsi="Times New Roman"/>
          <w:spacing w:val="-2"/>
          <w:sz w:val="28"/>
          <w:szCs w:val="28"/>
          <w:lang w:val="vi-VN"/>
        </w:rPr>
        <w:t xml:space="preserve">Mức chi tổ chức các hội nghị tập huấn, bồi dưỡng, nâng cao trình độ chuyên môn, nghiệp vụ, phù hợp với vị trí việc làm sử dụng nguồn kinh phí đào tạo, bồi dưỡng công chức, viên chức: </w:t>
      </w:r>
      <w:r w:rsidR="00B54998">
        <w:rPr>
          <w:rFonts w:ascii="Times New Roman" w:hAnsi="Times New Roman"/>
          <w:spacing w:val="-2"/>
          <w:sz w:val="28"/>
          <w:szCs w:val="28"/>
        </w:rPr>
        <w:t>t</w:t>
      </w:r>
      <w:r w:rsidRPr="00F23EA7">
        <w:rPr>
          <w:rFonts w:ascii="Times New Roman" w:hAnsi="Times New Roman"/>
          <w:spacing w:val="-2"/>
          <w:sz w:val="28"/>
          <w:szCs w:val="28"/>
          <w:lang w:val="vi-VN"/>
        </w:rPr>
        <w:t>heo mức chi quy định tại Nghị quyết số 70/2017/NQ-HĐND được sửa đổi, bổ sung tại Nghị quyết số 156/2025/NQ-HĐND.</w:t>
      </w:r>
    </w:p>
    <w:p w14:paraId="59333A0B" w14:textId="2D0F6575" w:rsidR="003F18A6" w:rsidRPr="001B618E" w:rsidRDefault="00000000" w:rsidP="006030ED">
      <w:pPr>
        <w:spacing w:after="120" w:line="240" w:lineRule="auto"/>
        <w:ind w:firstLine="720"/>
        <w:jc w:val="both"/>
        <w:rPr>
          <w:rFonts w:ascii="Times New Roman" w:hAnsi="Times New Roman"/>
          <w:b/>
          <w:bCs/>
          <w:sz w:val="28"/>
          <w:szCs w:val="28"/>
          <w:lang w:val="vi-VN"/>
        </w:rPr>
      </w:pPr>
      <w:bookmarkStart w:id="10" w:name="dieu_8"/>
      <w:r w:rsidRPr="001B618E">
        <w:rPr>
          <w:rFonts w:ascii="Times New Roman" w:hAnsi="Times New Roman"/>
          <w:b/>
          <w:bCs/>
          <w:sz w:val="28"/>
          <w:szCs w:val="28"/>
          <w:lang w:val="vi-VN"/>
        </w:rPr>
        <w:t xml:space="preserve">Điều </w:t>
      </w:r>
      <w:r w:rsidR="009322D4">
        <w:rPr>
          <w:rFonts w:ascii="Times New Roman" w:hAnsi="Times New Roman"/>
          <w:b/>
          <w:bCs/>
          <w:sz w:val="28"/>
          <w:szCs w:val="28"/>
        </w:rPr>
        <w:t>3</w:t>
      </w:r>
      <w:r w:rsidRPr="001B618E">
        <w:rPr>
          <w:rFonts w:ascii="Times New Roman" w:hAnsi="Times New Roman"/>
          <w:b/>
          <w:bCs/>
          <w:sz w:val="28"/>
          <w:szCs w:val="28"/>
          <w:lang w:val="vi-VN"/>
        </w:rPr>
        <w:t>. Điều khoản thi hành</w:t>
      </w:r>
      <w:bookmarkEnd w:id="10"/>
    </w:p>
    <w:p w14:paraId="1D46A7F1" w14:textId="77777777" w:rsidR="003F18A6" w:rsidRPr="001B618E" w:rsidRDefault="00000000" w:rsidP="006030ED">
      <w:pPr>
        <w:spacing w:after="120" w:line="240" w:lineRule="auto"/>
        <w:ind w:firstLine="720"/>
        <w:jc w:val="both"/>
        <w:rPr>
          <w:rFonts w:ascii="Times New Roman" w:hAnsi="Times New Roman"/>
          <w:sz w:val="28"/>
          <w:szCs w:val="28"/>
          <w:lang w:val="vi-VN"/>
        </w:rPr>
      </w:pPr>
      <w:r w:rsidRPr="001B618E">
        <w:rPr>
          <w:rFonts w:ascii="Times New Roman" w:hAnsi="Times New Roman"/>
          <w:sz w:val="28"/>
          <w:szCs w:val="28"/>
          <w:lang w:val="vi-VN"/>
        </w:rPr>
        <w:t>1. Nghị quyết này có hiệu lực thi hành kể từ ngày     tháng     năm 2026.</w:t>
      </w:r>
    </w:p>
    <w:p w14:paraId="5CC208C2" w14:textId="77777777" w:rsidR="00F23EA7" w:rsidRPr="00F23EA7" w:rsidRDefault="00F23EA7" w:rsidP="006030ED">
      <w:pPr>
        <w:spacing w:after="120" w:line="240" w:lineRule="auto"/>
        <w:ind w:firstLine="720"/>
        <w:jc w:val="both"/>
        <w:rPr>
          <w:rFonts w:ascii="Times New Roman" w:hAnsi="Times New Roman"/>
          <w:sz w:val="28"/>
          <w:szCs w:val="28"/>
          <w:lang w:val="vi-VN"/>
        </w:rPr>
      </w:pPr>
      <w:r w:rsidRPr="00F23EA7">
        <w:rPr>
          <w:rFonts w:ascii="Times New Roman" w:hAnsi="Times New Roman"/>
          <w:sz w:val="28"/>
          <w:szCs w:val="28"/>
          <w:lang w:val="vi-VN"/>
        </w:rPr>
        <w:t>2. Nghị quyết số 130/2018/NQ-HĐND ngày 13 tháng 12 năm 2018 của Hội đồng nhân dân tỉnh quy định mức chi đào tạo, bồi dưỡng cán bộ, công chức, viên chức hết hiệu lực thi hành kể từ khi Nghị quyết này có hiệu lực thi hành.</w:t>
      </w:r>
    </w:p>
    <w:p w14:paraId="1AD6EBD8" w14:textId="77777777" w:rsidR="00F23EA7" w:rsidRPr="00F23EA7" w:rsidRDefault="00F23EA7" w:rsidP="006030ED">
      <w:pPr>
        <w:spacing w:after="120" w:line="240" w:lineRule="auto"/>
        <w:ind w:firstLine="720"/>
        <w:jc w:val="both"/>
        <w:rPr>
          <w:rFonts w:ascii="Times New Roman" w:hAnsi="Times New Roman"/>
          <w:sz w:val="28"/>
          <w:szCs w:val="28"/>
          <w:lang w:val="vi-VN"/>
        </w:rPr>
      </w:pPr>
      <w:r w:rsidRPr="00F23EA7">
        <w:rPr>
          <w:rFonts w:ascii="Times New Roman" w:hAnsi="Times New Roman"/>
          <w:sz w:val="28"/>
          <w:szCs w:val="28"/>
          <w:lang w:val="vi-VN"/>
        </w:rPr>
        <w:t>3. Các nội dung chi, mức chi cho công tác đào tạo, bồi dưỡng không quy định tại Nghị quyết này thì thực hiện theo quy định tại Thông tư số 100/2025/TT-BTC và các văn bản pháp luật có liên quan.</w:t>
      </w:r>
    </w:p>
    <w:p w14:paraId="4222907D" w14:textId="77777777" w:rsidR="00F23EA7" w:rsidRPr="00F23EA7" w:rsidRDefault="00F23EA7" w:rsidP="006030ED">
      <w:pPr>
        <w:spacing w:after="120" w:line="240" w:lineRule="auto"/>
        <w:ind w:firstLine="720"/>
        <w:jc w:val="both"/>
        <w:rPr>
          <w:rFonts w:ascii="Times New Roman" w:hAnsi="Times New Roman"/>
          <w:spacing w:val="-2"/>
          <w:sz w:val="28"/>
          <w:szCs w:val="28"/>
          <w:lang w:val="vi-VN"/>
        </w:rPr>
      </w:pPr>
      <w:r w:rsidRPr="00F23EA7">
        <w:rPr>
          <w:rFonts w:ascii="Times New Roman" w:hAnsi="Times New Roman"/>
          <w:spacing w:val="-2"/>
          <w:sz w:val="28"/>
          <w:szCs w:val="28"/>
          <w:lang w:val="vi-VN"/>
        </w:rPr>
        <w:t>4. Trường hợp các văn bản dẫn chiếu để áp dụng tại Nghị quyết này được sửa đổi, bổ sung hoặc thay thế thì áp dụng theo văn bản sửa đổi, bổ sung, thay thế đó.</w:t>
      </w:r>
    </w:p>
    <w:p w14:paraId="44B6A656" w14:textId="430DEF24" w:rsidR="003F18A6" w:rsidRPr="00F23EA7" w:rsidRDefault="00F23EA7" w:rsidP="006030ED">
      <w:pPr>
        <w:spacing w:after="120" w:line="240" w:lineRule="auto"/>
        <w:ind w:firstLine="720"/>
        <w:jc w:val="both"/>
        <w:rPr>
          <w:rFonts w:ascii="Times New Roman" w:hAnsi="Times New Roman"/>
          <w:sz w:val="28"/>
          <w:szCs w:val="28"/>
          <w:lang w:val="vi-VN"/>
        </w:rPr>
      </w:pPr>
      <w:r w:rsidRPr="00F23EA7">
        <w:rPr>
          <w:rFonts w:ascii="Times New Roman" w:hAnsi="Times New Roman"/>
          <w:sz w:val="28"/>
          <w:szCs w:val="28"/>
          <w:lang w:val="vi-VN"/>
        </w:rPr>
        <w:t>5. Các cơ quan, đơn vị tổ chức đào tạo, bồi dưỡng đối với đối tượng cán bộ; những người hoạt động không chuyên trách ở thôn, tổ dân phố trên địa bàn tỉnh theo quy định của cấp có thẩm quyền được áp dụng quy định tại Nghị quyết này</w:t>
      </w:r>
      <w:r w:rsidR="00826A5B" w:rsidRPr="00F23EA7">
        <w:rPr>
          <w:rFonts w:ascii="Times New Roman" w:hAnsi="Times New Roman"/>
          <w:sz w:val="28"/>
          <w:szCs w:val="28"/>
          <w:lang w:val="vi-VN"/>
        </w:rPr>
        <w:t>.</w:t>
      </w:r>
    </w:p>
    <w:p w14:paraId="2E181965" w14:textId="0C7760C6" w:rsidR="003F18A6" w:rsidRPr="001B618E" w:rsidRDefault="00000000" w:rsidP="006030ED">
      <w:pPr>
        <w:spacing w:after="120" w:line="240" w:lineRule="auto"/>
        <w:ind w:firstLine="720"/>
        <w:jc w:val="both"/>
        <w:rPr>
          <w:rFonts w:ascii="Times New Roman" w:hAnsi="Times New Roman"/>
          <w:sz w:val="28"/>
          <w:szCs w:val="28"/>
          <w:lang w:val="vi-VN"/>
        </w:rPr>
      </w:pPr>
      <w:r w:rsidRPr="001B618E">
        <w:rPr>
          <w:rFonts w:ascii="Times New Roman" w:hAnsi="Times New Roman"/>
          <w:b/>
          <w:bCs/>
          <w:sz w:val="28"/>
          <w:szCs w:val="28"/>
          <w:lang w:val="vi-VN"/>
        </w:rPr>
        <w:t xml:space="preserve">Điều </w:t>
      </w:r>
      <w:r w:rsidR="009322D4">
        <w:rPr>
          <w:rFonts w:ascii="Times New Roman" w:hAnsi="Times New Roman"/>
          <w:b/>
          <w:bCs/>
          <w:sz w:val="28"/>
          <w:szCs w:val="28"/>
        </w:rPr>
        <w:t>4</w:t>
      </w:r>
      <w:r w:rsidRPr="001B618E">
        <w:rPr>
          <w:rFonts w:ascii="Times New Roman" w:hAnsi="Times New Roman"/>
          <w:b/>
          <w:bCs/>
          <w:sz w:val="28"/>
          <w:szCs w:val="28"/>
          <w:lang w:val="vi-VN"/>
        </w:rPr>
        <w:t>. Tổ chức thực hiện</w:t>
      </w:r>
      <w:bookmarkEnd w:id="7"/>
    </w:p>
    <w:p w14:paraId="6D92FD99" w14:textId="77777777" w:rsidR="003F18A6" w:rsidRPr="001B618E" w:rsidRDefault="00000000" w:rsidP="006030ED">
      <w:pPr>
        <w:spacing w:after="120" w:line="240" w:lineRule="auto"/>
        <w:ind w:firstLine="720"/>
        <w:jc w:val="both"/>
        <w:rPr>
          <w:rFonts w:ascii="Times New Roman" w:hAnsi="Times New Roman"/>
          <w:sz w:val="28"/>
          <w:szCs w:val="28"/>
          <w:lang w:val="vi-VN"/>
        </w:rPr>
      </w:pPr>
      <w:r w:rsidRPr="001B618E">
        <w:rPr>
          <w:rFonts w:ascii="Times New Roman" w:hAnsi="Times New Roman"/>
          <w:sz w:val="28"/>
          <w:szCs w:val="28"/>
          <w:lang w:val="vi-VN"/>
        </w:rPr>
        <w:t>1. Ủy ban nhân dân tỉnh tổ chức thực hiện Nghị quyết này.</w:t>
      </w:r>
    </w:p>
    <w:p w14:paraId="3B17C27B" w14:textId="77777777" w:rsidR="003F18A6" w:rsidRPr="00D53715" w:rsidRDefault="00000000" w:rsidP="006030ED">
      <w:pPr>
        <w:spacing w:after="120" w:line="240" w:lineRule="auto"/>
        <w:ind w:firstLine="720"/>
        <w:jc w:val="both"/>
        <w:rPr>
          <w:rFonts w:ascii="Times New Roman" w:hAnsi="Times New Roman"/>
          <w:sz w:val="28"/>
          <w:szCs w:val="28"/>
          <w:lang w:val="vi-VN"/>
        </w:rPr>
      </w:pPr>
      <w:r w:rsidRPr="001B618E">
        <w:rPr>
          <w:rFonts w:ascii="Times New Roman" w:hAnsi="Times New Roman"/>
          <w:sz w:val="28"/>
          <w:szCs w:val="28"/>
          <w:lang w:val="vi-VN"/>
        </w:rPr>
        <w:t xml:space="preserve">2. Thường trực Hội đồng nhân dân, các </w:t>
      </w:r>
      <w:r w:rsidRPr="001B618E">
        <w:rPr>
          <w:rFonts w:ascii="Times New Roman" w:hAnsi="Times New Roman"/>
          <w:sz w:val="28"/>
          <w:szCs w:val="28"/>
        </w:rPr>
        <w:t>B</w:t>
      </w:r>
      <w:r w:rsidRPr="001B618E">
        <w:rPr>
          <w:rFonts w:ascii="Times New Roman" w:hAnsi="Times New Roman"/>
          <w:sz w:val="28"/>
          <w:szCs w:val="28"/>
          <w:lang w:val="vi-VN"/>
        </w:rPr>
        <w:t>an</w:t>
      </w:r>
      <w:r w:rsidRPr="001B618E">
        <w:rPr>
          <w:rFonts w:ascii="Times New Roman" w:hAnsi="Times New Roman"/>
          <w:sz w:val="28"/>
          <w:szCs w:val="28"/>
        </w:rPr>
        <w:t xml:space="preserve"> của</w:t>
      </w:r>
      <w:r w:rsidRPr="001B618E">
        <w:rPr>
          <w:rFonts w:ascii="Times New Roman" w:hAnsi="Times New Roman"/>
          <w:sz w:val="28"/>
          <w:szCs w:val="28"/>
          <w:lang w:val="vi-VN"/>
        </w:rPr>
        <w:t xml:space="preserve"> Hội đồng nhân dân tỉnh, các tổ đại biểu Hội đồng nhân dân và các đại biểu Hội đồng nhân dân tỉnh giám sát việc thực hiện Nghị quyết.</w:t>
      </w:r>
    </w:p>
    <w:p w14:paraId="198CB1BE" w14:textId="77777777" w:rsidR="003F18A6" w:rsidRPr="00D53715" w:rsidRDefault="00000000" w:rsidP="006030ED">
      <w:pPr>
        <w:spacing w:after="120" w:line="240" w:lineRule="auto"/>
        <w:ind w:firstLine="720"/>
        <w:jc w:val="both"/>
        <w:rPr>
          <w:rFonts w:ascii="Times New Roman" w:hAnsi="Times New Roman"/>
          <w:i/>
          <w:iCs/>
          <w:sz w:val="28"/>
          <w:szCs w:val="28"/>
          <w:lang w:val="vi-VN"/>
        </w:rPr>
      </w:pPr>
      <w:r w:rsidRPr="00D53715">
        <w:rPr>
          <w:rFonts w:ascii="Times New Roman" w:hAnsi="Times New Roman"/>
          <w:i/>
          <w:iCs/>
          <w:sz w:val="28"/>
          <w:szCs w:val="28"/>
          <w:lang w:val="vi-VN"/>
        </w:rPr>
        <w:lastRenderedPageBreak/>
        <w:t>Nghị quyết này đã được Hội đồng nhân dân tỉnh Hà Tĩnh khoá</w:t>
      </w:r>
      <w:r w:rsidRPr="00D53715">
        <w:rPr>
          <w:rFonts w:ascii="Times New Roman" w:hAnsi="Times New Roman"/>
          <w:i/>
          <w:iCs/>
          <w:sz w:val="28"/>
          <w:szCs w:val="28"/>
        </w:rPr>
        <w:t xml:space="preserve"> XIX</w:t>
      </w:r>
      <w:r w:rsidRPr="00D53715">
        <w:rPr>
          <w:rFonts w:ascii="Times New Roman" w:hAnsi="Times New Roman"/>
          <w:i/>
          <w:iCs/>
          <w:sz w:val="28"/>
          <w:szCs w:val="28"/>
          <w:lang w:val="vi-VN"/>
        </w:rPr>
        <w:t>, kỳ họp thứ    thông qua ngày     tháng     năm 2026./.</w:t>
      </w:r>
    </w:p>
    <w:tbl>
      <w:tblPr>
        <w:tblW w:w="9231"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570"/>
        <w:gridCol w:w="4661"/>
      </w:tblGrid>
      <w:tr w:rsidR="003F18A6" w:rsidRPr="00D53715" w14:paraId="2E14C4E2" w14:textId="77777777">
        <w:trPr>
          <w:trHeight w:val="142"/>
        </w:trPr>
        <w:tc>
          <w:tcPr>
            <w:tcW w:w="4570" w:type="dxa"/>
            <w:tcBorders>
              <w:top w:val="nil"/>
              <w:left w:val="nil"/>
              <w:bottom w:val="nil"/>
              <w:right w:val="nil"/>
              <w:tl2br w:val="nil"/>
              <w:tr2bl w:val="nil"/>
            </w:tcBorders>
            <w:tcMar>
              <w:top w:w="0" w:type="dxa"/>
              <w:left w:w="108" w:type="dxa"/>
              <w:bottom w:w="0" w:type="dxa"/>
              <w:right w:w="108" w:type="dxa"/>
            </w:tcMar>
          </w:tcPr>
          <w:p w14:paraId="458B7D52" w14:textId="77777777" w:rsidR="003F18A6" w:rsidRPr="00D53715" w:rsidRDefault="00000000">
            <w:pPr>
              <w:spacing w:after="0" w:line="240" w:lineRule="auto"/>
              <w:rPr>
                <w:rFonts w:ascii="Times New Roman" w:hAnsi="Times New Roman"/>
                <w:lang w:val="vi-VN"/>
              </w:rPr>
            </w:pPr>
            <w:r w:rsidRPr="00D53715">
              <w:rPr>
                <w:rFonts w:ascii="Times New Roman" w:hAnsi="Times New Roman"/>
                <w:b/>
                <w:bCs/>
                <w:i/>
                <w:iCs/>
                <w:lang w:val="vi-VN"/>
              </w:rPr>
              <w:t>Nơi nhận:</w:t>
            </w:r>
            <w:r w:rsidRPr="00D53715">
              <w:rPr>
                <w:rFonts w:ascii="Times New Roman" w:hAnsi="Times New Roman"/>
                <w:b/>
                <w:bCs/>
                <w:i/>
                <w:iCs/>
                <w:lang w:val="vi-VN"/>
              </w:rPr>
              <w:br/>
            </w:r>
            <w:r w:rsidRPr="00D53715">
              <w:rPr>
                <w:rFonts w:ascii="Times New Roman" w:hAnsi="Times New Roman"/>
                <w:lang w:val="vi-VN"/>
              </w:rPr>
              <w:t>- Ủy ban Thường vụ Quốc hội;</w:t>
            </w:r>
            <w:r w:rsidRPr="00D53715">
              <w:rPr>
                <w:rFonts w:ascii="Times New Roman" w:hAnsi="Times New Roman"/>
                <w:lang w:val="vi-VN"/>
              </w:rPr>
              <w:br/>
              <w:t>- Văn phòng Chính phủ;</w:t>
            </w:r>
            <w:r w:rsidRPr="00D53715">
              <w:rPr>
                <w:rFonts w:ascii="Times New Roman" w:hAnsi="Times New Roman"/>
                <w:lang w:val="vi-VN"/>
              </w:rPr>
              <w:br/>
              <w:t>- Bộ Tài chính;</w:t>
            </w:r>
          </w:p>
          <w:p w14:paraId="13538E94" w14:textId="506EB66D" w:rsidR="003F18A6" w:rsidRPr="00D53715" w:rsidRDefault="00000000">
            <w:pPr>
              <w:spacing w:after="0" w:line="240" w:lineRule="auto"/>
              <w:ind w:right="464"/>
              <w:rPr>
                <w:rFonts w:ascii="Times New Roman" w:hAnsi="Times New Roman"/>
                <w:lang w:val="vi-VN"/>
              </w:rPr>
            </w:pPr>
            <w:r w:rsidRPr="00D53715">
              <w:rPr>
                <w:rFonts w:ascii="Times New Roman" w:hAnsi="Times New Roman"/>
                <w:lang w:val="vi-VN"/>
              </w:rPr>
              <w:t xml:space="preserve">- </w:t>
            </w:r>
            <w:r w:rsidRPr="00D53715">
              <w:rPr>
                <w:rFonts w:ascii="Times New Roman" w:hAnsi="Times New Roman"/>
                <w:szCs w:val="28"/>
                <w:lang w:val="vi-VN"/>
              </w:rPr>
              <w:t xml:space="preserve">Cục </w:t>
            </w:r>
            <w:r w:rsidR="00086721" w:rsidRPr="00D53715">
              <w:rPr>
                <w:rFonts w:ascii="Times New Roman" w:hAnsi="Times New Roman"/>
                <w:szCs w:val="28"/>
              </w:rPr>
              <w:t>KTVB</w:t>
            </w:r>
            <w:r w:rsidRPr="00D53715">
              <w:rPr>
                <w:rFonts w:ascii="Times New Roman" w:hAnsi="Times New Roman"/>
                <w:i/>
                <w:iCs/>
                <w:szCs w:val="28"/>
                <w:lang w:val="vi-VN"/>
              </w:rPr>
              <w:t xml:space="preserve"> </w:t>
            </w:r>
            <w:r w:rsidRPr="00D53715">
              <w:rPr>
                <w:rFonts w:ascii="Times New Roman" w:hAnsi="Times New Roman"/>
                <w:szCs w:val="28"/>
                <w:lang w:val="vi-VN"/>
              </w:rPr>
              <w:t>và Tổ chức thi hành pháp luật</w:t>
            </w:r>
            <w:r w:rsidRPr="00D53715">
              <w:rPr>
                <w:rFonts w:ascii="Times New Roman" w:hAnsi="Times New Roman"/>
                <w:szCs w:val="28"/>
              </w:rPr>
              <w:t xml:space="preserve"> </w:t>
            </w:r>
            <w:r w:rsidRPr="00D53715">
              <w:rPr>
                <w:rFonts w:ascii="Times New Roman" w:hAnsi="Times New Roman"/>
                <w:lang w:val="vi-VN"/>
              </w:rPr>
              <w:t>- Bộ Tư pháp;</w:t>
            </w:r>
            <w:r w:rsidRPr="00D53715">
              <w:rPr>
                <w:rFonts w:ascii="Times New Roman" w:hAnsi="Times New Roman"/>
                <w:lang w:val="vi-VN"/>
              </w:rPr>
              <w:br/>
              <w:t>- Thường trực Tỉnh ủy;</w:t>
            </w:r>
          </w:p>
          <w:p w14:paraId="07918ACD" w14:textId="77777777" w:rsidR="003F18A6" w:rsidRPr="00D53715" w:rsidRDefault="00000000">
            <w:pPr>
              <w:spacing w:after="0" w:line="240" w:lineRule="auto"/>
              <w:rPr>
                <w:rFonts w:ascii="Times New Roman" w:hAnsi="Times New Roman"/>
                <w:lang w:val="vi-VN"/>
              </w:rPr>
            </w:pPr>
            <w:r w:rsidRPr="00D53715">
              <w:rPr>
                <w:rFonts w:ascii="Times New Roman" w:hAnsi="Times New Roman"/>
                <w:lang w:val="vi-VN"/>
              </w:rPr>
              <w:t>- Thường trực Hội đồng nhân dân tỉnh;</w:t>
            </w:r>
          </w:p>
          <w:p w14:paraId="75869570" w14:textId="7E918EFC" w:rsidR="003F18A6" w:rsidRPr="00D53715" w:rsidRDefault="00000000">
            <w:pPr>
              <w:spacing w:after="0" w:line="240" w:lineRule="auto"/>
              <w:rPr>
                <w:rFonts w:ascii="Times New Roman" w:hAnsi="Times New Roman"/>
              </w:rPr>
            </w:pPr>
            <w:r w:rsidRPr="00D53715">
              <w:rPr>
                <w:rFonts w:ascii="Times New Roman" w:hAnsi="Times New Roman"/>
                <w:lang w:val="vi-VN"/>
              </w:rPr>
              <w:t>- UBND tỉnh; Uỷ ban MTTQ</w:t>
            </w:r>
            <w:r w:rsidRPr="00D53715">
              <w:rPr>
                <w:rFonts w:ascii="Times New Roman" w:hAnsi="Times New Roman"/>
              </w:rPr>
              <w:t>VN</w:t>
            </w:r>
            <w:r w:rsidRPr="00D53715">
              <w:rPr>
                <w:rFonts w:ascii="Times New Roman" w:hAnsi="Times New Roman"/>
                <w:lang w:val="vi-VN"/>
              </w:rPr>
              <w:t xml:space="preserve"> tỉnh;</w:t>
            </w:r>
            <w:r w:rsidRPr="00D53715">
              <w:rPr>
                <w:rFonts w:ascii="Times New Roman" w:hAnsi="Times New Roman"/>
                <w:lang w:val="vi-VN"/>
              </w:rPr>
              <w:br/>
              <w:t>- Đại biểu Quốc hội đoàn Hà Tĩnh;</w:t>
            </w:r>
            <w:r w:rsidRPr="00D53715">
              <w:rPr>
                <w:rFonts w:ascii="Times New Roman" w:hAnsi="Times New Roman"/>
                <w:lang w:val="vi-VN"/>
              </w:rPr>
              <w:br/>
              <w:t>- Đại biểu HĐND tỉnh;</w:t>
            </w:r>
            <w:r w:rsidRPr="00D53715">
              <w:rPr>
                <w:rFonts w:ascii="Times New Roman" w:hAnsi="Times New Roman"/>
                <w:lang w:val="vi-VN"/>
              </w:rPr>
              <w:br/>
              <w:t>- Các VP: Tỉnh ủy, Đoàn ĐBQH &amp; HĐND, UBND tỉnh;</w:t>
            </w:r>
            <w:r w:rsidRPr="00D53715">
              <w:rPr>
                <w:rFonts w:ascii="Times New Roman" w:hAnsi="Times New Roman"/>
                <w:lang w:val="vi-VN"/>
              </w:rPr>
              <w:br/>
              <w:t>- Các sở, ban, ngành, đoàn thể cấp tỉnh;</w:t>
            </w:r>
            <w:r w:rsidRPr="00D53715">
              <w:rPr>
                <w:rFonts w:ascii="Times New Roman" w:hAnsi="Times New Roman"/>
                <w:lang w:val="vi-VN"/>
              </w:rPr>
              <w:br/>
              <w:t>- HĐND, UBND các xã, phường;</w:t>
            </w:r>
            <w:r w:rsidRPr="00D53715">
              <w:rPr>
                <w:rFonts w:ascii="Times New Roman" w:hAnsi="Times New Roman"/>
                <w:lang w:val="vi-VN"/>
              </w:rPr>
              <w:br/>
              <w:t xml:space="preserve">- Trung tâm </w:t>
            </w:r>
            <w:r w:rsidR="00F23EA7">
              <w:rPr>
                <w:rFonts w:ascii="Times New Roman" w:hAnsi="Times New Roman"/>
              </w:rPr>
              <w:t>TT&amp;XT, HTĐT</w:t>
            </w:r>
            <w:r w:rsidRPr="00D53715">
              <w:rPr>
                <w:rFonts w:ascii="Times New Roman" w:hAnsi="Times New Roman"/>
                <w:lang w:val="vi-VN"/>
              </w:rPr>
              <w:t xml:space="preserve"> tỉnh;</w:t>
            </w:r>
            <w:r w:rsidRPr="00D53715">
              <w:rPr>
                <w:rFonts w:ascii="Times New Roman" w:hAnsi="Times New Roman"/>
                <w:lang w:val="vi-VN"/>
              </w:rPr>
              <w:br/>
              <w:t xml:space="preserve">- Lưu: </w:t>
            </w:r>
            <w:r w:rsidRPr="00D53715">
              <w:rPr>
                <w:rFonts w:ascii="Times New Roman" w:hAnsi="Times New Roman"/>
              </w:rPr>
              <w:t>….</w:t>
            </w:r>
          </w:p>
        </w:tc>
        <w:tc>
          <w:tcPr>
            <w:tcW w:w="4661" w:type="dxa"/>
            <w:tcBorders>
              <w:top w:val="nil"/>
              <w:left w:val="nil"/>
              <w:bottom w:val="nil"/>
              <w:right w:val="nil"/>
              <w:tl2br w:val="nil"/>
              <w:tr2bl w:val="nil"/>
            </w:tcBorders>
            <w:tcMar>
              <w:top w:w="0" w:type="dxa"/>
              <w:left w:w="108" w:type="dxa"/>
              <w:bottom w:w="0" w:type="dxa"/>
              <w:right w:w="108" w:type="dxa"/>
            </w:tcMar>
          </w:tcPr>
          <w:p w14:paraId="471FE804" w14:textId="77777777" w:rsidR="003F18A6" w:rsidRPr="00D53715" w:rsidRDefault="00000000">
            <w:pPr>
              <w:jc w:val="center"/>
              <w:rPr>
                <w:rFonts w:ascii="Times New Roman" w:hAnsi="Times New Roman"/>
                <w:sz w:val="28"/>
                <w:szCs w:val="28"/>
              </w:rPr>
            </w:pPr>
            <w:r w:rsidRPr="00D53715">
              <w:rPr>
                <w:rFonts w:ascii="Times New Roman" w:hAnsi="Times New Roman"/>
                <w:b/>
                <w:bCs/>
                <w:sz w:val="28"/>
                <w:szCs w:val="28"/>
              </w:rPr>
              <w:t>CHỦ TỊCH</w:t>
            </w:r>
            <w:r w:rsidRPr="00D53715">
              <w:rPr>
                <w:rFonts w:ascii="Times New Roman" w:hAnsi="Times New Roman"/>
                <w:b/>
                <w:bCs/>
                <w:sz w:val="28"/>
                <w:szCs w:val="28"/>
              </w:rPr>
              <w:br/>
            </w:r>
            <w:r w:rsidRPr="00D53715">
              <w:rPr>
                <w:rFonts w:ascii="Times New Roman" w:hAnsi="Times New Roman"/>
                <w:b/>
                <w:bCs/>
                <w:sz w:val="28"/>
                <w:szCs w:val="28"/>
              </w:rPr>
              <w:br/>
            </w:r>
            <w:r w:rsidRPr="00D53715">
              <w:rPr>
                <w:rFonts w:ascii="Times New Roman" w:hAnsi="Times New Roman"/>
                <w:b/>
                <w:bCs/>
                <w:sz w:val="28"/>
                <w:szCs w:val="28"/>
              </w:rPr>
              <w:br/>
            </w:r>
            <w:r w:rsidRPr="00D53715">
              <w:rPr>
                <w:rFonts w:ascii="Times New Roman" w:hAnsi="Times New Roman"/>
                <w:b/>
                <w:bCs/>
                <w:sz w:val="28"/>
                <w:szCs w:val="28"/>
              </w:rPr>
              <w:br/>
            </w:r>
            <w:r w:rsidRPr="00D53715">
              <w:rPr>
                <w:rFonts w:ascii="Times New Roman" w:hAnsi="Times New Roman"/>
                <w:b/>
                <w:bCs/>
                <w:sz w:val="28"/>
                <w:szCs w:val="28"/>
              </w:rPr>
              <w:br/>
            </w:r>
          </w:p>
        </w:tc>
      </w:tr>
    </w:tbl>
    <w:p w14:paraId="6DD1ED5D" w14:textId="77777777" w:rsidR="003F18A6" w:rsidRPr="00D53715" w:rsidRDefault="003F18A6">
      <w:pPr>
        <w:rPr>
          <w:rFonts w:ascii="Times New Roman" w:eastAsia="Times New Roman" w:hAnsi="Times New Roman"/>
          <w:vanish/>
          <w:sz w:val="28"/>
          <w:szCs w:val="28"/>
          <w:lang w:val="nl-NL"/>
        </w:rPr>
      </w:pPr>
    </w:p>
    <w:sectPr w:rsidR="003F18A6" w:rsidRPr="00D53715">
      <w:headerReference w:type="default" r:id="rId8"/>
      <w:pgSz w:w="11900" w:h="16840" w:code="9"/>
      <w:pgMar w:top="1021" w:right="1021" w:bottom="1021" w:left="1588"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6E18" w14:textId="77777777" w:rsidR="00834A6D" w:rsidRDefault="00834A6D">
      <w:pPr>
        <w:spacing w:after="0" w:line="240" w:lineRule="auto"/>
      </w:pPr>
      <w:r>
        <w:separator/>
      </w:r>
    </w:p>
  </w:endnote>
  <w:endnote w:type="continuationSeparator" w:id="0">
    <w:p w14:paraId="28B25D8D" w14:textId="77777777" w:rsidR="00834A6D" w:rsidRDefault="0083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Sans-Regular">
    <w:altName w:val="Arial"/>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859B" w14:textId="77777777" w:rsidR="00834A6D" w:rsidRDefault="00834A6D">
      <w:pPr>
        <w:spacing w:after="0" w:line="240" w:lineRule="auto"/>
      </w:pPr>
      <w:r>
        <w:separator/>
      </w:r>
    </w:p>
  </w:footnote>
  <w:footnote w:type="continuationSeparator" w:id="0">
    <w:p w14:paraId="40674C76" w14:textId="77777777" w:rsidR="00834A6D" w:rsidRDefault="00834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F2B6" w14:textId="77777777" w:rsidR="003F18A6" w:rsidRDefault="00000000">
    <w:pPr>
      <w:pStyle w:val="Head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noProof/>
        <w:sz w:val="28"/>
        <w:szCs w:val="28"/>
      </w:rPr>
      <w:t>7</w:t>
    </w:r>
    <w:r>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606"/>
    <w:multiLevelType w:val="multilevel"/>
    <w:tmpl w:val="30A6CD16"/>
    <w:lvl w:ilvl="0">
      <w:start w:val="1"/>
      <w:numFmt w:val="decimal"/>
      <w:lvlText w:val="%1."/>
      <w:lvlJc w:val="left"/>
      <w:pPr>
        <w:ind w:left="927" w:hanging="360"/>
      </w:pPr>
      <w:rPr>
        <w:rFonts w:hint="default"/>
      </w:rPr>
    </w:lvl>
    <w:lvl w:ilvl="1">
      <w:start w:val="1"/>
      <w:numFmt w:val="decimal"/>
      <w:isLgl/>
      <w:lvlText w:val="%1.%2"/>
      <w:lvlJc w:val="left"/>
      <w:pPr>
        <w:ind w:left="1057" w:hanging="4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5E0147E"/>
    <w:multiLevelType w:val="hybridMultilevel"/>
    <w:tmpl w:val="DFAA0FC6"/>
    <w:lvl w:ilvl="0" w:tplc="0BA64D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78E733B"/>
    <w:multiLevelType w:val="hybridMultilevel"/>
    <w:tmpl w:val="3B7E9DB2"/>
    <w:lvl w:ilvl="0" w:tplc="BD38A8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B573EEE"/>
    <w:multiLevelType w:val="multilevel"/>
    <w:tmpl w:val="C9E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7065B"/>
    <w:multiLevelType w:val="hybridMultilevel"/>
    <w:tmpl w:val="3E4664A6"/>
    <w:lvl w:ilvl="0" w:tplc="41B88DC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15:restartNumberingAfterBreak="0">
    <w:nsid w:val="1FDB4717"/>
    <w:multiLevelType w:val="hybridMultilevel"/>
    <w:tmpl w:val="BFA22134"/>
    <w:lvl w:ilvl="0" w:tplc="C23273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1F61C83"/>
    <w:multiLevelType w:val="hybridMultilevel"/>
    <w:tmpl w:val="37227D0E"/>
    <w:lvl w:ilvl="0" w:tplc="124C36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902660C"/>
    <w:multiLevelType w:val="hybridMultilevel"/>
    <w:tmpl w:val="2F506F24"/>
    <w:lvl w:ilvl="0" w:tplc="17FC9F2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3AEA62E3"/>
    <w:multiLevelType w:val="hybridMultilevel"/>
    <w:tmpl w:val="895C077E"/>
    <w:lvl w:ilvl="0" w:tplc="CC24FE1E">
      <w:start w:val="4"/>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CA53D96"/>
    <w:multiLevelType w:val="hybridMultilevel"/>
    <w:tmpl w:val="74F44F42"/>
    <w:lvl w:ilvl="0" w:tplc="F9CA7C96">
      <w:start w:val="1"/>
      <w:numFmt w:val="decimal"/>
      <w:lvlText w:val="%1."/>
      <w:lvlJc w:val="left"/>
      <w:pPr>
        <w:ind w:left="720" w:hanging="360"/>
      </w:pPr>
      <w:rPr>
        <w:rFonts w:ascii="Helvetica" w:eastAsia="Times New Roman" w:hAnsi="Helvetic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95348B"/>
    <w:multiLevelType w:val="hybridMultilevel"/>
    <w:tmpl w:val="CC86DF94"/>
    <w:lvl w:ilvl="0" w:tplc="61AA4B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75C3837"/>
    <w:multiLevelType w:val="hybridMultilevel"/>
    <w:tmpl w:val="064E512C"/>
    <w:lvl w:ilvl="0" w:tplc="8FFEB0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AAF47DA"/>
    <w:multiLevelType w:val="multilevel"/>
    <w:tmpl w:val="73BC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D2B0F"/>
    <w:multiLevelType w:val="hybridMultilevel"/>
    <w:tmpl w:val="7D8C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312C49"/>
    <w:multiLevelType w:val="multilevel"/>
    <w:tmpl w:val="5C34A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8D7965"/>
    <w:multiLevelType w:val="hybridMultilevel"/>
    <w:tmpl w:val="391A12F2"/>
    <w:lvl w:ilvl="0" w:tplc="DF487F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0347F3F"/>
    <w:multiLevelType w:val="hybridMultilevel"/>
    <w:tmpl w:val="1A3CBF8E"/>
    <w:lvl w:ilvl="0" w:tplc="F9802B9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3AD3E9F"/>
    <w:multiLevelType w:val="hybridMultilevel"/>
    <w:tmpl w:val="C8C4BCAE"/>
    <w:lvl w:ilvl="0" w:tplc="14CAD576">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643C21CC"/>
    <w:multiLevelType w:val="multilevel"/>
    <w:tmpl w:val="A0D8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9A6D95"/>
    <w:multiLevelType w:val="hybridMultilevel"/>
    <w:tmpl w:val="E26CED54"/>
    <w:lvl w:ilvl="0" w:tplc="5A28058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6DA34BE0"/>
    <w:multiLevelType w:val="multilevel"/>
    <w:tmpl w:val="3308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05372B"/>
    <w:multiLevelType w:val="hybridMultilevel"/>
    <w:tmpl w:val="6A98DBC4"/>
    <w:lvl w:ilvl="0" w:tplc="0D4A1D1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544024932">
    <w:abstractNumId w:val="9"/>
  </w:num>
  <w:num w:numId="2" w16cid:durableId="923340911">
    <w:abstractNumId w:val="16"/>
  </w:num>
  <w:num w:numId="3" w16cid:durableId="1252621801">
    <w:abstractNumId w:val="17"/>
  </w:num>
  <w:num w:numId="4" w16cid:durableId="1239365527">
    <w:abstractNumId w:val="7"/>
  </w:num>
  <w:num w:numId="5" w16cid:durableId="205413987">
    <w:abstractNumId w:val="19"/>
  </w:num>
  <w:num w:numId="6" w16cid:durableId="807556536">
    <w:abstractNumId w:val="6"/>
  </w:num>
  <w:num w:numId="7" w16cid:durableId="1379429389">
    <w:abstractNumId w:val="12"/>
  </w:num>
  <w:num w:numId="8" w16cid:durableId="582028631">
    <w:abstractNumId w:val="3"/>
  </w:num>
  <w:num w:numId="9" w16cid:durableId="195314140">
    <w:abstractNumId w:val="20"/>
  </w:num>
  <w:num w:numId="10" w16cid:durableId="1687945971">
    <w:abstractNumId w:val="10"/>
  </w:num>
  <w:num w:numId="11" w16cid:durableId="1401951319">
    <w:abstractNumId w:val="8"/>
  </w:num>
  <w:num w:numId="12" w16cid:durableId="683361455">
    <w:abstractNumId w:val="0"/>
  </w:num>
  <w:num w:numId="13" w16cid:durableId="1276525740">
    <w:abstractNumId w:val="18"/>
  </w:num>
  <w:num w:numId="14" w16cid:durableId="1767505987">
    <w:abstractNumId w:val="14"/>
  </w:num>
  <w:num w:numId="15" w16cid:durableId="20397460">
    <w:abstractNumId w:val="13"/>
  </w:num>
  <w:num w:numId="16" w16cid:durableId="1436248951">
    <w:abstractNumId w:val="5"/>
  </w:num>
  <w:num w:numId="17" w16cid:durableId="489560020">
    <w:abstractNumId w:val="2"/>
  </w:num>
  <w:num w:numId="18" w16cid:durableId="1534264945">
    <w:abstractNumId w:val="4"/>
  </w:num>
  <w:num w:numId="19" w16cid:durableId="898781838">
    <w:abstractNumId w:val="11"/>
  </w:num>
  <w:num w:numId="20" w16cid:durableId="1946302895">
    <w:abstractNumId w:val="1"/>
  </w:num>
  <w:num w:numId="21" w16cid:durableId="117652766">
    <w:abstractNumId w:val="15"/>
  </w:num>
  <w:num w:numId="22" w16cid:durableId="12721328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8A6"/>
    <w:rsid w:val="000375D9"/>
    <w:rsid w:val="000377A9"/>
    <w:rsid w:val="00086721"/>
    <w:rsid w:val="0008679A"/>
    <w:rsid w:val="00182CEC"/>
    <w:rsid w:val="001B618E"/>
    <w:rsid w:val="001F20C3"/>
    <w:rsid w:val="002268B2"/>
    <w:rsid w:val="002C3B5E"/>
    <w:rsid w:val="002E53D9"/>
    <w:rsid w:val="003F18A6"/>
    <w:rsid w:val="003F4899"/>
    <w:rsid w:val="00463A2B"/>
    <w:rsid w:val="004807DE"/>
    <w:rsid w:val="004B54B3"/>
    <w:rsid w:val="006030ED"/>
    <w:rsid w:val="0065305C"/>
    <w:rsid w:val="006A40E9"/>
    <w:rsid w:val="00713CA4"/>
    <w:rsid w:val="007D2527"/>
    <w:rsid w:val="00826A5B"/>
    <w:rsid w:val="00834A6D"/>
    <w:rsid w:val="009322D4"/>
    <w:rsid w:val="0097705A"/>
    <w:rsid w:val="00A14A8B"/>
    <w:rsid w:val="00A41DD7"/>
    <w:rsid w:val="00B13213"/>
    <w:rsid w:val="00B37FF0"/>
    <w:rsid w:val="00B54998"/>
    <w:rsid w:val="00BB338A"/>
    <w:rsid w:val="00C33EAF"/>
    <w:rsid w:val="00C54BE1"/>
    <w:rsid w:val="00C57099"/>
    <w:rsid w:val="00C655BE"/>
    <w:rsid w:val="00C8330C"/>
    <w:rsid w:val="00D53715"/>
    <w:rsid w:val="00E51295"/>
    <w:rsid w:val="00E77690"/>
    <w:rsid w:val="00F23EA7"/>
    <w:rsid w:val="00F8533B"/>
    <w:rsid w:val="00FC1A95"/>
    <w:rsid w:val="00FC5E3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15E1"/>
  <w15:docId w15:val="{A9BD1AF2-6F7A-4CD8-BF39-51F08820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link w:val="Heading2"/>
    <w:uiPriority w:val="9"/>
    <w:rPr>
      <w:rFonts w:ascii="Times New Roman" w:eastAsia="Times New Roman" w:hAnsi="Times New Roman" w:cs="Times New Roman"/>
      <w:b/>
      <w:bCs/>
      <w:sz w:val="36"/>
      <w:szCs w:val="36"/>
    </w:rPr>
  </w:style>
  <w:style w:type="character" w:styleId="Strong">
    <w:name w:val="Strong"/>
    <w:uiPriority w:val="22"/>
    <w:qFormat/>
    <w:rPr>
      <w:b/>
      <w:bCs/>
    </w:rPr>
  </w:style>
  <w:style w:type="paragraph" w:styleId="NormalWeb">
    <w:name w:val="Normal (Web)"/>
    <w:aliases w:val=" Char Char Char,Char Char Char,Обычный (веб)1,Обычный (веб) Знак,Обычный (веб) Знак1,Обычный (веб) Знак Знак,webb,Char Char1,Char Char5, Char Char1,Char Char,Normal (Web) Char1,Char8 Char,Char8, Char Char, Char8 Char, Char8,표준 (웹), Char"/>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Pr>
      <w:color w:val="0000FF"/>
      <w:u w:val="single"/>
    </w:rPr>
  </w:style>
  <w:style w:type="character" w:customStyle="1" w:styleId="muxgbd">
    <w:name w:val="muxgbd"/>
    <w:basedOn w:val="DefaultParagraphFont"/>
  </w:style>
  <w:style w:type="character" w:styleId="Emphasis">
    <w:name w:val="Emphasis"/>
    <w:uiPriority w:val="20"/>
    <w:qFormat/>
    <w:rPr>
      <w:i/>
      <w:iCs/>
    </w:rPr>
  </w:style>
  <w:style w:type="character" w:customStyle="1" w:styleId="Heading4Char">
    <w:name w:val="Heading 4 Char"/>
    <w:link w:val="Heading4"/>
    <w:uiPriority w:val="9"/>
    <w:semiHidden/>
    <w:rPr>
      <w:rFonts w:ascii="Calibri Light" w:eastAsia="Times New Roman" w:hAnsi="Calibri Light" w:cs="Times New Roman"/>
      <w:i/>
      <w:iCs/>
      <w:color w:val="2F5496"/>
    </w:rPr>
  </w:style>
  <w:style w:type="paragraph" w:styleId="Revision">
    <w:name w:val="Revision"/>
    <w:hidden/>
    <w:uiPriority w:val="99"/>
    <w:semiHidden/>
    <w:rPr>
      <w:sz w:val="22"/>
      <w:szCs w:val="22"/>
      <w:lang w:val="en-US" w:eastAsia="en-US"/>
    </w:rPr>
  </w:style>
  <w:style w:type="character" w:customStyle="1" w:styleId="NormalWebChar">
    <w:name w:val="Normal (Web) Char"/>
    <w:aliases w:val=" Char Char Char Char,Char Char Char Char,Обычный (веб)1 Char,Обычный (веб) Знак Char,Обычный (веб) Знак1 Char,Обычный (веб) Знак Знак Char,webb Char,Char Char1 Char,Char Char5 Char, Char Char1 Char,Char Char Char1,Char8 Char Char"/>
    <w:link w:val="NormalWeb"/>
    <w:uiPriority w:val="99"/>
    <w:qFormat/>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Vnbnnidung">
    <w:name w:val="Văn bản nội dung_"/>
    <w:link w:val="Vnbnnidung0"/>
    <w:rPr>
      <w:rFonts w:eastAsia="Times New Roman" w:cs="Times New Roman"/>
      <w:sz w:val="26"/>
      <w:szCs w:val="26"/>
    </w:rPr>
  </w:style>
  <w:style w:type="paragraph" w:customStyle="1" w:styleId="Vnbnnidung0">
    <w:name w:val="Văn bản nội dung"/>
    <w:basedOn w:val="Normal"/>
    <w:link w:val="Vnbnnidung"/>
    <w:pPr>
      <w:widowControl w:val="0"/>
      <w:spacing w:after="80" w:line="276" w:lineRule="auto"/>
      <w:ind w:firstLine="400"/>
    </w:pPr>
    <w:rPr>
      <w:rFonts w:eastAsia="Times New Roman"/>
      <w:sz w:val="26"/>
      <w:szCs w:val="26"/>
    </w:rPr>
  </w:style>
  <w:style w:type="paragraph" w:customStyle="1" w:styleId="Normal1">
    <w:name w:val="Normal1"/>
    <w:qFormat/>
    <w:pPr>
      <w:spacing w:line="276" w:lineRule="auto"/>
    </w:pPr>
    <w:rPr>
      <w:rFonts w:ascii="Arial" w:eastAsia="Arial" w:hAnsi="Arial" w:cs="Arial"/>
      <w:color w:val="000000"/>
      <w:sz w:val="22"/>
      <w:lang w:val="en-US" w:eastAsia="en-US"/>
    </w:rPr>
  </w:style>
  <w:style w:type="character" w:customStyle="1" w:styleId="fontstyle01">
    <w:name w:val="fontstyle01"/>
    <w:rPr>
      <w:rFonts w:ascii="PTSans-Regular" w:hAnsi="PTSans-Regular" w:hint="default"/>
      <w:b w:val="0"/>
      <w:bCs w:val="0"/>
      <w:i w:val="0"/>
      <w:iCs w:val="0"/>
      <w:color w:val="000000"/>
      <w:sz w:val="28"/>
      <w:szCs w:val="28"/>
    </w:rPr>
  </w:style>
  <w:style w:type="character" w:customStyle="1" w:styleId="Heading1Char">
    <w:name w:val="Heading 1 Char"/>
    <w:link w:val="Heading1"/>
    <w:uiPriority w:val="9"/>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Pr>
      <w:rFonts w:ascii="Calibri Light" w:eastAsia="Times New Roman" w:hAnsi="Calibri Light" w:cs="Times New Roman"/>
      <w:color w:val="1F3763"/>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Char Char Char Char Char Ch,fn,fn Char"/>
    <w:basedOn w:val="Normal"/>
    <w:link w:val="FootnoteTextChar"/>
    <w:uiPriority w:val="99"/>
    <w:unhideWhenUsed/>
    <w:qFormat/>
    <w:rPr>
      <w:sz w:val="20"/>
      <w:szCs w:val="20"/>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fn Char1,fn Char Char"/>
    <w:basedOn w:val="DefaultParagraphFont"/>
    <w:link w:val="FootnoteText"/>
    <w:uiPriority w:val="99"/>
    <w:qFormat/>
  </w:style>
  <w:style w:type="character" w:styleId="FootnoteReference">
    <w:name w:val="footnote reference"/>
    <w:uiPriority w:val="99"/>
    <w:semiHidden/>
    <w:unhideWhenUsed/>
    <w:rPr>
      <w:vertAlign w:val="superscript"/>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Pr>
      <w:sz w:val="22"/>
      <w:szCs w:val="22"/>
      <w:lang w:val="en-US" w:eastAsia="en-US"/>
    </w:rPr>
  </w:style>
  <w:style w:type="character" w:customStyle="1" w:styleId="fontstyle21">
    <w:name w:val="fontstyle2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7105">
      <w:bodyDiv w:val="1"/>
      <w:marLeft w:val="0"/>
      <w:marRight w:val="0"/>
      <w:marTop w:val="0"/>
      <w:marBottom w:val="0"/>
      <w:divBdr>
        <w:top w:val="none" w:sz="0" w:space="0" w:color="auto"/>
        <w:left w:val="none" w:sz="0" w:space="0" w:color="auto"/>
        <w:bottom w:val="none" w:sz="0" w:space="0" w:color="auto"/>
        <w:right w:val="none" w:sz="0" w:space="0" w:color="auto"/>
      </w:divBdr>
      <w:divsChild>
        <w:div w:id="1241716147">
          <w:marLeft w:val="0"/>
          <w:marRight w:val="0"/>
          <w:marTop w:val="0"/>
          <w:marBottom w:val="0"/>
          <w:divBdr>
            <w:top w:val="none" w:sz="0" w:space="0" w:color="auto"/>
            <w:left w:val="none" w:sz="0" w:space="0" w:color="auto"/>
            <w:bottom w:val="none" w:sz="0" w:space="0" w:color="auto"/>
            <w:right w:val="none" w:sz="0" w:space="0" w:color="auto"/>
          </w:divBdr>
          <w:divsChild>
            <w:div w:id="39092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21557">
      <w:bodyDiv w:val="1"/>
      <w:marLeft w:val="0"/>
      <w:marRight w:val="0"/>
      <w:marTop w:val="0"/>
      <w:marBottom w:val="0"/>
      <w:divBdr>
        <w:top w:val="none" w:sz="0" w:space="0" w:color="auto"/>
        <w:left w:val="none" w:sz="0" w:space="0" w:color="auto"/>
        <w:bottom w:val="none" w:sz="0" w:space="0" w:color="auto"/>
        <w:right w:val="none" w:sz="0" w:space="0" w:color="auto"/>
      </w:divBdr>
    </w:div>
    <w:div w:id="705985720">
      <w:bodyDiv w:val="1"/>
      <w:marLeft w:val="0"/>
      <w:marRight w:val="0"/>
      <w:marTop w:val="0"/>
      <w:marBottom w:val="0"/>
      <w:divBdr>
        <w:top w:val="none" w:sz="0" w:space="0" w:color="auto"/>
        <w:left w:val="none" w:sz="0" w:space="0" w:color="auto"/>
        <w:bottom w:val="none" w:sz="0" w:space="0" w:color="auto"/>
        <w:right w:val="none" w:sz="0" w:space="0" w:color="auto"/>
      </w:divBdr>
    </w:div>
    <w:div w:id="759839272">
      <w:bodyDiv w:val="1"/>
      <w:marLeft w:val="0"/>
      <w:marRight w:val="0"/>
      <w:marTop w:val="0"/>
      <w:marBottom w:val="0"/>
      <w:divBdr>
        <w:top w:val="none" w:sz="0" w:space="0" w:color="auto"/>
        <w:left w:val="none" w:sz="0" w:space="0" w:color="auto"/>
        <w:bottom w:val="none" w:sz="0" w:space="0" w:color="auto"/>
        <w:right w:val="none" w:sz="0" w:space="0" w:color="auto"/>
      </w:divBdr>
    </w:div>
    <w:div w:id="824585906">
      <w:bodyDiv w:val="1"/>
      <w:marLeft w:val="0"/>
      <w:marRight w:val="0"/>
      <w:marTop w:val="0"/>
      <w:marBottom w:val="0"/>
      <w:divBdr>
        <w:top w:val="none" w:sz="0" w:space="0" w:color="auto"/>
        <w:left w:val="none" w:sz="0" w:space="0" w:color="auto"/>
        <w:bottom w:val="none" w:sz="0" w:space="0" w:color="auto"/>
        <w:right w:val="none" w:sz="0" w:space="0" w:color="auto"/>
      </w:divBdr>
    </w:div>
    <w:div w:id="986128339">
      <w:bodyDiv w:val="1"/>
      <w:marLeft w:val="0"/>
      <w:marRight w:val="0"/>
      <w:marTop w:val="0"/>
      <w:marBottom w:val="0"/>
      <w:divBdr>
        <w:top w:val="none" w:sz="0" w:space="0" w:color="auto"/>
        <w:left w:val="none" w:sz="0" w:space="0" w:color="auto"/>
        <w:bottom w:val="none" w:sz="0" w:space="0" w:color="auto"/>
        <w:right w:val="none" w:sz="0" w:space="0" w:color="auto"/>
      </w:divBdr>
    </w:div>
    <w:div w:id="1133056302">
      <w:bodyDiv w:val="1"/>
      <w:marLeft w:val="0"/>
      <w:marRight w:val="0"/>
      <w:marTop w:val="0"/>
      <w:marBottom w:val="0"/>
      <w:divBdr>
        <w:top w:val="none" w:sz="0" w:space="0" w:color="auto"/>
        <w:left w:val="none" w:sz="0" w:space="0" w:color="auto"/>
        <w:bottom w:val="none" w:sz="0" w:space="0" w:color="auto"/>
        <w:right w:val="none" w:sz="0" w:space="0" w:color="auto"/>
      </w:divBdr>
    </w:div>
    <w:div w:id="1186477263">
      <w:bodyDiv w:val="1"/>
      <w:marLeft w:val="0"/>
      <w:marRight w:val="0"/>
      <w:marTop w:val="0"/>
      <w:marBottom w:val="0"/>
      <w:divBdr>
        <w:top w:val="none" w:sz="0" w:space="0" w:color="auto"/>
        <w:left w:val="none" w:sz="0" w:space="0" w:color="auto"/>
        <w:bottom w:val="none" w:sz="0" w:space="0" w:color="auto"/>
        <w:right w:val="none" w:sz="0" w:space="0" w:color="auto"/>
      </w:divBdr>
    </w:div>
    <w:div w:id="1196889422">
      <w:bodyDiv w:val="1"/>
      <w:marLeft w:val="0"/>
      <w:marRight w:val="0"/>
      <w:marTop w:val="0"/>
      <w:marBottom w:val="0"/>
      <w:divBdr>
        <w:top w:val="none" w:sz="0" w:space="0" w:color="auto"/>
        <w:left w:val="none" w:sz="0" w:space="0" w:color="auto"/>
        <w:bottom w:val="none" w:sz="0" w:space="0" w:color="auto"/>
        <w:right w:val="none" w:sz="0" w:space="0" w:color="auto"/>
      </w:divBdr>
    </w:div>
    <w:div w:id="1301879180">
      <w:bodyDiv w:val="1"/>
      <w:marLeft w:val="0"/>
      <w:marRight w:val="0"/>
      <w:marTop w:val="0"/>
      <w:marBottom w:val="0"/>
      <w:divBdr>
        <w:top w:val="none" w:sz="0" w:space="0" w:color="auto"/>
        <w:left w:val="none" w:sz="0" w:space="0" w:color="auto"/>
        <w:bottom w:val="none" w:sz="0" w:space="0" w:color="auto"/>
        <w:right w:val="none" w:sz="0" w:space="0" w:color="auto"/>
      </w:divBdr>
    </w:div>
    <w:div w:id="1353339939">
      <w:bodyDiv w:val="1"/>
      <w:marLeft w:val="0"/>
      <w:marRight w:val="0"/>
      <w:marTop w:val="0"/>
      <w:marBottom w:val="0"/>
      <w:divBdr>
        <w:top w:val="none" w:sz="0" w:space="0" w:color="auto"/>
        <w:left w:val="none" w:sz="0" w:space="0" w:color="auto"/>
        <w:bottom w:val="none" w:sz="0" w:space="0" w:color="auto"/>
        <w:right w:val="none" w:sz="0" w:space="0" w:color="auto"/>
      </w:divBdr>
    </w:div>
    <w:div w:id="1476218931">
      <w:bodyDiv w:val="1"/>
      <w:marLeft w:val="0"/>
      <w:marRight w:val="0"/>
      <w:marTop w:val="0"/>
      <w:marBottom w:val="0"/>
      <w:divBdr>
        <w:top w:val="none" w:sz="0" w:space="0" w:color="auto"/>
        <w:left w:val="none" w:sz="0" w:space="0" w:color="auto"/>
        <w:bottom w:val="none" w:sz="0" w:space="0" w:color="auto"/>
        <w:right w:val="none" w:sz="0" w:space="0" w:color="auto"/>
      </w:divBdr>
    </w:div>
    <w:div w:id="1613171052">
      <w:bodyDiv w:val="1"/>
      <w:marLeft w:val="0"/>
      <w:marRight w:val="0"/>
      <w:marTop w:val="0"/>
      <w:marBottom w:val="0"/>
      <w:divBdr>
        <w:top w:val="none" w:sz="0" w:space="0" w:color="auto"/>
        <w:left w:val="none" w:sz="0" w:space="0" w:color="auto"/>
        <w:bottom w:val="none" w:sz="0" w:space="0" w:color="auto"/>
        <w:right w:val="none" w:sz="0" w:space="0" w:color="auto"/>
      </w:divBdr>
    </w:div>
    <w:div w:id="1711681353">
      <w:bodyDiv w:val="1"/>
      <w:marLeft w:val="0"/>
      <w:marRight w:val="0"/>
      <w:marTop w:val="0"/>
      <w:marBottom w:val="0"/>
      <w:divBdr>
        <w:top w:val="none" w:sz="0" w:space="0" w:color="auto"/>
        <w:left w:val="none" w:sz="0" w:space="0" w:color="auto"/>
        <w:bottom w:val="none" w:sz="0" w:space="0" w:color="auto"/>
        <w:right w:val="none" w:sz="0" w:space="0" w:color="auto"/>
      </w:divBdr>
      <w:divsChild>
        <w:div w:id="278757154">
          <w:marLeft w:val="0"/>
          <w:marRight w:val="0"/>
          <w:marTop w:val="300"/>
          <w:marBottom w:val="0"/>
          <w:divBdr>
            <w:top w:val="none" w:sz="0" w:space="0" w:color="auto"/>
            <w:left w:val="none" w:sz="0" w:space="0" w:color="auto"/>
            <w:bottom w:val="none" w:sz="0" w:space="0" w:color="auto"/>
            <w:right w:val="none" w:sz="0" w:space="0" w:color="auto"/>
          </w:divBdr>
          <w:divsChild>
            <w:div w:id="258760187">
              <w:marLeft w:val="0"/>
              <w:marRight w:val="0"/>
              <w:marTop w:val="0"/>
              <w:marBottom w:val="0"/>
              <w:divBdr>
                <w:top w:val="none" w:sz="0" w:space="0" w:color="auto"/>
                <w:left w:val="none" w:sz="0" w:space="0" w:color="auto"/>
                <w:bottom w:val="none" w:sz="0" w:space="0" w:color="auto"/>
                <w:right w:val="none" w:sz="0" w:space="0" w:color="auto"/>
              </w:divBdr>
              <w:divsChild>
                <w:div w:id="4260895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632760239">
          <w:marLeft w:val="0"/>
          <w:marRight w:val="0"/>
          <w:marTop w:val="150"/>
          <w:marBottom w:val="0"/>
          <w:divBdr>
            <w:top w:val="none" w:sz="0" w:space="0" w:color="auto"/>
            <w:left w:val="none" w:sz="0" w:space="0" w:color="auto"/>
            <w:bottom w:val="none" w:sz="0" w:space="0" w:color="auto"/>
            <w:right w:val="none" w:sz="0" w:space="0" w:color="auto"/>
          </w:divBdr>
          <w:divsChild>
            <w:div w:id="255224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80487963">
      <w:bodyDiv w:val="1"/>
      <w:marLeft w:val="0"/>
      <w:marRight w:val="0"/>
      <w:marTop w:val="0"/>
      <w:marBottom w:val="0"/>
      <w:divBdr>
        <w:top w:val="none" w:sz="0" w:space="0" w:color="auto"/>
        <w:left w:val="none" w:sz="0" w:space="0" w:color="auto"/>
        <w:bottom w:val="none" w:sz="0" w:space="0" w:color="auto"/>
        <w:right w:val="none" w:sz="0" w:space="0" w:color="auto"/>
      </w:divBdr>
    </w:div>
    <w:div w:id="1794592377">
      <w:bodyDiv w:val="1"/>
      <w:marLeft w:val="0"/>
      <w:marRight w:val="0"/>
      <w:marTop w:val="0"/>
      <w:marBottom w:val="0"/>
      <w:divBdr>
        <w:top w:val="none" w:sz="0" w:space="0" w:color="auto"/>
        <w:left w:val="none" w:sz="0" w:space="0" w:color="auto"/>
        <w:bottom w:val="none" w:sz="0" w:space="0" w:color="auto"/>
        <w:right w:val="none" w:sz="0" w:space="0" w:color="auto"/>
      </w:divBdr>
    </w:div>
    <w:div w:id="1881748081">
      <w:bodyDiv w:val="1"/>
      <w:marLeft w:val="0"/>
      <w:marRight w:val="0"/>
      <w:marTop w:val="0"/>
      <w:marBottom w:val="0"/>
      <w:divBdr>
        <w:top w:val="none" w:sz="0" w:space="0" w:color="auto"/>
        <w:left w:val="none" w:sz="0" w:space="0" w:color="auto"/>
        <w:bottom w:val="none" w:sz="0" w:space="0" w:color="auto"/>
        <w:right w:val="none" w:sz="0" w:space="0" w:color="auto"/>
      </w:divBdr>
    </w:div>
    <w:div w:id="1905096823">
      <w:bodyDiv w:val="1"/>
      <w:marLeft w:val="0"/>
      <w:marRight w:val="0"/>
      <w:marTop w:val="0"/>
      <w:marBottom w:val="0"/>
      <w:divBdr>
        <w:top w:val="none" w:sz="0" w:space="0" w:color="auto"/>
        <w:left w:val="none" w:sz="0" w:space="0" w:color="auto"/>
        <w:bottom w:val="none" w:sz="0" w:space="0" w:color="auto"/>
        <w:right w:val="none" w:sz="0" w:space="0" w:color="auto"/>
      </w:divBdr>
    </w:div>
    <w:div w:id="1936282604">
      <w:bodyDiv w:val="1"/>
      <w:marLeft w:val="0"/>
      <w:marRight w:val="0"/>
      <w:marTop w:val="0"/>
      <w:marBottom w:val="0"/>
      <w:divBdr>
        <w:top w:val="none" w:sz="0" w:space="0" w:color="auto"/>
        <w:left w:val="none" w:sz="0" w:space="0" w:color="auto"/>
        <w:bottom w:val="none" w:sz="0" w:space="0" w:color="auto"/>
        <w:right w:val="none" w:sz="0" w:space="0" w:color="auto"/>
      </w:divBdr>
    </w:div>
    <w:div w:id="2100325687">
      <w:bodyDiv w:val="1"/>
      <w:marLeft w:val="0"/>
      <w:marRight w:val="0"/>
      <w:marTop w:val="0"/>
      <w:marBottom w:val="0"/>
      <w:divBdr>
        <w:top w:val="none" w:sz="0" w:space="0" w:color="auto"/>
        <w:left w:val="none" w:sz="0" w:space="0" w:color="auto"/>
        <w:bottom w:val="none" w:sz="0" w:space="0" w:color="auto"/>
        <w:right w:val="none" w:sz="0" w:space="0" w:color="auto"/>
      </w:divBdr>
    </w:div>
    <w:div w:id="2109157471">
      <w:bodyDiv w:val="1"/>
      <w:marLeft w:val="0"/>
      <w:marRight w:val="0"/>
      <w:marTop w:val="0"/>
      <w:marBottom w:val="0"/>
      <w:divBdr>
        <w:top w:val="none" w:sz="0" w:space="0" w:color="auto"/>
        <w:left w:val="none" w:sz="0" w:space="0" w:color="auto"/>
        <w:bottom w:val="none" w:sz="0" w:space="0" w:color="auto"/>
        <w:right w:val="none" w:sz="0" w:space="0" w:color="auto"/>
      </w:divBdr>
    </w:div>
    <w:div w:id="213289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997C8-2B6D-4DDD-AE5E-794026CA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36</cp:revision>
  <cp:lastPrinted>2025-12-05T06:43:00Z</cp:lastPrinted>
  <dcterms:created xsi:type="dcterms:W3CDTF">2026-05-12T03:29:00Z</dcterms:created>
  <dcterms:modified xsi:type="dcterms:W3CDTF">2026-06-18T09:52:00Z</dcterms:modified>
</cp:coreProperties>
</file>