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552"/>
        <w:gridCol w:w="5736"/>
      </w:tblGrid>
      <w:tr>
        <w:trPr>
          <w:trHeight w:val="1226"/>
        </w:trPr>
        <w:tc>
          <w:tcPr>
            <w:tcW w:w="1912" w:type="pct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HỘI ĐỒNG NHÂN DÂN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222250</wp:posOffset>
                      </wp:positionV>
                      <wp:extent cx="723265" cy="0"/>
                      <wp:effectExtent l="7620" t="8255" r="12065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17.5pt" to="10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4lHQIAADU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TỈNH HÀ TĨNH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8" w:type="pct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b/>
                <w:szCs w:val="26"/>
              </w:rPr>
            </w:pPr>
            <w:r>
              <w:rPr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222250</wp:posOffset>
                      </wp:positionV>
                      <wp:extent cx="2084705" cy="0"/>
                      <wp:effectExtent l="9525" t="8255" r="1079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7.5pt" to="219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Ri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Sx/Sic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szCs w:val="26"/>
              </w:rPr>
              <w:t>Độc lập - Tự do - Hạnh phúc</w:t>
            </w:r>
          </w:p>
          <w:p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>
      <w:pPr>
        <w:jc w:val="center"/>
        <w:rPr>
          <w:b/>
        </w:rPr>
      </w:pPr>
      <w:r>
        <w:rPr>
          <w:b/>
        </w:rPr>
        <w:t>CHƯƠNG TRÌNH</w:t>
      </w:r>
    </w:p>
    <w:p>
      <w:pPr>
        <w:ind w:right="-168"/>
        <w:jc w:val="center"/>
        <w:rPr>
          <w:b/>
        </w:rPr>
      </w:pPr>
      <w:r>
        <w:rPr>
          <w:b/>
        </w:rPr>
        <w:t xml:space="preserve">Kỳ họp thứ 24, Hội đồng nhân dân tỉnh </w:t>
      </w:r>
    </w:p>
    <w:p>
      <w:pPr>
        <w:tabs>
          <w:tab w:val="center" w:pos="4607"/>
          <w:tab w:val="right" w:pos="9214"/>
        </w:tabs>
        <w:rPr>
          <w:b/>
        </w:rPr>
      </w:pPr>
      <w:r>
        <w:rPr>
          <w:b/>
        </w:rPr>
        <w:tab/>
        <w:t xml:space="preserve">(Ngày 23 tháng 01 năm 2025) </w:t>
      </w:r>
    </w:p>
    <w:p>
      <w:pPr>
        <w:tabs>
          <w:tab w:val="center" w:pos="4607"/>
          <w:tab w:val="right" w:pos="9214"/>
        </w:tabs>
        <w:rPr>
          <w:b/>
          <w:sz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30810</wp:posOffset>
                </wp:positionV>
                <wp:extent cx="1341272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2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2.45pt" to="277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0v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pQ55mT0CS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"/>
            </w:pict>
          </mc:Fallback>
        </mc:AlternateContent>
      </w:r>
      <w:r>
        <w:rPr>
          <w:b/>
          <w:sz w:val="26"/>
        </w:rPr>
        <w:tab/>
      </w:r>
    </w:p>
    <w:p>
      <w:pPr>
        <w:rPr>
          <w:sz w:val="2"/>
        </w:rPr>
      </w:pPr>
    </w:p>
    <w:p>
      <w:pPr>
        <w:rPr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008"/>
        <w:gridCol w:w="3609"/>
      </w:tblGrid>
      <w:tr>
        <w:trPr>
          <w:trHeight w:val="421"/>
          <w:tblHeader/>
        </w:trPr>
        <w:tc>
          <w:tcPr>
            <w:tcW w:w="361" w:type="pct"/>
            <w:shd w:val="clear" w:color="auto" w:fill="FFFFFF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2696" w:type="pct"/>
            <w:shd w:val="clear" w:color="auto" w:fill="FFFFFF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  <w:t>NỘI DUNG</w:t>
            </w:r>
          </w:p>
        </w:tc>
        <w:tc>
          <w:tcPr>
            <w:tcW w:w="1943" w:type="pct"/>
            <w:shd w:val="clear" w:color="auto" w:fill="FFFFFF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MS Mincho" w:hAnsiTheme="majorHAnsi" w:cstheme="majorHAnsi"/>
                <w:b/>
                <w:sz w:val="26"/>
                <w:szCs w:val="26"/>
              </w:rPr>
              <w:t>NGƯỜI THỰC HIỆN</w:t>
            </w:r>
          </w:p>
        </w:tc>
      </w:tr>
      <w:tr>
        <w:trPr>
          <w:trHeight w:val="547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1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Chào cờ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Văn phòng Đoàn ĐBQH và HĐND tỉnh</w:t>
            </w:r>
          </w:p>
        </w:tc>
      </w:tr>
      <w:tr>
        <w:trPr>
          <w:trHeight w:val="655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2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Giới thiệu đại biểu, thông qua chương trình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Đồng chí Trần Văn Kỳ,</w:t>
            </w:r>
          </w:p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Phó Chủ tịch HĐND tỉnh</w:t>
            </w:r>
          </w:p>
        </w:tc>
      </w:tr>
      <w:tr>
        <w:trPr>
          <w:trHeight w:val="849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3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Khai mạc kỳ họp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Chủ tọa kỳ họp</w:t>
            </w:r>
          </w:p>
        </w:tc>
      </w:tr>
      <w:tr>
        <w:trPr>
          <w:trHeight w:val="461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4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Tờ trình của UBND tỉnh về: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</w:p>
        </w:tc>
      </w:tr>
      <w:tr>
        <w:trPr>
          <w:trHeight w:val="951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4.1</w:t>
            </w:r>
          </w:p>
        </w:tc>
        <w:tc>
          <w:tcPr>
            <w:tcW w:w="269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Sửa đổi nội dung về giao số lượng người làm việc trong các đơn vị sự nghiệp công lập giáo dục và đào tạo năm học 2024-2025 tại Nghị quyết số 150/NQ-HĐND ngày 08/12/2023 của Hội đồng nhân dân tỉnh</w:t>
            </w:r>
          </w:p>
        </w:tc>
        <w:tc>
          <w:tcPr>
            <w:tcW w:w="1943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Đồng chí Lê Minh Đạo, Giám đốc Sở Nội vụ</w:t>
            </w:r>
          </w:p>
        </w:tc>
      </w:tr>
      <w:tr>
        <w:trPr>
          <w:trHeight w:val="951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4.2</w:t>
            </w:r>
          </w:p>
        </w:tc>
        <w:tc>
          <w:tcPr>
            <w:tcW w:w="269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t>Sửa đổi Nghị quyết số 221/NQ-HĐND ngày 13/12/2024 của HĐND tỉnh; giao số lượng cán bộ, công chức cấp xã và người hoạt động không chuyên trách ở cấp xã năm 2025</w:t>
            </w:r>
          </w:p>
        </w:tc>
        <w:tc>
          <w:tcPr>
            <w:tcW w:w="19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eastAsia="MS Mincho" w:hAnsiTheme="majorHAnsi" w:cstheme="majorHAnsi"/>
              </w:rPr>
            </w:pPr>
          </w:p>
        </w:tc>
      </w:tr>
      <w:tr>
        <w:trPr>
          <w:trHeight w:val="849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4.3</w:t>
            </w:r>
          </w:p>
        </w:tc>
        <w:tc>
          <w:tcPr>
            <w:tcW w:w="269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t>Về việc điều chỉnh dự toán thu, chi ngân sách nhà nước năm 2025 và bổ sung, sửa đổi một số nội dung tại Nghị quyết số 207/NQ-HĐND ngày 13/12/2024 của Hội đồng nhân dân tỉnh</w:t>
            </w:r>
          </w:p>
        </w:tc>
        <w:tc>
          <w:tcPr>
            <w:tcW w:w="1943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Đồng chí Trịnh Văn Ngọc, Giám đốc Sở Tài</w:t>
            </w:r>
            <w:bookmarkStart w:id="0" w:name="_GoBack"/>
            <w:bookmarkEnd w:id="0"/>
            <w:r>
              <w:rPr>
                <w:rFonts w:asciiTheme="majorHAnsi" w:eastAsia="MS Mincho" w:hAnsiTheme="majorHAnsi" w:cstheme="majorHAnsi"/>
              </w:rPr>
              <w:t xml:space="preserve"> chính</w:t>
            </w:r>
          </w:p>
        </w:tc>
      </w:tr>
      <w:tr>
        <w:trPr>
          <w:trHeight w:val="849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4.4</w:t>
            </w:r>
          </w:p>
        </w:tc>
        <w:tc>
          <w:tcPr>
            <w:tcW w:w="269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rPr>
                <w:bCs/>
              </w:rPr>
              <w:t>Quy định nguyên tắc, phạm vi, định mức hỗ trợ và việc sử dụng nguồn kinh phí hỗ trợ bảo vệ đất trồng lúa trên địa bàn tỉnh Hà Tĩnh</w:t>
            </w:r>
          </w:p>
        </w:tc>
        <w:tc>
          <w:tcPr>
            <w:tcW w:w="1943" w:type="pct"/>
            <w:vMerge/>
            <w:shd w:val="clear" w:color="auto" w:fill="auto"/>
            <w:vAlign w:val="center"/>
          </w:tcPr>
          <w:p>
            <w:pPr>
              <w:jc w:val="center"/>
              <w:rPr>
                <w:rFonts w:asciiTheme="majorHAnsi" w:eastAsia="MS Mincho" w:hAnsiTheme="majorHAnsi" w:cstheme="majorHAnsi"/>
              </w:rPr>
            </w:pPr>
          </w:p>
        </w:tc>
      </w:tr>
      <w:tr>
        <w:trPr>
          <w:trHeight w:val="849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5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jc w:val="both"/>
            </w:pPr>
            <w:r>
              <w:t>Báo cáo thẩm tra của Ban Pháp chế Hội đồng nhân dân tỉnh.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Đồng chí Nguyễn Thi Nhuần, Trưởng ban Pháp chế</w:t>
            </w:r>
          </w:p>
        </w:tc>
      </w:tr>
      <w:tr>
        <w:trPr>
          <w:trHeight w:val="892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6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Báo cáo thẩm tra của Ban Kinh tế - Ngân sách Hội đồng nhân dân tỉnh.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Đồng chí Nguyễn Thị Thúy Nga, Trưởng Ban KTNS </w:t>
            </w:r>
          </w:p>
        </w:tc>
      </w:tr>
      <w:tr>
        <w:trPr>
          <w:trHeight w:val="701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lastRenderedPageBreak/>
              <w:t>7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Thảo luận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Đại biểu dự Kỳ họp</w:t>
            </w:r>
          </w:p>
        </w:tc>
      </w:tr>
      <w:tr>
        <w:trPr>
          <w:trHeight w:val="592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8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Thông qua các Nghị quyết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Thư ký kỳ họp</w:t>
            </w:r>
          </w:p>
        </w:tc>
      </w:tr>
      <w:tr>
        <w:trPr>
          <w:trHeight w:val="976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9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Bế mạc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Chủ tọa kỳ họp</w:t>
            </w:r>
          </w:p>
        </w:tc>
      </w:tr>
      <w:tr>
        <w:trPr>
          <w:trHeight w:val="692"/>
        </w:trPr>
        <w:tc>
          <w:tcPr>
            <w:tcW w:w="361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10</w:t>
            </w:r>
          </w:p>
        </w:tc>
        <w:tc>
          <w:tcPr>
            <w:tcW w:w="2696" w:type="pct"/>
            <w:shd w:val="clear" w:color="auto" w:fill="auto"/>
            <w:vAlign w:val="center"/>
          </w:tcPr>
          <w:p>
            <w:pPr>
              <w:spacing w:before="120" w:after="120"/>
              <w:jc w:val="both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Chào cờ</w:t>
            </w:r>
          </w:p>
        </w:tc>
        <w:tc>
          <w:tcPr>
            <w:tcW w:w="1943" w:type="pct"/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Văn phòng Đoàn ĐBQH và HĐND tỉnh</w:t>
            </w:r>
          </w:p>
        </w:tc>
      </w:tr>
    </w:tbl>
    <w:p>
      <w:pPr>
        <w:spacing w:before="120" w:after="120" w:line="340" w:lineRule="exact"/>
        <w:jc w:val="center"/>
        <w:rPr>
          <w:b/>
          <w:sz w:val="12"/>
          <w:szCs w:val="12"/>
          <w:u w:val="single"/>
        </w:rPr>
      </w:pPr>
      <w:r>
        <w:rPr>
          <w:bCs/>
          <w:i/>
          <w:sz w:val="20"/>
          <w:szCs w:val="20"/>
        </w:rPr>
        <w:t>Đề nghị đại biểu truy cập tài liệu Kỳ họp qua mã QR tại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tabs>
                <w:tab w:val="left" w:pos="0"/>
              </w:tabs>
              <w:spacing w:before="60"/>
              <w:jc w:val="center"/>
              <w:rPr>
                <w:b/>
                <w:lang w:val="pt-BR"/>
              </w:rPr>
            </w:pPr>
            <w:r>
              <w:rPr>
                <w:b/>
                <w:noProof/>
                <w:lang w:val="vi-VN" w:eastAsia="vi-VN"/>
              </w:rPr>
              <w:drawing>
                <wp:inline distT="0" distB="0" distL="0" distR="0">
                  <wp:extent cx="1326096" cy="1326096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6249935682445_0aee8b7f2f0e677e067d638c152dffd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810" cy="13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120"/>
        <w:jc w:val="center"/>
      </w:pPr>
    </w:p>
    <w:sectPr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>
      <w:rPr>
        <w:noProof/>
        <w:sz w:val="26"/>
        <w:szCs w:val="26"/>
      </w:rPr>
      <w:fldChar w:fldCharType="end"/>
    </w:r>
  </w:p>
  <w:p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 Kien">
    <w15:presenceInfo w15:providerId="Windows Live" w15:userId="f1268ace1d5c34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markup="0" w:inkAnnotation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vi-VN" w:eastAsia="en-US" w:bidi="ar-SA"/>
      </w:rPr>
    </w:rPrDefault>
    <w:pPrDefault>
      <w:pPr>
        <w:spacing w:line="3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</w:pPr>
    <w:rPr>
      <w:rFonts w:eastAsia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" w:hAnsi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Times New Roman" w:hAnsi=".VnTime"/>
      <w:b/>
      <w:bCs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color w:val="000000"/>
      <w:sz w:val="24"/>
    </w:rPr>
  </w:style>
  <w:style w:type="paragraph" w:styleId="BodyText">
    <w:name w:val="Body Text"/>
    <w:basedOn w:val="Normal"/>
    <w:link w:val="BodyTextChar"/>
    <w:unhideWhenUsed/>
    <w:rPr>
      <w:rFonts w:ascii=".VnTimeH" w:hAnsi=".VnTimeH"/>
      <w:b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Pr>
      <w:rFonts w:ascii=".VnTimeH" w:eastAsia="Times New Roman" w:hAnsi=".VnTimeH"/>
      <w:b/>
      <w:sz w:val="26"/>
      <w:szCs w:val="20"/>
      <w:lang w:val="x-none" w:eastAsia="x-none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vi-VN" w:eastAsia="en-US" w:bidi="ar-SA"/>
      </w:rPr>
    </w:rPrDefault>
    <w:pPrDefault>
      <w:pPr>
        <w:spacing w:line="3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</w:pPr>
    <w:rPr>
      <w:rFonts w:eastAsia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" w:hAnsi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Times New Roman" w:hAnsi=".VnTime"/>
      <w:b/>
      <w:bCs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color w:val="000000"/>
      <w:sz w:val="24"/>
    </w:rPr>
  </w:style>
  <w:style w:type="paragraph" w:styleId="BodyText">
    <w:name w:val="Body Text"/>
    <w:basedOn w:val="Normal"/>
    <w:link w:val="BodyTextChar"/>
    <w:unhideWhenUsed/>
    <w:rPr>
      <w:rFonts w:ascii=".VnTimeH" w:hAnsi=".VnTimeH"/>
      <w:b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Pr>
      <w:rFonts w:ascii=".VnTimeH" w:eastAsia="Times New Roman" w:hAnsi=".VnTimeH"/>
      <w:b/>
      <w:sz w:val="26"/>
      <w:szCs w:val="20"/>
      <w:lang w:val="x-none" w:eastAsia="x-none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2024-09-27T07:58:00Z</cp:lastPrinted>
  <dcterms:created xsi:type="dcterms:W3CDTF">2024-10-29T03:00:00Z</dcterms:created>
  <dcterms:modified xsi:type="dcterms:W3CDTF">2025-01-22T08:13:00Z</dcterms:modified>
</cp:coreProperties>
</file>