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6" w:type="dxa"/>
        <w:jc w:val="center"/>
        <w:tblLayout w:type="fixed"/>
        <w:tblLook w:val="0000" w:firstRow="0" w:lastRow="0" w:firstColumn="0" w:lastColumn="0" w:noHBand="0" w:noVBand="0"/>
      </w:tblPr>
      <w:tblGrid>
        <w:gridCol w:w="3095"/>
        <w:gridCol w:w="5981"/>
      </w:tblGrid>
      <w:tr w:rsidR="00E05F46" w:rsidRPr="00E05F46" w14:paraId="46A103B7" w14:textId="77777777" w:rsidTr="002879DA">
        <w:trPr>
          <w:jc w:val="center"/>
        </w:trPr>
        <w:tc>
          <w:tcPr>
            <w:tcW w:w="3095" w:type="dxa"/>
          </w:tcPr>
          <w:p w14:paraId="3D171965" w14:textId="77777777" w:rsidR="007E25FD" w:rsidRPr="00E05F46" w:rsidRDefault="007E25FD" w:rsidP="006F5982">
            <w:pPr>
              <w:jc w:val="center"/>
              <w:rPr>
                <w:b/>
                <w:bCs/>
                <w:sz w:val="26"/>
                <w:szCs w:val="26"/>
              </w:rPr>
            </w:pPr>
            <w:r w:rsidRPr="00E05F46">
              <w:rPr>
                <w:b/>
                <w:bCs/>
                <w:sz w:val="26"/>
                <w:szCs w:val="26"/>
              </w:rPr>
              <w:t>UỶ BAN NHÂN DÂN</w:t>
            </w:r>
          </w:p>
          <w:p w14:paraId="3A360C10" w14:textId="77777777" w:rsidR="007E25FD" w:rsidRPr="00E05F46" w:rsidRDefault="007E25FD" w:rsidP="006F5982">
            <w:pPr>
              <w:jc w:val="center"/>
              <w:rPr>
                <w:b/>
                <w:bCs/>
                <w:sz w:val="26"/>
                <w:szCs w:val="26"/>
              </w:rPr>
            </w:pPr>
            <w:r w:rsidRPr="00E05F46">
              <w:rPr>
                <w:b/>
                <w:bCs/>
                <w:sz w:val="26"/>
                <w:szCs w:val="26"/>
              </w:rPr>
              <w:t xml:space="preserve">  TỈNH HÀ TĨNH</w:t>
            </w:r>
          </w:p>
          <w:p w14:paraId="46798985" w14:textId="77777777" w:rsidR="007E25FD" w:rsidRPr="00E05F46" w:rsidRDefault="007E25FD" w:rsidP="006F5982">
            <w:pPr>
              <w:jc w:val="center"/>
              <w:rPr>
                <w:b/>
                <w:bCs/>
              </w:rPr>
            </w:pPr>
            <w:r w:rsidRPr="00E05F46">
              <w:rPr>
                <w:b/>
                <w:bCs/>
                <w:noProof/>
              </w:rPr>
              <mc:AlternateContent>
                <mc:Choice Requires="wps">
                  <w:drawing>
                    <wp:anchor distT="4294967294" distB="4294967294" distL="114300" distR="114300" simplePos="0" relativeHeight="251656704" behindDoc="0" locked="0" layoutInCell="1" allowOverlap="1" wp14:anchorId="2A185587" wp14:editId="2D85AF9B">
                      <wp:simplePos x="0" y="0"/>
                      <wp:positionH relativeFrom="column">
                        <wp:posOffset>643890</wp:posOffset>
                      </wp:positionH>
                      <wp:positionV relativeFrom="paragraph">
                        <wp:posOffset>21259</wp:posOffset>
                      </wp:positionV>
                      <wp:extent cx="569816" cy="0"/>
                      <wp:effectExtent l="0" t="0" r="2095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80027" id="Line 9"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7pt,1.65pt" to="95.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Lj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"/>
                  </w:pict>
                </mc:Fallback>
              </mc:AlternateContent>
            </w:r>
          </w:p>
          <w:p w14:paraId="1942F475" w14:textId="309D4592" w:rsidR="007E25FD" w:rsidRPr="00E05F46" w:rsidRDefault="007E25FD" w:rsidP="002879DA">
            <w:pPr>
              <w:jc w:val="center"/>
            </w:pPr>
            <w:r w:rsidRPr="00E05F46">
              <w:t xml:space="preserve">Số:     </w:t>
            </w:r>
            <w:r w:rsidR="002879DA" w:rsidRPr="00E05F46">
              <w:t xml:space="preserve">  </w:t>
            </w:r>
            <w:r w:rsidRPr="00E05F46">
              <w:t xml:space="preserve">     /BC-UBND</w:t>
            </w:r>
          </w:p>
        </w:tc>
        <w:tc>
          <w:tcPr>
            <w:tcW w:w="5981" w:type="dxa"/>
          </w:tcPr>
          <w:p w14:paraId="38A8ECCB" w14:textId="77777777" w:rsidR="007E25FD" w:rsidRPr="00E05F46" w:rsidRDefault="007E25FD" w:rsidP="006F5982">
            <w:pPr>
              <w:jc w:val="center"/>
              <w:rPr>
                <w:sz w:val="26"/>
                <w:szCs w:val="26"/>
              </w:rPr>
            </w:pPr>
            <w:r w:rsidRPr="00E05F46">
              <w:rPr>
                <w:b/>
                <w:bCs/>
                <w:sz w:val="26"/>
                <w:szCs w:val="26"/>
              </w:rPr>
              <w:t xml:space="preserve">CỘNG HOÀ XÃ HỘI CHỦ NGHĨA VIỆT </w:t>
            </w:r>
            <w:smartTag w:uri="urn:schemas-microsoft-com:office:smarttags" w:element="country-region">
              <w:smartTag w:uri="urn:schemas-microsoft-com:office:smarttags" w:element="place">
                <w:r w:rsidRPr="00E05F46">
                  <w:rPr>
                    <w:b/>
                    <w:bCs/>
                    <w:sz w:val="26"/>
                    <w:szCs w:val="26"/>
                  </w:rPr>
                  <w:t>NAM</w:t>
                </w:r>
              </w:smartTag>
            </w:smartTag>
          </w:p>
          <w:p w14:paraId="4390FBBE" w14:textId="77777777" w:rsidR="007E25FD" w:rsidRPr="00E05F46" w:rsidRDefault="007E25FD" w:rsidP="006F5982">
            <w:pPr>
              <w:jc w:val="center"/>
            </w:pPr>
            <w:r w:rsidRPr="00E05F46">
              <w:rPr>
                <w:b/>
                <w:bCs/>
              </w:rPr>
              <w:t>Độc lập - Tự do - Hạnh phúc</w:t>
            </w:r>
          </w:p>
          <w:p w14:paraId="2C167341" w14:textId="77777777" w:rsidR="007E25FD" w:rsidRPr="00E05F46" w:rsidRDefault="007E25FD" w:rsidP="006F5982">
            <w:pPr>
              <w:jc w:val="center"/>
              <w:rPr>
                <w:sz w:val="16"/>
                <w:szCs w:val="16"/>
              </w:rPr>
            </w:pPr>
            <w:r w:rsidRPr="00E05F46">
              <w:rPr>
                <w:noProof/>
                <w:sz w:val="16"/>
                <w:szCs w:val="16"/>
              </w:rPr>
              <mc:AlternateContent>
                <mc:Choice Requires="wps">
                  <w:drawing>
                    <wp:anchor distT="4294967294" distB="4294967294" distL="114300" distR="114300" simplePos="0" relativeHeight="251658752" behindDoc="0" locked="0" layoutInCell="1" allowOverlap="1" wp14:anchorId="4D6E57A1" wp14:editId="7CAE88B9">
                      <wp:simplePos x="0" y="0"/>
                      <wp:positionH relativeFrom="column">
                        <wp:posOffset>755015</wp:posOffset>
                      </wp:positionH>
                      <wp:positionV relativeFrom="paragraph">
                        <wp:posOffset>33654</wp:posOffset>
                      </wp:positionV>
                      <wp:extent cx="2124075" cy="0"/>
                      <wp:effectExtent l="0" t="0" r="9525"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933D1" id="_x0000_t32" coordsize="21600,21600" o:spt="32" o:oned="t" path="m,l21600,21600e" filled="f">
                      <v:path arrowok="t" fillok="f" o:connecttype="none"/>
                      <o:lock v:ext="edit" shapetype="t"/>
                    </v:shapetype>
                    <v:shape id="AutoShape 19" o:spid="_x0000_s1026" type="#_x0000_t32" style="position:absolute;margin-left:59.45pt;margin-top:2.65pt;width:16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9f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y9PMZtM0hrJQ74zukJ/mqnxX9bpFUZUtkw0P021lDcuIzoncp/mI1VNkPXxSDGAIF&#10;wrBOtek9JIwBncJOzred8JNDFD6mSZrFDz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"/>
                  </w:pict>
                </mc:Fallback>
              </mc:AlternateContent>
            </w:r>
          </w:p>
          <w:p w14:paraId="7450462C" w14:textId="6A765532" w:rsidR="007E25FD" w:rsidRPr="00E05F46" w:rsidRDefault="007E25FD" w:rsidP="007655EE">
            <w:pPr>
              <w:spacing w:before="120"/>
              <w:jc w:val="center"/>
            </w:pPr>
            <w:r w:rsidRPr="00E05F46">
              <w:rPr>
                <w:i/>
                <w:iCs/>
              </w:rPr>
              <w:t xml:space="preserve">        Hà Tĩnh, ngày       tháng </w:t>
            </w:r>
            <w:r w:rsidR="00AB40F2" w:rsidRPr="00E05F46">
              <w:rPr>
                <w:i/>
                <w:iCs/>
              </w:rPr>
              <w:t xml:space="preserve">   </w:t>
            </w:r>
            <w:r w:rsidRPr="00E05F46">
              <w:rPr>
                <w:i/>
                <w:iCs/>
              </w:rPr>
              <w:t xml:space="preserve"> năm 202</w:t>
            </w:r>
            <w:r w:rsidR="00711FEE" w:rsidRPr="00E05F46">
              <w:rPr>
                <w:i/>
                <w:iCs/>
              </w:rPr>
              <w:t>5</w:t>
            </w:r>
          </w:p>
        </w:tc>
      </w:tr>
    </w:tbl>
    <w:p w14:paraId="44604A81" w14:textId="2E0E44F4" w:rsidR="007E25FD" w:rsidRPr="00E05F46" w:rsidRDefault="007E25FD" w:rsidP="002E5078">
      <w:pPr>
        <w:jc w:val="center"/>
        <w:rPr>
          <w:b/>
          <w:bCs/>
          <w:sz w:val="32"/>
          <w:szCs w:val="30"/>
        </w:rPr>
      </w:pPr>
    </w:p>
    <w:p w14:paraId="03CD7A72" w14:textId="07848D6F" w:rsidR="002E5078" w:rsidRPr="00E05F46" w:rsidRDefault="002879DA" w:rsidP="002879DA">
      <w:pPr>
        <w:spacing w:after="60"/>
        <w:jc w:val="center"/>
        <w:rPr>
          <w:b/>
          <w:bCs/>
        </w:rPr>
      </w:pPr>
      <w:r w:rsidRPr="00E05F46">
        <w:rPr>
          <w:b/>
          <w:bCs/>
        </w:rPr>
        <w:t>BÁO CÁO</w:t>
      </w:r>
    </w:p>
    <w:p w14:paraId="7CDF16C4" w14:textId="10356DBC" w:rsidR="002E5078" w:rsidRPr="00E05F46" w:rsidRDefault="00AB40F2" w:rsidP="002879DA">
      <w:pPr>
        <w:spacing w:after="60" w:line="320" w:lineRule="exact"/>
        <w:jc w:val="center"/>
        <w:rPr>
          <w:b/>
          <w:spacing w:val="-4"/>
        </w:rPr>
      </w:pPr>
      <w:r w:rsidRPr="00E05F46">
        <w:rPr>
          <w:noProof/>
        </w:rPr>
        <mc:AlternateContent>
          <mc:Choice Requires="wps">
            <w:drawing>
              <wp:anchor distT="4294967293" distB="4294967293" distL="114300" distR="114300" simplePos="0" relativeHeight="251655680" behindDoc="0" locked="0" layoutInCell="1" allowOverlap="1" wp14:anchorId="2C47B25A" wp14:editId="6320F0E3">
                <wp:simplePos x="0" y="0"/>
                <wp:positionH relativeFrom="column">
                  <wp:posOffset>2073275</wp:posOffset>
                </wp:positionH>
                <wp:positionV relativeFrom="paragraph">
                  <wp:posOffset>233680</wp:posOffset>
                </wp:positionV>
                <wp:extent cx="1841500" cy="0"/>
                <wp:effectExtent l="0" t="0" r="2540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3BC9" id="Line 6"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25pt,18.4pt" to="308.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"/>
            </w:pict>
          </mc:Fallback>
        </mc:AlternateContent>
      </w:r>
      <w:r w:rsidR="002E5078" w:rsidRPr="00E05F46">
        <w:rPr>
          <w:b/>
          <w:spacing w:val="-4"/>
        </w:rPr>
        <w:t>TỔNG QUYẾT TO</w:t>
      </w:r>
      <w:r w:rsidR="002B36CD" w:rsidRPr="00E05F46">
        <w:rPr>
          <w:b/>
          <w:spacing w:val="-4"/>
        </w:rPr>
        <w:t>ÁN NGÂN SÁCH ĐỊA PHƯƠNG NĂM 20</w:t>
      </w:r>
      <w:r w:rsidR="00A74893" w:rsidRPr="00E05F46">
        <w:rPr>
          <w:b/>
          <w:spacing w:val="-4"/>
        </w:rPr>
        <w:t>2</w:t>
      </w:r>
      <w:r w:rsidR="0020655C" w:rsidRPr="00E05F46">
        <w:rPr>
          <w:b/>
          <w:spacing w:val="-4"/>
        </w:rPr>
        <w:t>4</w:t>
      </w:r>
    </w:p>
    <w:p w14:paraId="6AD63DFA" w14:textId="14515BA4" w:rsidR="002E5078" w:rsidRPr="00E05F46" w:rsidRDefault="002E5078" w:rsidP="002E5078">
      <w:pPr>
        <w:jc w:val="center"/>
      </w:pPr>
    </w:p>
    <w:p w14:paraId="099A2952" w14:textId="77777777" w:rsidR="00AB40F2" w:rsidRPr="00E05F46" w:rsidRDefault="00AB40F2" w:rsidP="002E5078">
      <w:pPr>
        <w:jc w:val="center"/>
      </w:pPr>
    </w:p>
    <w:p w14:paraId="5B6032FE" w14:textId="2E73E8FD" w:rsidR="00753D4A" w:rsidRPr="00E05F46" w:rsidRDefault="00753D4A" w:rsidP="00AB40F2">
      <w:pPr>
        <w:spacing w:before="60" w:after="60"/>
        <w:ind w:firstLine="720"/>
        <w:jc w:val="both"/>
      </w:pPr>
      <w:r w:rsidRPr="00E05F46">
        <w:t>Triển khai nhiệm vụ phát triển kinh tế - xã hội năm 2024</w:t>
      </w:r>
      <w:r w:rsidR="00DB110F" w:rsidRPr="00E05F46">
        <w:t xml:space="preserve"> trong</w:t>
      </w:r>
      <w:r w:rsidRPr="00E05F46">
        <w:t xml:space="preserve"> bối cảnh còn nhiều khó khăn, thách thức. Tình hình thế giới tiếp tục diễn biến phức tạp, khó lường; cạnh tranh chiến lược gay gắt; xung đột leo thang; các chuỗi cung ứng toàn cầu đứt gãy cục bộ; kinh tế, thương mại phục hồi chậm, thiếu vững chắc. Trong nước, nền kinh tế duy trì xu hướng phục hồi ngày càng rõ nét hơn nhưng còn nhiều khó khăn, thách thức; vừa phải ứng phó linh hoạt trước những biến động bên ngoài; vừa phải khắc phục những hạn chế, bất cập nội tại kéo dài nhiều năm và phải dành nhiều thời gian, nguồn lực giải quyết những vấn đề đột xuất, phát sinh; thiên tai gây hậu quả nặng nề. </w:t>
      </w:r>
    </w:p>
    <w:p w14:paraId="42E6C4A7" w14:textId="7F4D8124" w:rsidR="00753D4A" w:rsidRPr="00A6593A" w:rsidRDefault="00753D4A" w:rsidP="00AB40F2">
      <w:pPr>
        <w:spacing w:before="60" w:after="60"/>
        <w:ind w:firstLine="720"/>
        <w:jc w:val="both"/>
        <w:rPr>
          <w:rStyle w:val="fontstyle01"/>
          <w:color w:val="auto"/>
        </w:rPr>
      </w:pPr>
      <w:r w:rsidRPr="00E05F46">
        <w:t>Trong bối cảnh đó, Ban Chấp hành, Ban Thường vụ, Thường trực Tỉnh ủy tiếp tục đổi mới phương thức lãnh đạo điều hành, bổ sung những công việc trọng tâm phù hợp thực tiễn tình hình, sơ kết đánh giá 3 năm thực hiện các Nghị quyết chuyên đề của Ban Thường vụ, Ban Chấp hành Đảng bộ tỉnh về phát triển kinh tế - xã hội, chỉ đạo chuẩn bị đại hội đảng bộ các cấp nhiệm kỳ 2025-2030; Hội đồng nhân dân tỉnh ban hành các cơ chế, chính sách thúc đẩy phát triển kinh tế - xã hội; Ủy ban nhân dân tỉnh đổi mới công tác chỉ đạo, điều hành, nâng cao hiệu lực, hiệu quả quản lý nhà nước; phối hợp chặt chẽ với Ủy ban Mặt trận Tổ quốc và các tổ chức đoàn thể chính trị - xã hội; tranh thủ tối đa chỉ đạo, hỗ trợ của Trung ương; tiếp tục thực hiện các nhiệm vụ, giải pháp trọng tâm phục hồi kinh tế, triển khai Quy hoạch tỉnh, sắp xếp đơn vị hành chính, đẩy nhanh tiến độ giải ngân đầu tư công và triển khai các dự án trọng điểm, triển khai tốt các nhiệm vụ văn hóa xã hội, chăm sóc an sinh xã hội, bảo đảm quốc phòng an ninh, triển khai tích cực các hoạt động đối ngoại.</w:t>
      </w:r>
    </w:p>
    <w:p w14:paraId="2C9C7345" w14:textId="5BC4BAE7" w:rsidR="003420E4" w:rsidRPr="00E05F46" w:rsidRDefault="007655EE" w:rsidP="00AB40F2">
      <w:pPr>
        <w:spacing w:before="60" w:after="60"/>
        <w:ind w:firstLine="720"/>
        <w:jc w:val="both"/>
        <w:rPr>
          <w:lang w:val="es-NI"/>
        </w:rPr>
      </w:pPr>
      <w:r w:rsidRPr="00E05F46">
        <w:rPr>
          <w:lang w:val="es-NI"/>
        </w:rPr>
        <w:t xml:space="preserve">Đối với công tác thu, chi ngân sách nhà nước, </w:t>
      </w:r>
      <w:r w:rsidR="003420E4" w:rsidRPr="00E05F46">
        <w:rPr>
          <w:lang w:val="es-NI"/>
        </w:rPr>
        <w:t>dưới sự lãnh đạo, chỉ đạo của Tỉnh ủy, Hội đồng Nhân dân, Ủy ban nhân dân tỉnh và việc triển khai quyết liệt của các ngành, cấp ủy, chính quyền địa phương, toàn tỉnh đã thực hiện các giải pháp điều hành và thực hiện dự toán thu, chi ngân sách năm 202</w:t>
      </w:r>
      <w:r w:rsidR="008A4E0B" w:rsidRPr="00E05F46">
        <w:rPr>
          <w:lang w:val="es-NI"/>
        </w:rPr>
        <w:t>4</w:t>
      </w:r>
      <w:r w:rsidR="003420E4" w:rsidRPr="00E05F46">
        <w:rPr>
          <w:lang w:val="es-NI"/>
        </w:rPr>
        <w:t xml:space="preserve"> </w:t>
      </w:r>
      <w:r w:rsidR="00BF6461" w:rsidRPr="00E05F46">
        <w:rPr>
          <w:lang w:val="es-NI"/>
        </w:rPr>
        <w:t>kịp thời, linh hoạt, hiệu quả.</w:t>
      </w:r>
    </w:p>
    <w:p w14:paraId="06832397" w14:textId="41C02CA5" w:rsidR="002E5078" w:rsidRPr="00E05F46" w:rsidRDefault="002E5078" w:rsidP="00AB40F2">
      <w:pPr>
        <w:spacing w:before="60" w:after="60"/>
        <w:ind w:firstLine="720"/>
        <w:jc w:val="both"/>
        <w:rPr>
          <w:lang w:val="es-NI"/>
        </w:rPr>
      </w:pPr>
      <w:r w:rsidRPr="00E05F46">
        <w:rPr>
          <w:lang w:val="es-NI"/>
        </w:rPr>
        <w:t xml:space="preserve">Tại Kỳ họp thứ </w:t>
      </w:r>
      <w:r w:rsidR="008A4E0B" w:rsidRPr="00E05F46">
        <w:rPr>
          <w:lang w:val="es-NI"/>
        </w:rPr>
        <w:t>23</w:t>
      </w:r>
      <w:r w:rsidRPr="00E05F46">
        <w:rPr>
          <w:lang w:val="vi-VN"/>
        </w:rPr>
        <w:t>, H</w:t>
      </w:r>
      <w:r w:rsidR="00766CF7" w:rsidRPr="00E05F46">
        <w:rPr>
          <w:lang w:val="es-NI"/>
        </w:rPr>
        <w:t>ội đồng nhân dân tỉnh khoá XV</w:t>
      </w:r>
      <w:r w:rsidR="00790EBD" w:rsidRPr="00E05F46">
        <w:rPr>
          <w:lang w:val="es-NI"/>
        </w:rPr>
        <w:t>I</w:t>
      </w:r>
      <w:r w:rsidR="00766CF7" w:rsidRPr="00E05F46">
        <w:rPr>
          <w:lang w:val="es-NI"/>
        </w:rPr>
        <w:t>II, Uỷ ban n</w:t>
      </w:r>
      <w:r w:rsidRPr="00E05F46">
        <w:rPr>
          <w:lang w:val="es-NI"/>
        </w:rPr>
        <w:t>hân dân tỉnh đã có báo cáo đánh giá tình hình thực hiện dự t</w:t>
      </w:r>
      <w:r w:rsidR="00A92DD0" w:rsidRPr="00E05F46">
        <w:rPr>
          <w:lang w:val="es-NI"/>
        </w:rPr>
        <w:t>oán thu - chi ngân sách</w:t>
      </w:r>
      <w:r w:rsidR="002B36CD" w:rsidRPr="00E05F46">
        <w:rPr>
          <w:lang w:val="es-NI"/>
        </w:rPr>
        <w:t xml:space="preserve"> năm 20</w:t>
      </w:r>
      <w:r w:rsidR="00461CF2" w:rsidRPr="00E05F46">
        <w:rPr>
          <w:lang w:val="es-NI"/>
        </w:rPr>
        <w:t>2</w:t>
      </w:r>
      <w:r w:rsidR="008A4E0B" w:rsidRPr="00E05F46">
        <w:rPr>
          <w:lang w:val="es-NI"/>
        </w:rPr>
        <w:t>4</w:t>
      </w:r>
      <w:r w:rsidRPr="00E05F46">
        <w:rPr>
          <w:lang w:val="es-NI"/>
        </w:rPr>
        <w:t>. Sau thời gian chỉnh lý quyết toán th</w:t>
      </w:r>
      <w:r w:rsidR="00947A2E" w:rsidRPr="00E05F46">
        <w:rPr>
          <w:lang w:val="es-NI"/>
        </w:rPr>
        <w:t>eo quy định của Luật Ngân sách n</w:t>
      </w:r>
      <w:r w:rsidRPr="00E05F46">
        <w:rPr>
          <w:lang w:val="es-NI"/>
        </w:rPr>
        <w:t xml:space="preserve">hà </w:t>
      </w:r>
      <w:r w:rsidRPr="00E05F46">
        <w:rPr>
          <w:lang w:val="es-NI"/>
        </w:rPr>
        <w:lastRenderedPageBreak/>
        <w:t xml:space="preserve">nước, </w:t>
      </w:r>
      <w:r w:rsidR="003420E4" w:rsidRPr="00E05F46">
        <w:rPr>
          <w:lang w:val="es-NI"/>
        </w:rPr>
        <w:t>kết quả thẩm tra quyết toán của cơ quan tài chính các cấp</w:t>
      </w:r>
      <w:r w:rsidR="008A4E0B" w:rsidRPr="00E05F46">
        <w:rPr>
          <w:rStyle w:val="FootnoteReference"/>
          <w:lang w:val="es-NI"/>
        </w:rPr>
        <w:footnoteReference w:id="1"/>
      </w:r>
      <w:r w:rsidR="008252EE" w:rsidRPr="00E05F46">
        <w:rPr>
          <w:lang w:val="es-NI"/>
        </w:rPr>
        <w:t xml:space="preserve">, </w:t>
      </w:r>
      <w:r w:rsidR="00947A2E" w:rsidRPr="00E05F46">
        <w:rPr>
          <w:lang w:val="es-NI"/>
        </w:rPr>
        <w:t>Ủy ban n</w:t>
      </w:r>
      <w:r w:rsidRPr="00E05F46">
        <w:rPr>
          <w:lang w:val="es-NI"/>
        </w:rPr>
        <w:t>hân dân tỉ</w:t>
      </w:r>
      <w:r w:rsidR="00947A2E" w:rsidRPr="00E05F46">
        <w:rPr>
          <w:lang w:val="es-NI"/>
        </w:rPr>
        <w:t xml:space="preserve">nh </w:t>
      </w:r>
      <w:r w:rsidRPr="00E05F46">
        <w:rPr>
          <w:lang w:val="es-NI"/>
        </w:rPr>
        <w:t>báo cáo tổng quyết to</w:t>
      </w:r>
      <w:r w:rsidR="002B36CD" w:rsidRPr="00E05F46">
        <w:rPr>
          <w:lang w:val="es-NI"/>
        </w:rPr>
        <w:t>án ngân sách địa phương năm 20</w:t>
      </w:r>
      <w:r w:rsidR="00461CF2" w:rsidRPr="00E05F46">
        <w:rPr>
          <w:lang w:val="es-NI"/>
        </w:rPr>
        <w:t>2</w:t>
      </w:r>
      <w:r w:rsidR="000B00D3" w:rsidRPr="00E05F46">
        <w:rPr>
          <w:lang w:val="es-NI"/>
        </w:rPr>
        <w:t>4</w:t>
      </w:r>
      <w:r w:rsidR="003420E4" w:rsidRPr="00E05F46">
        <w:rPr>
          <w:lang w:val="es-NI"/>
        </w:rPr>
        <w:t xml:space="preserve"> như sau:</w:t>
      </w:r>
    </w:p>
    <w:p w14:paraId="59F12681" w14:textId="77777777" w:rsidR="000B00D3" w:rsidRPr="00E05F46" w:rsidRDefault="000B00D3" w:rsidP="00AB40F2">
      <w:pPr>
        <w:spacing w:before="60" w:after="60"/>
        <w:jc w:val="center"/>
        <w:rPr>
          <w:b/>
          <w:bCs/>
          <w:sz w:val="10"/>
          <w:szCs w:val="10"/>
          <w:lang w:val="es-NI"/>
        </w:rPr>
      </w:pPr>
    </w:p>
    <w:p w14:paraId="6FF8FA2C" w14:textId="489D69D0" w:rsidR="002E5078" w:rsidRPr="00E05F46" w:rsidRDefault="00BF6461" w:rsidP="00E34C7E">
      <w:pPr>
        <w:spacing w:after="60"/>
        <w:jc w:val="center"/>
        <w:rPr>
          <w:b/>
          <w:bCs/>
          <w:lang w:val="es-NI"/>
        </w:rPr>
      </w:pPr>
      <w:r w:rsidRPr="00E05F46">
        <w:rPr>
          <w:b/>
          <w:bCs/>
          <w:lang w:val="es-NI"/>
        </w:rPr>
        <w:t>PHẦN THỨ NHẤT</w:t>
      </w:r>
    </w:p>
    <w:p w14:paraId="3DA24B2B" w14:textId="22BA4A9E" w:rsidR="002E5078" w:rsidRPr="00E05F46" w:rsidRDefault="002E5078" w:rsidP="00AB40F2">
      <w:pPr>
        <w:spacing w:before="60" w:after="60"/>
        <w:jc w:val="center"/>
        <w:rPr>
          <w:b/>
          <w:bCs/>
          <w:sz w:val="26"/>
          <w:lang w:val="es-NI"/>
        </w:rPr>
      </w:pPr>
      <w:r w:rsidRPr="00E05F46">
        <w:rPr>
          <w:b/>
          <w:bCs/>
          <w:sz w:val="26"/>
          <w:lang w:val="es-NI"/>
        </w:rPr>
        <w:t>KẾT</w:t>
      </w:r>
      <w:r w:rsidR="002B36CD" w:rsidRPr="00E05F46">
        <w:rPr>
          <w:b/>
          <w:bCs/>
          <w:sz w:val="26"/>
          <w:lang w:val="es-NI"/>
        </w:rPr>
        <w:t xml:space="preserve"> QUẢ THU, CHI NGÂN SÁCH NĂM 20</w:t>
      </w:r>
      <w:r w:rsidR="00461CF2" w:rsidRPr="00E05F46">
        <w:rPr>
          <w:b/>
          <w:bCs/>
          <w:sz w:val="26"/>
          <w:lang w:val="es-NI"/>
        </w:rPr>
        <w:t>2</w:t>
      </w:r>
      <w:r w:rsidR="00B14C69" w:rsidRPr="00E05F46">
        <w:rPr>
          <w:b/>
          <w:bCs/>
          <w:sz w:val="26"/>
          <w:lang w:val="es-NI"/>
        </w:rPr>
        <w:t>4</w:t>
      </w:r>
    </w:p>
    <w:p w14:paraId="162A7ABA" w14:textId="0EC7DCE3" w:rsidR="002E5078" w:rsidRPr="00E05F46" w:rsidRDefault="002E5078" w:rsidP="00AB40F2">
      <w:pPr>
        <w:spacing w:before="60" w:after="60"/>
        <w:ind w:firstLine="720"/>
        <w:rPr>
          <w:b/>
          <w:bCs/>
        </w:rPr>
      </w:pPr>
      <w:r w:rsidRPr="00E05F46">
        <w:rPr>
          <w:b/>
          <w:bCs/>
        </w:rPr>
        <w:t>I. Thu ngân sách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9"/>
        <w:gridCol w:w="1826"/>
        <w:gridCol w:w="1549"/>
      </w:tblGrid>
      <w:tr w:rsidR="00E05F46" w:rsidRPr="00E05F46" w14:paraId="034DA11E" w14:textId="77777777" w:rsidTr="00AC6D4F">
        <w:tc>
          <w:tcPr>
            <w:tcW w:w="5920" w:type="dxa"/>
          </w:tcPr>
          <w:p w14:paraId="7CB908CF" w14:textId="4CAE9BB1" w:rsidR="006762CD" w:rsidRPr="00E05F46" w:rsidRDefault="006762CD" w:rsidP="00AB40F2">
            <w:pPr>
              <w:spacing w:before="60" w:after="60"/>
              <w:jc w:val="both"/>
              <w:rPr>
                <w:bCs/>
              </w:rPr>
            </w:pPr>
            <w:r w:rsidRPr="00E05F46">
              <w:rPr>
                <w:bCs/>
              </w:rPr>
              <w:t>1. Thu NSNN trên địa bàn:</w:t>
            </w:r>
          </w:p>
        </w:tc>
        <w:tc>
          <w:tcPr>
            <w:tcW w:w="1843" w:type="dxa"/>
          </w:tcPr>
          <w:p w14:paraId="6193EB01" w14:textId="779D2F4C" w:rsidR="006762CD" w:rsidRPr="00E05F46" w:rsidRDefault="005C1DE3" w:rsidP="00AB40F2">
            <w:pPr>
              <w:spacing w:before="60" w:after="60"/>
              <w:jc w:val="right"/>
              <w:rPr>
                <w:bCs/>
              </w:rPr>
            </w:pPr>
            <w:r w:rsidRPr="00E05F46">
              <w:rPr>
                <w:bCs/>
              </w:rPr>
              <w:t>18.10</w:t>
            </w:r>
            <w:r w:rsidR="00F05BB2" w:rsidRPr="00E05F46">
              <w:rPr>
                <w:bCs/>
              </w:rPr>
              <w:t>5</w:t>
            </w:r>
            <w:r w:rsidRPr="00E05F46">
              <w:rPr>
                <w:bCs/>
              </w:rPr>
              <w:t>.</w:t>
            </w:r>
            <w:r w:rsidR="00F05BB2" w:rsidRPr="00E05F46">
              <w:rPr>
                <w:bCs/>
              </w:rPr>
              <w:t>98</w:t>
            </w:r>
            <w:r w:rsidRPr="00E05F46">
              <w:rPr>
                <w:bCs/>
              </w:rPr>
              <w:t>2</w:t>
            </w:r>
          </w:p>
        </w:tc>
        <w:tc>
          <w:tcPr>
            <w:tcW w:w="1584" w:type="dxa"/>
          </w:tcPr>
          <w:p w14:paraId="02AB5E4F" w14:textId="2B6D3CC1" w:rsidR="006762CD" w:rsidRPr="00E05F46" w:rsidRDefault="006762CD" w:rsidP="00AB40F2">
            <w:pPr>
              <w:spacing w:before="60" w:after="60"/>
              <w:rPr>
                <w:bCs/>
              </w:rPr>
            </w:pPr>
            <w:r w:rsidRPr="00E05F46">
              <w:rPr>
                <w:bCs/>
                <w:iCs/>
              </w:rPr>
              <w:t>triệu đồng</w:t>
            </w:r>
          </w:p>
        </w:tc>
      </w:tr>
      <w:tr w:rsidR="00E05F46" w:rsidRPr="00E05F46" w14:paraId="5E9B09EE" w14:textId="77777777" w:rsidTr="00AC6D4F">
        <w:tc>
          <w:tcPr>
            <w:tcW w:w="5920" w:type="dxa"/>
          </w:tcPr>
          <w:p w14:paraId="5BF6F14C" w14:textId="0C446539" w:rsidR="006762CD" w:rsidRPr="00E05F46" w:rsidRDefault="006762CD" w:rsidP="00AB40F2">
            <w:pPr>
              <w:spacing w:before="60" w:after="60"/>
              <w:jc w:val="both"/>
              <w:rPr>
                <w:bCs/>
              </w:rPr>
            </w:pPr>
            <w:r w:rsidRPr="00E05F46">
              <w:rPr>
                <w:bCs/>
                <w:iCs/>
              </w:rPr>
              <w:t>1.1. Thu nội địa:</w:t>
            </w:r>
          </w:p>
        </w:tc>
        <w:tc>
          <w:tcPr>
            <w:tcW w:w="1843" w:type="dxa"/>
          </w:tcPr>
          <w:p w14:paraId="2B93C521" w14:textId="585AF639" w:rsidR="006762CD" w:rsidRPr="00E05F46" w:rsidRDefault="005C1DE3" w:rsidP="00AB40F2">
            <w:pPr>
              <w:spacing w:before="60" w:after="60"/>
              <w:jc w:val="right"/>
              <w:rPr>
                <w:bCs/>
              </w:rPr>
            </w:pPr>
            <w:r w:rsidRPr="00E05F46">
              <w:rPr>
                <w:bCs/>
              </w:rPr>
              <w:t>10.26</w:t>
            </w:r>
            <w:r w:rsidR="00F05BB2" w:rsidRPr="00E05F46">
              <w:rPr>
                <w:bCs/>
              </w:rPr>
              <w:t>8</w:t>
            </w:r>
            <w:r w:rsidRPr="00E05F46">
              <w:rPr>
                <w:bCs/>
              </w:rPr>
              <w:t>.</w:t>
            </w:r>
            <w:r w:rsidR="00F05BB2" w:rsidRPr="00E05F46">
              <w:rPr>
                <w:bCs/>
              </w:rPr>
              <w:t>750</w:t>
            </w:r>
          </w:p>
        </w:tc>
        <w:tc>
          <w:tcPr>
            <w:tcW w:w="1584" w:type="dxa"/>
          </w:tcPr>
          <w:p w14:paraId="5EFE58A1" w14:textId="03503B80" w:rsidR="006762CD" w:rsidRPr="00E05F46" w:rsidRDefault="006762CD" w:rsidP="00AB40F2">
            <w:pPr>
              <w:spacing w:before="60" w:after="60"/>
              <w:rPr>
                <w:bCs/>
                <w:iCs/>
              </w:rPr>
            </w:pPr>
            <w:r w:rsidRPr="00E05F46">
              <w:rPr>
                <w:bCs/>
                <w:iCs/>
              </w:rPr>
              <w:t>triệu đồng</w:t>
            </w:r>
          </w:p>
        </w:tc>
      </w:tr>
      <w:tr w:rsidR="00E05F46" w:rsidRPr="00E05F46" w14:paraId="51F9C6C2" w14:textId="77777777" w:rsidTr="00AC6D4F">
        <w:tc>
          <w:tcPr>
            <w:tcW w:w="5920" w:type="dxa"/>
          </w:tcPr>
          <w:p w14:paraId="084689CD" w14:textId="3FB82031" w:rsidR="006762CD" w:rsidRPr="00E05F46" w:rsidRDefault="006762CD" w:rsidP="00AB40F2">
            <w:pPr>
              <w:spacing w:before="60" w:after="60"/>
              <w:jc w:val="both"/>
              <w:rPr>
                <w:bCs/>
                <w:i/>
                <w:iCs/>
              </w:rPr>
            </w:pPr>
            <w:r w:rsidRPr="00E05F46">
              <w:rPr>
                <w:i/>
                <w:iCs/>
              </w:rPr>
              <w:t>Trong đó: - NSTW hưởng:</w:t>
            </w:r>
          </w:p>
        </w:tc>
        <w:tc>
          <w:tcPr>
            <w:tcW w:w="1843" w:type="dxa"/>
          </w:tcPr>
          <w:p w14:paraId="15212B68" w14:textId="589EF9A7" w:rsidR="006762CD" w:rsidRPr="00E05F46" w:rsidRDefault="005C1DE3" w:rsidP="00AB40F2">
            <w:pPr>
              <w:spacing w:before="60" w:after="60"/>
              <w:jc w:val="right"/>
              <w:rPr>
                <w:bCs/>
                <w:i/>
              </w:rPr>
            </w:pPr>
            <w:r w:rsidRPr="00E05F46">
              <w:rPr>
                <w:bCs/>
                <w:i/>
              </w:rPr>
              <w:t>844.349</w:t>
            </w:r>
          </w:p>
        </w:tc>
        <w:tc>
          <w:tcPr>
            <w:tcW w:w="1584" w:type="dxa"/>
          </w:tcPr>
          <w:p w14:paraId="348AF585" w14:textId="38074EF4" w:rsidR="006762CD" w:rsidRPr="00E05F46" w:rsidRDefault="006762CD" w:rsidP="00AB40F2">
            <w:pPr>
              <w:spacing w:before="60" w:after="60"/>
              <w:rPr>
                <w:bCs/>
                <w:i/>
                <w:iCs/>
              </w:rPr>
            </w:pPr>
            <w:r w:rsidRPr="00E05F46">
              <w:rPr>
                <w:bCs/>
                <w:i/>
                <w:iCs/>
              </w:rPr>
              <w:t>triệu đồng</w:t>
            </w:r>
          </w:p>
        </w:tc>
      </w:tr>
      <w:tr w:rsidR="00E05F46" w:rsidRPr="00E05F46" w14:paraId="618D6A4E" w14:textId="77777777" w:rsidTr="00AC6D4F">
        <w:tc>
          <w:tcPr>
            <w:tcW w:w="5920" w:type="dxa"/>
          </w:tcPr>
          <w:p w14:paraId="0904F161" w14:textId="19EA839B" w:rsidR="006762CD" w:rsidRPr="00E05F46" w:rsidRDefault="006762CD" w:rsidP="00AB40F2">
            <w:pPr>
              <w:spacing w:before="60" w:after="60"/>
              <w:jc w:val="both"/>
              <w:rPr>
                <w:bCs/>
                <w:i/>
                <w:iCs/>
              </w:rPr>
            </w:pPr>
            <w:r w:rsidRPr="00E05F46">
              <w:rPr>
                <w:i/>
                <w:iCs/>
              </w:rPr>
              <w:t xml:space="preserve">                 - NSĐP hưởng:</w:t>
            </w:r>
          </w:p>
        </w:tc>
        <w:tc>
          <w:tcPr>
            <w:tcW w:w="1843" w:type="dxa"/>
          </w:tcPr>
          <w:p w14:paraId="1DACC885" w14:textId="19E2E5C9" w:rsidR="006762CD" w:rsidRPr="00E05F46" w:rsidRDefault="00F05BB2" w:rsidP="00AB40F2">
            <w:pPr>
              <w:spacing w:before="60" w:after="60"/>
              <w:jc w:val="right"/>
              <w:rPr>
                <w:bCs/>
                <w:i/>
              </w:rPr>
            </w:pPr>
            <w:r w:rsidRPr="00E05F46">
              <w:rPr>
                <w:bCs/>
                <w:i/>
              </w:rPr>
              <w:t>9.424.401</w:t>
            </w:r>
          </w:p>
        </w:tc>
        <w:tc>
          <w:tcPr>
            <w:tcW w:w="1584" w:type="dxa"/>
          </w:tcPr>
          <w:p w14:paraId="0895453A" w14:textId="0B6CBBFD" w:rsidR="006762CD" w:rsidRPr="00E05F46" w:rsidRDefault="006762CD" w:rsidP="00AB40F2">
            <w:pPr>
              <w:spacing w:before="60" w:after="60"/>
              <w:rPr>
                <w:bCs/>
                <w:i/>
                <w:iCs/>
              </w:rPr>
            </w:pPr>
            <w:r w:rsidRPr="00E05F46">
              <w:rPr>
                <w:bCs/>
                <w:i/>
                <w:iCs/>
              </w:rPr>
              <w:t>triệu đồng</w:t>
            </w:r>
          </w:p>
        </w:tc>
      </w:tr>
      <w:tr w:rsidR="00E05F46" w:rsidRPr="00E05F46" w14:paraId="4E44FFB8" w14:textId="77777777" w:rsidTr="00AC6D4F">
        <w:tc>
          <w:tcPr>
            <w:tcW w:w="5920" w:type="dxa"/>
          </w:tcPr>
          <w:p w14:paraId="414BA078" w14:textId="61E0A6E7" w:rsidR="006762CD" w:rsidRPr="00E05F46" w:rsidRDefault="006762CD" w:rsidP="00AB40F2">
            <w:pPr>
              <w:spacing w:before="60" w:after="60"/>
              <w:jc w:val="both"/>
              <w:rPr>
                <w:iCs/>
              </w:rPr>
            </w:pPr>
            <w:r w:rsidRPr="00E05F46">
              <w:rPr>
                <w:bCs/>
                <w:iCs/>
              </w:rPr>
              <w:t>1.2. Thu từ hoạt động xuất, nhập khẩu:</w:t>
            </w:r>
          </w:p>
        </w:tc>
        <w:tc>
          <w:tcPr>
            <w:tcW w:w="1843" w:type="dxa"/>
          </w:tcPr>
          <w:p w14:paraId="0D57E3D4" w14:textId="463391B3" w:rsidR="006762CD" w:rsidRPr="00E05F46" w:rsidRDefault="00140A52" w:rsidP="00AB40F2">
            <w:pPr>
              <w:spacing w:before="60" w:after="60"/>
              <w:jc w:val="right"/>
              <w:rPr>
                <w:bCs/>
              </w:rPr>
            </w:pPr>
            <w:r w:rsidRPr="00E05F46">
              <w:rPr>
                <w:bCs/>
              </w:rPr>
              <w:t>7.706.738</w:t>
            </w:r>
          </w:p>
        </w:tc>
        <w:tc>
          <w:tcPr>
            <w:tcW w:w="1584" w:type="dxa"/>
          </w:tcPr>
          <w:p w14:paraId="7FCBF362" w14:textId="65749F1E" w:rsidR="006762CD" w:rsidRPr="00E05F46" w:rsidRDefault="006762CD" w:rsidP="00AB40F2">
            <w:pPr>
              <w:spacing w:before="60" w:after="60"/>
              <w:rPr>
                <w:bCs/>
                <w:iCs/>
              </w:rPr>
            </w:pPr>
            <w:r w:rsidRPr="00E05F46">
              <w:rPr>
                <w:bCs/>
                <w:iCs/>
              </w:rPr>
              <w:t>triệu đồng</w:t>
            </w:r>
          </w:p>
        </w:tc>
      </w:tr>
      <w:tr w:rsidR="00E05F46" w:rsidRPr="00E05F46" w14:paraId="28A05368" w14:textId="77777777" w:rsidTr="00AC6D4F">
        <w:tc>
          <w:tcPr>
            <w:tcW w:w="5920" w:type="dxa"/>
          </w:tcPr>
          <w:p w14:paraId="071AA0CC" w14:textId="645D2AC7" w:rsidR="006762CD" w:rsidRPr="00E05F46" w:rsidRDefault="006762CD" w:rsidP="00AB40F2">
            <w:pPr>
              <w:spacing w:before="60" w:after="60"/>
              <w:jc w:val="both"/>
              <w:rPr>
                <w:i/>
                <w:iCs/>
              </w:rPr>
            </w:pPr>
            <w:r w:rsidRPr="00E05F46">
              <w:rPr>
                <w:i/>
                <w:iCs/>
              </w:rPr>
              <w:t>Trong đó: - NSTW hưởng:</w:t>
            </w:r>
          </w:p>
        </w:tc>
        <w:tc>
          <w:tcPr>
            <w:tcW w:w="1843" w:type="dxa"/>
          </w:tcPr>
          <w:p w14:paraId="23977792" w14:textId="3330E3EC" w:rsidR="006762CD" w:rsidRPr="00E05F46" w:rsidRDefault="00140A52" w:rsidP="00AB40F2">
            <w:pPr>
              <w:spacing w:before="60" w:after="60"/>
              <w:jc w:val="right"/>
              <w:rPr>
                <w:bCs/>
                <w:i/>
              </w:rPr>
            </w:pPr>
            <w:r w:rsidRPr="00E05F46">
              <w:rPr>
                <w:bCs/>
                <w:i/>
              </w:rPr>
              <w:t>7.706.737</w:t>
            </w:r>
          </w:p>
        </w:tc>
        <w:tc>
          <w:tcPr>
            <w:tcW w:w="1584" w:type="dxa"/>
          </w:tcPr>
          <w:p w14:paraId="04D2DE21" w14:textId="4609234E" w:rsidR="006762CD" w:rsidRPr="00E05F46" w:rsidRDefault="006762CD" w:rsidP="00AB40F2">
            <w:pPr>
              <w:spacing w:before="60" w:after="60"/>
              <w:rPr>
                <w:bCs/>
                <w:i/>
                <w:iCs/>
              </w:rPr>
            </w:pPr>
            <w:r w:rsidRPr="00E05F46">
              <w:rPr>
                <w:bCs/>
                <w:i/>
                <w:iCs/>
              </w:rPr>
              <w:t>triệu đồng</w:t>
            </w:r>
          </w:p>
        </w:tc>
      </w:tr>
      <w:tr w:rsidR="00E05F46" w:rsidRPr="00E05F46" w14:paraId="66533301" w14:textId="77777777" w:rsidTr="00AC6D4F">
        <w:tc>
          <w:tcPr>
            <w:tcW w:w="5920" w:type="dxa"/>
          </w:tcPr>
          <w:p w14:paraId="3F0FC5C1" w14:textId="653F0BA7" w:rsidR="006762CD" w:rsidRPr="00E05F46" w:rsidRDefault="006762CD" w:rsidP="00AB40F2">
            <w:pPr>
              <w:spacing w:before="60" w:after="60"/>
              <w:jc w:val="both"/>
              <w:rPr>
                <w:i/>
                <w:iCs/>
              </w:rPr>
            </w:pPr>
            <w:r w:rsidRPr="00E05F46">
              <w:rPr>
                <w:i/>
                <w:iCs/>
              </w:rPr>
              <w:t xml:space="preserve">                 - NSĐP hưởng:</w:t>
            </w:r>
          </w:p>
        </w:tc>
        <w:tc>
          <w:tcPr>
            <w:tcW w:w="1843" w:type="dxa"/>
          </w:tcPr>
          <w:p w14:paraId="5B2248DD" w14:textId="47126E5F" w:rsidR="006762CD" w:rsidRPr="00E05F46" w:rsidRDefault="00140A52" w:rsidP="00AB40F2">
            <w:pPr>
              <w:spacing w:before="60" w:after="60"/>
              <w:jc w:val="right"/>
              <w:rPr>
                <w:bCs/>
                <w:i/>
              </w:rPr>
            </w:pPr>
            <w:r w:rsidRPr="00E05F46">
              <w:rPr>
                <w:bCs/>
                <w:i/>
              </w:rPr>
              <w:t>1</w:t>
            </w:r>
          </w:p>
        </w:tc>
        <w:tc>
          <w:tcPr>
            <w:tcW w:w="1584" w:type="dxa"/>
          </w:tcPr>
          <w:p w14:paraId="4D5238A0" w14:textId="679C4645" w:rsidR="006762CD" w:rsidRPr="00E05F46" w:rsidRDefault="006762CD" w:rsidP="00AB40F2">
            <w:pPr>
              <w:spacing w:before="60" w:after="60"/>
              <w:rPr>
                <w:bCs/>
                <w:i/>
                <w:iCs/>
              </w:rPr>
            </w:pPr>
            <w:r w:rsidRPr="00E05F46">
              <w:rPr>
                <w:bCs/>
                <w:i/>
                <w:iCs/>
              </w:rPr>
              <w:t>triệu đồng</w:t>
            </w:r>
          </w:p>
        </w:tc>
      </w:tr>
      <w:tr w:rsidR="00E05F46" w:rsidRPr="00E05F46" w14:paraId="54D6C6E6" w14:textId="77777777" w:rsidTr="00AC6D4F">
        <w:tc>
          <w:tcPr>
            <w:tcW w:w="5920" w:type="dxa"/>
          </w:tcPr>
          <w:p w14:paraId="765719EA" w14:textId="00362091" w:rsidR="006762CD" w:rsidRPr="00E05F46" w:rsidRDefault="00FE62FD" w:rsidP="00AB40F2">
            <w:pPr>
              <w:spacing w:before="60" w:after="60"/>
              <w:jc w:val="both"/>
              <w:rPr>
                <w:iCs/>
              </w:rPr>
            </w:pPr>
            <w:r w:rsidRPr="00E05F46">
              <w:rPr>
                <w:bCs/>
                <w:iCs/>
              </w:rPr>
              <w:t>1.3</w:t>
            </w:r>
            <w:r w:rsidR="006762CD" w:rsidRPr="00E05F46">
              <w:rPr>
                <w:bCs/>
                <w:iCs/>
              </w:rPr>
              <w:t>. Thu viện trợ:</w:t>
            </w:r>
          </w:p>
        </w:tc>
        <w:tc>
          <w:tcPr>
            <w:tcW w:w="1843" w:type="dxa"/>
          </w:tcPr>
          <w:p w14:paraId="068A302F" w14:textId="7DA79C30" w:rsidR="006762CD" w:rsidRPr="00E05F46" w:rsidRDefault="00B40684" w:rsidP="00AB40F2">
            <w:pPr>
              <w:spacing w:before="60" w:after="60"/>
              <w:jc w:val="right"/>
              <w:rPr>
                <w:bCs/>
              </w:rPr>
            </w:pPr>
            <w:r w:rsidRPr="00E05F46">
              <w:rPr>
                <w:bCs/>
              </w:rPr>
              <w:t>11.947</w:t>
            </w:r>
          </w:p>
        </w:tc>
        <w:tc>
          <w:tcPr>
            <w:tcW w:w="1584" w:type="dxa"/>
          </w:tcPr>
          <w:p w14:paraId="7E671D2A" w14:textId="7140A439" w:rsidR="006762CD" w:rsidRPr="00E05F46" w:rsidRDefault="006762CD" w:rsidP="00AB40F2">
            <w:pPr>
              <w:spacing w:before="60" w:after="60"/>
              <w:rPr>
                <w:bCs/>
                <w:iCs/>
              </w:rPr>
            </w:pPr>
            <w:r w:rsidRPr="00E05F46">
              <w:rPr>
                <w:bCs/>
                <w:iCs/>
              </w:rPr>
              <w:t>triệu đồng</w:t>
            </w:r>
          </w:p>
        </w:tc>
      </w:tr>
      <w:tr w:rsidR="00E05F46" w:rsidRPr="00E05F46" w14:paraId="4F1BD930" w14:textId="77777777" w:rsidTr="00AC6D4F">
        <w:tc>
          <w:tcPr>
            <w:tcW w:w="5920" w:type="dxa"/>
          </w:tcPr>
          <w:p w14:paraId="450D7B82" w14:textId="4AD9D97E" w:rsidR="006762CD" w:rsidRPr="00E05F46" w:rsidRDefault="006762CD" w:rsidP="00AB40F2">
            <w:pPr>
              <w:spacing w:before="60" w:after="60"/>
              <w:jc w:val="both"/>
              <w:rPr>
                <w:bCs/>
                <w:iCs/>
              </w:rPr>
            </w:pPr>
            <w:r w:rsidRPr="00E05F46">
              <w:rPr>
                <w:i/>
                <w:iCs/>
              </w:rPr>
              <w:t>Trong đó: - NSTW hưởng:</w:t>
            </w:r>
          </w:p>
        </w:tc>
        <w:tc>
          <w:tcPr>
            <w:tcW w:w="1843" w:type="dxa"/>
          </w:tcPr>
          <w:p w14:paraId="314802B8" w14:textId="5FF3DF15" w:rsidR="006762CD" w:rsidRPr="00E05F46" w:rsidRDefault="00B40684" w:rsidP="00AB40F2">
            <w:pPr>
              <w:spacing w:before="60" w:after="60"/>
              <w:jc w:val="right"/>
              <w:rPr>
                <w:bCs/>
              </w:rPr>
            </w:pPr>
            <w:r w:rsidRPr="00E05F46">
              <w:rPr>
                <w:bCs/>
              </w:rPr>
              <w:t>11.947</w:t>
            </w:r>
          </w:p>
        </w:tc>
        <w:tc>
          <w:tcPr>
            <w:tcW w:w="1584" w:type="dxa"/>
          </w:tcPr>
          <w:p w14:paraId="329D142D" w14:textId="2F1A8CC6" w:rsidR="006762CD" w:rsidRPr="00E05F46" w:rsidRDefault="006762CD" w:rsidP="00AB40F2">
            <w:pPr>
              <w:spacing w:before="60" w:after="60"/>
              <w:rPr>
                <w:bCs/>
                <w:iCs/>
              </w:rPr>
            </w:pPr>
            <w:r w:rsidRPr="00E05F46">
              <w:rPr>
                <w:bCs/>
                <w:i/>
                <w:iCs/>
              </w:rPr>
              <w:t>triệu đồng</w:t>
            </w:r>
          </w:p>
        </w:tc>
      </w:tr>
      <w:tr w:rsidR="00E05F46" w:rsidRPr="00E05F46" w14:paraId="7375A1CC" w14:textId="77777777" w:rsidTr="00AC6D4F">
        <w:tc>
          <w:tcPr>
            <w:tcW w:w="5920" w:type="dxa"/>
          </w:tcPr>
          <w:p w14:paraId="164CC53E" w14:textId="28975987" w:rsidR="006762CD" w:rsidRPr="00E05F46" w:rsidRDefault="006762CD" w:rsidP="00AB40F2">
            <w:pPr>
              <w:spacing w:before="60" w:after="60"/>
              <w:jc w:val="both"/>
              <w:rPr>
                <w:bCs/>
                <w:iCs/>
              </w:rPr>
            </w:pPr>
            <w:r w:rsidRPr="00E05F46">
              <w:rPr>
                <w:i/>
                <w:iCs/>
              </w:rPr>
              <w:t xml:space="preserve">                 - NSĐP hưởng:</w:t>
            </w:r>
          </w:p>
        </w:tc>
        <w:tc>
          <w:tcPr>
            <w:tcW w:w="1843" w:type="dxa"/>
          </w:tcPr>
          <w:p w14:paraId="1A379A04" w14:textId="74A1031E" w:rsidR="006762CD" w:rsidRPr="00E05F46" w:rsidRDefault="003A47F0" w:rsidP="00AB40F2">
            <w:pPr>
              <w:spacing w:before="60" w:after="60"/>
              <w:jc w:val="right"/>
              <w:rPr>
                <w:bCs/>
              </w:rPr>
            </w:pPr>
            <w:r w:rsidRPr="00E05F46">
              <w:rPr>
                <w:bCs/>
              </w:rPr>
              <w:t>0</w:t>
            </w:r>
          </w:p>
        </w:tc>
        <w:tc>
          <w:tcPr>
            <w:tcW w:w="1584" w:type="dxa"/>
          </w:tcPr>
          <w:p w14:paraId="621C51A9" w14:textId="60984193" w:rsidR="006762CD" w:rsidRPr="00E05F46" w:rsidRDefault="006762CD" w:rsidP="00AB40F2">
            <w:pPr>
              <w:spacing w:before="60" w:after="60"/>
              <w:rPr>
                <w:bCs/>
                <w:iCs/>
              </w:rPr>
            </w:pPr>
            <w:r w:rsidRPr="00E05F46">
              <w:rPr>
                <w:bCs/>
                <w:i/>
                <w:iCs/>
              </w:rPr>
              <w:t>triệu đồng</w:t>
            </w:r>
          </w:p>
        </w:tc>
      </w:tr>
      <w:tr w:rsidR="00E05F46" w:rsidRPr="00E05F46" w14:paraId="78952F28" w14:textId="77777777" w:rsidTr="00AC6D4F">
        <w:tc>
          <w:tcPr>
            <w:tcW w:w="5920" w:type="dxa"/>
          </w:tcPr>
          <w:p w14:paraId="173D16CE" w14:textId="4627189C" w:rsidR="006762CD" w:rsidRPr="00E05F46" w:rsidRDefault="00FE62FD" w:rsidP="00AB40F2">
            <w:pPr>
              <w:spacing w:before="60" w:after="60"/>
              <w:jc w:val="both"/>
              <w:rPr>
                <w:iCs/>
              </w:rPr>
            </w:pPr>
            <w:r w:rsidRPr="00E05F46">
              <w:rPr>
                <w:bCs/>
                <w:iCs/>
              </w:rPr>
              <w:t>1.4</w:t>
            </w:r>
            <w:r w:rsidR="006762CD" w:rsidRPr="00E05F46">
              <w:rPr>
                <w:bCs/>
                <w:iCs/>
              </w:rPr>
              <w:t>. Các khoản huy động, đóng góp:</w:t>
            </w:r>
          </w:p>
        </w:tc>
        <w:tc>
          <w:tcPr>
            <w:tcW w:w="1843" w:type="dxa"/>
          </w:tcPr>
          <w:p w14:paraId="1DA09629" w14:textId="407A1B18" w:rsidR="006762CD" w:rsidRPr="00E05F46" w:rsidRDefault="00B40684" w:rsidP="00AB40F2">
            <w:pPr>
              <w:spacing w:before="60" w:after="60"/>
              <w:jc w:val="right"/>
              <w:rPr>
                <w:bCs/>
              </w:rPr>
            </w:pPr>
            <w:r w:rsidRPr="00E05F46">
              <w:rPr>
                <w:bCs/>
              </w:rPr>
              <w:t>118.547</w:t>
            </w:r>
          </w:p>
        </w:tc>
        <w:tc>
          <w:tcPr>
            <w:tcW w:w="1584" w:type="dxa"/>
          </w:tcPr>
          <w:p w14:paraId="34AD54A6" w14:textId="57E912C5" w:rsidR="006762CD" w:rsidRPr="00E05F46" w:rsidRDefault="006762CD" w:rsidP="00AB40F2">
            <w:pPr>
              <w:spacing w:before="60" w:after="60"/>
              <w:rPr>
                <w:bCs/>
                <w:iCs/>
              </w:rPr>
            </w:pPr>
            <w:r w:rsidRPr="00E05F46">
              <w:rPr>
                <w:bCs/>
                <w:iCs/>
              </w:rPr>
              <w:t>triệu đồng</w:t>
            </w:r>
          </w:p>
        </w:tc>
      </w:tr>
      <w:tr w:rsidR="00E05F46" w:rsidRPr="00E05F46" w14:paraId="10A83431" w14:textId="77777777" w:rsidTr="00AC6D4F">
        <w:tc>
          <w:tcPr>
            <w:tcW w:w="5920" w:type="dxa"/>
          </w:tcPr>
          <w:p w14:paraId="656B2961" w14:textId="31945A29" w:rsidR="006762CD" w:rsidRPr="00E05F46" w:rsidRDefault="00FE62FD" w:rsidP="00AB40F2">
            <w:pPr>
              <w:spacing w:before="60" w:after="60"/>
              <w:jc w:val="both"/>
              <w:rPr>
                <w:iCs/>
              </w:rPr>
            </w:pPr>
            <w:r w:rsidRPr="00E05F46">
              <w:rPr>
                <w:bCs/>
              </w:rPr>
              <w:t>2</w:t>
            </w:r>
            <w:r w:rsidR="006762CD" w:rsidRPr="00E05F46">
              <w:rPr>
                <w:bCs/>
              </w:rPr>
              <w:t>. Thu vay</w:t>
            </w:r>
          </w:p>
        </w:tc>
        <w:tc>
          <w:tcPr>
            <w:tcW w:w="1843" w:type="dxa"/>
          </w:tcPr>
          <w:p w14:paraId="5B1F4F32" w14:textId="754665A1" w:rsidR="006762CD" w:rsidRPr="00E05F46" w:rsidRDefault="00B40684" w:rsidP="00AB40F2">
            <w:pPr>
              <w:spacing w:before="60" w:after="60"/>
              <w:jc w:val="right"/>
              <w:rPr>
                <w:bCs/>
              </w:rPr>
            </w:pPr>
            <w:r w:rsidRPr="00E05F46">
              <w:rPr>
                <w:bCs/>
              </w:rPr>
              <w:t>193.387</w:t>
            </w:r>
          </w:p>
        </w:tc>
        <w:tc>
          <w:tcPr>
            <w:tcW w:w="1584" w:type="dxa"/>
          </w:tcPr>
          <w:p w14:paraId="5B2E0CA6" w14:textId="2381F758" w:rsidR="006762CD" w:rsidRPr="00E05F46" w:rsidRDefault="006762CD" w:rsidP="00AB40F2">
            <w:pPr>
              <w:spacing w:before="60" w:after="60"/>
              <w:rPr>
                <w:bCs/>
                <w:iCs/>
              </w:rPr>
            </w:pPr>
            <w:r w:rsidRPr="00E05F46">
              <w:rPr>
                <w:bCs/>
                <w:iCs/>
              </w:rPr>
              <w:t>triệu đồng</w:t>
            </w:r>
          </w:p>
        </w:tc>
      </w:tr>
      <w:tr w:rsidR="00E05F46" w:rsidRPr="00E05F46" w14:paraId="5BAA5751" w14:textId="77777777" w:rsidTr="00AC6D4F">
        <w:tc>
          <w:tcPr>
            <w:tcW w:w="5920" w:type="dxa"/>
          </w:tcPr>
          <w:p w14:paraId="3F9DA620" w14:textId="594BD506" w:rsidR="006762CD" w:rsidRPr="00E05F46" w:rsidRDefault="00FE62FD" w:rsidP="00AB40F2">
            <w:pPr>
              <w:spacing w:before="60" w:after="60"/>
              <w:jc w:val="both"/>
              <w:rPr>
                <w:iCs/>
              </w:rPr>
            </w:pPr>
            <w:r w:rsidRPr="00E05F46">
              <w:rPr>
                <w:bCs/>
              </w:rPr>
              <w:t>3</w:t>
            </w:r>
            <w:r w:rsidR="006762CD" w:rsidRPr="00E05F46">
              <w:rPr>
                <w:bCs/>
              </w:rPr>
              <w:t>. Thu bổ sung từ Ngân sách cấp trên:</w:t>
            </w:r>
          </w:p>
        </w:tc>
        <w:tc>
          <w:tcPr>
            <w:tcW w:w="1843" w:type="dxa"/>
          </w:tcPr>
          <w:p w14:paraId="1DFAEA8D" w14:textId="3368E666" w:rsidR="006762CD" w:rsidRPr="00E05F46" w:rsidRDefault="00F5723C" w:rsidP="00AB40F2">
            <w:pPr>
              <w:spacing w:before="60" w:after="60"/>
              <w:jc w:val="right"/>
              <w:rPr>
                <w:bCs/>
              </w:rPr>
            </w:pPr>
            <w:r w:rsidRPr="00E05F46">
              <w:rPr>
                <w:bCs/>
              </w:rPr>
              <w:t>23.758.370</w:t>
            </w:r>
          </w:p>
        </w:tc>
        <w:tc>
          <w:tcPr>
            <w:tcW w:w="1584" w:type="dxa"/>
          </w:tcPr>
          <w:p w14:paraId="3E04DD4B" w14:textId="4BFAB466" w:rsidR="006762CD" w:rsidRPr="00E05F46" w:rsidRDefault="006762CD" w:rsidP="00AB40F2">
            <w:pPr>
              <w:spacing w:before="60" w:after="60"/>
              <w:rPr>
                <w:bCs/>
                <w:iCs/>
              </w:rPr>
            </w:pPr>
            <w:r w:rsidRPr="00E05F46">
              <w:rPr>
                <w:bCs/>
                <w:iCs/>
              </w:rPr>
              <w:t>triệu đồng</w:t>
            </w:r>
          </w:p>
        </w:tc>
      </w:tr>
      <w:tr w:rsidR="00E05F46" w:rsidRPr="00E05F46" w14:paraId="5A9B8A88" w14:textId="77777777" w:rsidTr="00AC6D4F">
        <w:tc>
          <w:tcPr>
            <w:tcW w:w="5920" w:type="dxa"/>
          </w:tcPr>
          <w:p w14:paraId="40803810" w14:textId="7FCFF208" w:rsidR="006762CD" w:rsidRPr="00E05F46" w:rsidRDefault="00FE62FD" w:rsidP="00AB40F2">
            <w:pPr>
              <w:spacing w:before="60" w:after="60"/>
              <w:jc w:val="both"/>
              <w:rPr>
                <w:iCs/>
              </w:rPr>
            </w:pPr>
            <w:r w:rsidRPr="00E05F46">
              <w:rPr>
                <w:bCs/>
              </w:rPr>
              <w:t>4</w:t>
            </w:r>
            <w:r w:rsidR="006762CD" w:rsidRPr="00E05F46">
              <w:rPr>
                <w:bCs/>
              </w:rPr>
              <w:t>. Thu ngân sách cấp dưới nộp lên:</w:t>
            </w:r>
          </w:p>
        </w:tc>
        <w:tc>
          <w:tcPr>
            <w:tcW w:w="1843" w:type="dxa"/>
          </w:tcPr>
          <w:p w14:paraId="11F3A4FE" w14:textId="3444A2D5" w:rsidR="006762CD" w:rsidRPr="00E05F46" w:rsidRDefault="00F5723C" w:rsidP="00AB40F2">
            <w:pPr>
              <w:spacing w:before="60" w:after="60"/>
              <w:jc w:val="right"/>
              <w:rPr>
                <w:bCs/>
              </w:rPr>
            </w:pPr>
            <w:r w:rsidRPr="00E05F46">
              <w:rPr>
                <w:bCs/>
              </w:rPr>
              <w:t>107.121</w:t>
            </w:r>
          </w:p>
        </w:tc>
        <w:tc>
          <w:tcPr>
            <w:tcW w:w="1584" w:type="dxa"/>
          </w:tcPr>
          <w:p w14:paraId="4B0D5C52" w14:textId="6BE78731" w:rsidR="006762CD" w:rsidRPr="00E05F46" w:rsidRDefault="006762CD" w:rsidP="00AB40F2">
            <w:pPr>
              <w:spacing w:before="60" w:after="60"/>
              <w:rPr>
                <w:bCs/>
                <w:iCs/>
              </w:rPr>
            </w:pPr>
            <w:r w:rsidRPr="00E05F46">
              <w:rPr>
                <w:bCs/>
                <w:iCs/>
              </w:rPr>
              <w:t>triệu đồng</w:t>
            </w:r>
          </w:p>
        </w:tc>
      </w:tr>
      <w:tr w:rsidR="00E05F46" w:rsidRPr="00E05F46" w14:paraId="0C296964" w14:textId="77777777" w:rsidTr="00AC6D4F">
        <w:tc>
          <w:tcPr>
            <w:tcW w:w="5920" w:type="dxa"/>
          </w:tcPr>
          <w:p w14:paraId="3E7FE40C" w14:textId="5BAF5072" w:rsidR="006762CD" w:rsidRPr="00E05F46" w:rsidRDefault="006762CD" w:rsidP="00AB40F2">
            <w:pPr>
              <w:spacing w:before="60" w:after="60"/>
              <w:jc w:val="both"/>
              <w:rPr>
                <w:bCs/>
              </w:rPr>
            </w:pPr>
            <w:r w:rsidRPr="00E05F46">
              <w:rPr>
                <w:i/>
                <w:iCs/>
              </w:rPr>
              <w:t>Trong đó: - NSTW hưởng:</w:t>
            </w:r>
          </w:p>
        </w:tc>
        <w:tc>
          <w:tcPr>
            <w:tcW w:w="1843" w:type="dxa"/>
          </w:tcPr>
          <w:p w14:paraId="4B5C800B" w14:textId="0BDDE1D2" w:rsidR="006762CD" w:rsidRPr="00E05F46" w:rsidRDefault="00B43DC9" w:rsidP="00AB40F2">
            <w:pPr>
              <w:spacing w:before="60" w:after="60"/>
              <w:jc w:val="right"/>
              <w:rPr>
                <w:bCs/>
              </w:rPr>
            </w:pPr>
            <w:r w:rsidRPr="00E05F46">
              <w:rPr>
                <w:bCs/>
              </w:rPr>
              <w:t>7.127</w:t>
            </w:r>
          </w:p>
        </w:tc>
        <w:tc>
          <w:tcPr>
            <w:tcW w:w="1584" w:type="dxa"/>
          </w:tcPr>
          <w:p w14:paraId="36A8FE1D" w14:textId="00A4D81C" w:rsidR="006762CD" w:rsidRPr="00E05F46" w:rsidRDefault="006762CD" w:rsidP="00AB40F2">
            <w:pPr>
              <w:spacing w:before="60" w:after="60"/>
              <w:rPr>
                <w:bCs/>
                <w:iCs/>
              </w:rPr>
            </w:pPr>
            <w:r w:rsidRPr="00E05F46">
              <w:rPr>
                <w:bCs/>
                <w:i/>
                <w:iCs/>
              </w:rPr>
              <w:t>triệu đồng</w:t>
            </w:r>
          </w:p>
        </w:tc>
      </w:tr>
      <w:tr w:rsidR="00E05F46" w:rsidRPr="00E05F46" w14:paraId="38B3BB96" w14:textId="77777777" w:rsidTr="00AC6D4F">
        <w:tc>
          <w:tcPr>
            <w:tcW w:w="5920" w:type="dxa"/>
          </w:tcPr>
          <w:p w14:paraId="30413E29" w14:textId="4F0356E7" w:rsidR="006762CD" w:rsidRPr="00E05F46" w:rsidRDefault="006762CD" w:rsidP="00AB40F2">
            <w:pPr>
              <w:spacing w:before="60" w:after="60"/>
              <w:jc w:val="both"/>
              <w:rPr>
                <w:bCs/>
              </w:rPr>
            </w:pPr>
            <w:r w:rsidRPr="00E05F46">
              <w:rPr>
                <w:i/>
                <w:iCs/>
              </w:rPr>
              <w:t xml:space="preserve">                 - NSĐP hưởng:</w:t>
            </w:r>
          </w:p>
        </w:tc>
        <w:tc>
          <w:tcPr>
            <w:tcW w:w="1843" w:type="dxa"/>
          </w:tcPr>
          <w:p w14:paraId="51FA7646" w14:textId="44ACA06E" w:rsidR="006762CD" w:rsidRPr="00E05F46" w:rsidRDefault="00F5723C" w:rsidP="00AB40F2">
            <w:pPr>
              <w:spacing w:before="60" w:after="60"/>
              <w:jc w:val="right"/>
              <w:rPr>
                <w:bCs/>
              </w:rPr>
            </w:pPr>
            <w:r w:rsidRPr="00E05F46">
              <w:rPr>
                <w:bCs/>
              </w:rPr>
              <w:t>99.994</w:t>
            </w:r>
          </w:p>
        </w:tc>
        <w:tc>
          <w:tcPr>
            <w:tcW w:w="1584" w:type="dxa"/>
          </w:tcPr>
          <w:p w14:paraId="10982AEF" w14:textId="33B57384" w:rsidR="006762CD" w:rsidRPr="00E05F46" w:rsidRDefault="006762CD" w:rsidP="00AB40F2">
            <w:pPr>
              <w:spacing w:before="60" w:after="60"/>
              <w:rPr>
                <w:bCs/>
                <w:iCs/>
              </w:rPr>
            </w:pPr>
            <w:r w:rsidRPr="00E05F46">
              <w:rPr>
                <w:bCs/>
                <w:i/>
                <w:iCs/>
              </w:rPr>
              <w:t>triệu đồng</w:t>
            </w:r>
          </w:p>
        </w:tc>
      </w:tr>
      <w:tr w:rsidR="00E05F46" w:rsidRPr="00E05F46" w14:paraId="00A3BE0A" w14:textId="77777777" w:rsidTr="00AC6D4F">
        <w:tc>
          <w:tcPr>
            <w:tcW w:w="5920" w:type="dxa"/>
          </w:tcPr>
          <w:p w14:paraId="22D8D478" w14:textId="7AC5B561" w:rsidR="006762CD" w:rsidRPr="00E05F46" w:rsidRDefault="00FE62FD" w:rsidP="00AB40F2">
            <w:pPr>
              <w:spacing w:before="60" w:after="60"/>
              <w:jc w:val="both"/>
              <w:rPr>
                <w:iCs/>
              </w:rPr>
            </w:pPr>
            <w:r w:rsidRPr="00E05F46">
              <w:rPr>
                <w:bCs/>
              </w:rPr>
              <w:t>5</w:t>
            </w:r>
            <w:r w:rsidR="006762CD" w:rsidRPr="00E05F46">
              <w:rPr>
                <w:bCs/>
              </w:rPr>
              <w:t>. Thu chuyển nguồn:</w:t>
            </w:r>
          </w:p>
        </w:tc>
        <w:tc>
          <w:tcPr>
            <w:tcW w:w="1843" w:type="dxa"/>
          </w:tcPr>
          <w:p w14:paraId="735BB5D7" w14:textId="36818EBD" w:rsidR="006762CD" w:rsidRPr="00E05F46" w:rsidRDefault="00584255" w:rsidP="00AB40F2">
            <w:pPr>
              <w:spacing w:before="60" w:after="60"/>
              <w:jc w:val="right"/>
              <w:rPr>
                <w:bCs/>
              </w:rPr>
            </w:pPr>
            <w:r w:rsidRPr="00E05F46">
              <w:rPr>
                <w:bCs/>
              </w:rPr>
              <w:t>12.202.783</w:t>
            </w:r>
          </w:p>
        </w:tc>
        <w:tc>
          <w:tcPr>
            <w:tcW w:w="1584" w:type="dxa"/>
          </w:tcPr>
          <w:p w14:paraId="205BE66E" w14:textId="2C3A5059" w:rsidR="006762CD" w:rsidRPr="00E05F46" w:rsidRDefault="006762CD" w:rsidP="00AB40F2">
            <w:pPr>
              <w:spacing w:before="60" w:after="60"/>
              <w:rPr>
                <w:bCs/>
                <w:iCs/>
              </w:rPr>
            </w:pPr>
            <w:r w:rsidRPr="00E05F46">
              <w:rPr>
                <w:bCs/>
                <w:iCs/>
              </w:rPr>
              <w:t>triệu đồng</w:t>
            </w:r>
          </w:p>
        </w:tc>
      </w:tr>
      <w:tr w:rsidR="00E05F46" w:rsidRPr="00E05F46" w14:paraId="4D7C5B8F" w14:textId="77777777" w:rsidTr="00AC6D4F">
        <w:tc>
          <w:tcPr>
            <w:tcW w:w="5920" w:type="dxa"/>
          </w:tcPr>
          <w:p w14:paraId="03D5107C" w14:textId="6F201BF0" w:rsidR="006762CD" w:rsidRPr="00E05F46" w:rsidRDefault="00FE62FD" w:rsidP="00AB40F2">
            <w:pPr>
              <w:spacing w:before="60" w:after="60"/>
              <w:jc w:val="both"/>
              <w:rPr>
                <w:iCs/>
              </w:rPr>
            </w:pPr>
            <w:r w:rsidRPr="00E05F46">
              <w:rPr>
                <w:bCs/>
                <w:iCs/>
              </w:rPr>
              <w:t>6</w:t>
            </w:r>
            <w:r w:rsidR="006762CD" w:rsidRPr="00E05F46">
              <w:rPr>
                <w:bCs/>
                <w:iCs/>
              </w:rPr>
              <w:t>. Thu kết dư ngân sách năm trước:</w:t>
            </w:r>
          </w:p>
        </w:tc>
        <w:tc>
          <w:tcPr>
            <w:tcW w:w="1843" w:type="dxa"/>
          </w:tcPr>
          <w:p w14:paraId="1FE60711" w14:textId="431F26BF" w:rsidR="006762CD" w:rsidRPr="00E05F46" w:rsidRDefault="00584255" w:rsidP="00AB40F2">
            <w:pPr>
              <w:spacing w:before="60" w:after="60"/>
              <w:jc w:val="right"/>
              <w:rPr>
                <w:bCs/>
              </w:rPr>
            </w:pPr>
            <w:r w:rsidRPr="00E05F46">
              <w:rPr>
                <w:bCs/>
              </w:rPr>
              <w:t>335.070</w:t>
            </w:r>
          </w:p>
        </w:tc>
        <w:tc>
          <w:tcPr>
            <w:tcW w:w="1584" w:type="dxa"/>
          </w:tcPr>
          <w:p w14:paraId="56A9DC7C" w14:textId="54292F63" w:rsidR="006762CD" w:rsidRPr="00E05F46" w:rsidRDefault="006762CD" w:rsidP="00AB40F2">
            <w:pPr>
              <w:spacing w:before="60" w:after="60"/>
              <w:rPr>
                <w:bCs/>
                <w:iCs/>
              </w:rPr>
            </w:pPr>
            <w:r w:rsidRPr="00E05F46">
              <w:rPr>
                <w:bCs/>
                <w:iCs/>
              </w:rPr>
              <w:t>triệu đồng</w:t>
            </w:r>
          </w:p>
        </w:tc>
      </w:tr>
      <w:tr w:rsidR="00E05F46" w:rsidRPr="00E05F46" w14:paraId="2F85D534" w14:textId="77777777" w:rsidTr="00AC6D4F">
        <w:tc>
          <w:tcPr>
            <w:tcW w:w="5920" w:type="dxa"/>
          </w:tcPr>
          <w:p w14:paraId="7A9E6768" w14:textId="34BFFD87" w:rsidR="00B666BC" w:rsidRPr="00E05F46" w:rsidRDefault="00B666BC" w:rsidP="00AB40F2">
            <w:pPr>
              <w:spacing w:before="60" w:after="60"/>
              <w:jc w:val="both"/>
              <w:rPr>
                <w:b/>
                <w:bCs/>
                <w:iCs/>
              </w:rPr>
            </w:pPr>
            <w:r w:rsidRPr="00E05F46">
              <w:rPr>
                <w:b/>
                <w:bCs/>
                <w:iCs/>
              </w:rPr>
              <w:t>Tổng thu NSNN năm 202</w:t>
            </w:r>
            <w:r w:rsidR="00F675ED" w:rsidRPr="00E05F46">
              <w:rPr>
                <w:b/>
                <w:bCs/>
                <w:iCs/>
              </w:rPr>
              <w:t>4</w:t>
            </w:r>
          </w:p>
        </w:tc>
        <w:tc>
          <w:tcPr>
            <w:tcW w:w="1843" w:type="dxa"/>
          </w:tcPr>
          <w:p w14:paraId="29F1F585" w14:textId="2E930F19" w:rsidR="00B666BC" w:rsidRPr="00E05F46" w:rsidRDefault="0015454C" w:rsidP="00AB40F2">
            <w:pPr>
              <w:spacing w:before="60" w:after="60"/>
              <w:jc w:val="right"/>
              <w:rPr>
                <w:b/>
                <w:bCs/>
              </w:rPr>
            </w:pPr>
            <w:r w:rsidRPr="00E05F46">
              <w:rPr>
                <w:b/>
                <w:bCs/>
              </w:rPr>
              <w:t>54.702.713</w:t>
            </w:r>
          </w:p>
        </w:tc>
        <w:tc>
          <w:tcPr>
            <w:tcW w:w="1584" w:type="dxa"/>
          </w:tcPr>
          <w:p w14:paraId="4264C928" w14:textId="4B0BC6A0" w:rsidR="00B666BC" w:rsidRPr="00E05F46" w:rsidRDefault="00B666BC" w:rsidP="00AB40F2">
            <w:pPr>
              <w:spacing w:before="60" w:after="60"/>
              <w:rPr>
                <w:b/>
                <w:bCs/>
                <w:iCs/>
              </w:rPr>
            </w:pPr>
            <w:r w:rsidRPr="00E05F46">
              <w:rPr>
                <w:b/>
                <w:bCs/>
                <w:iCs/>
              </w:rPr>
              <w:t>triệu đồng</w:t>
            </w:r>
          </w:p>
        </w:tc>
      </w:tr>
      <w:tr w:rsidR="00E05F46" w:rsidRPr="00E05F46" w14:paraId="77A7E6E6" w14:textId="77777777" w:rsidTr="00AC6D4F">
        <w:tc>
          <w:tcPr>
            <w:tcW w:w="5920" w:type="dxa"/>
          </w:tcPr>
          <w:p w14:paraId="0CEAC232" w14:textId="674878B5" w:rsidR="00B666BC" w:rsidRPr="00E05F46" w:rsidRDefault="00B666BC" w:rsidP="00AB40F2">
            <w:pPr>
              <w:spacing w:before="60" w:after="60"/>
              <w:jc w:val="both"/>
              <w:rPr>
                <w:bCs/>
                <w:i/>
                <w:iCs/>
              </w:rPr>
            </w:pPr>
            <w:r w:rsidRPr="00E05F46">
              <w:rPr>
                <w:i/>
                <w:iCs/>
              </w:rPr>
              <w:t>Trong đó: - NSTW hưởng:</w:t>
            </w:r>
          </w:p>
        </w:tc>
        <w:tc>
          <w:tcPr>
            <w:tcW w:w="1843" w:type="dxa"/>
          </w:tcPr>
          <w:p w14:paraId="2528C006" w14:textId="577BD480" w:rsidR="00B666BC" w:rsidRPr="00E05F46" w:rsidRDefault="0015454C" w:rsidP="00AB40F2">
            <w:pPr>
              <w:spacing w:before="60" w:after="60"/>
              <w:jc w:val="right"/>
              <w:rPr>
                <w:bCs/>
                <w:i/>
              </w:rPr>
            </w:pPr>
            <w:r w:rsidRPr="00E05F46">
              <w:rPr>
                <w:bCs/>
                <w:i/>
              </w:rPr>
              <w:t>8.570.160</w:t>
            </w:r>
          </w:p>
        </w:tc>
        <w:tc>
          <w:tcPr>
            <w:tcW w:w="1584" w:type="dxa"/>
          </w:tcPr>
          <w:p w14:paraId="275B6113" w14:textId="1DCFC3EA" w:rsidR="00B666BC" w:rsidRPr="00E05F46" w:rsidRDefault="00B666BC" w:rsidP="00AB40F2">
            <w:pPr>
              <w:spacing w:before="60" w:after="60"/>
              <w:rPr>
                <w:bCs/>
                <w:i/>
                <w:iCs/>
              </w:rPr>
            </w:pPr>
            <w:r w:rsidRPr="00E05F46">
              <w:rPr>
                <w:bCs/>
                <w:i/>
                <w:iCs/>
              </w:rPr>
              <w:t>triệu đồng</w:t>
            </w:r>
          </w:p>
        </w:tc>
      </w:tr>
      <w:tr w:rsidR="00E05F46" w:rsidRPr="00E05F46" w14:paraId="20FACA98" w14:textId="77777777" w:rsidTr="00AC6D4F">
        <w:tc>
          <w:tcPr>
            <w:tcW w:w="5920" w:type="dxa"/>
          </w:tcPr>
          <w:p w14:paraId="4BF3215B" w14:textId="503AF5A5" w:rsidR="00B666BC" w:rsidRPr="00E05F46" w:rsidRDefault="00B666BC" w:rsidP="00AB40F2">
            <w:pPr>
              <w:spacing w:before="60" w:after="60"/>
              <w:jc w:val="both"/>
              <w:rPr>
                <w:i/>
                <w:iCs/>
              </w:rPr>
            </w:pPr>
            <w:r w:rsidRPr="00E05F46">
              <w:rPr>
                <w:i/>
                <w:iCs/>
              </w:rPr>
              <w:t xml:space="preserve">                 - NSĐP hưởng:</w:t>
            </w:r>
          </w:p>
        </w:tc>
        <w:tc>
          <w:tcPr>
            <w:tcW w:w="1843" w:type="dxa"/>
          </w:tcPr>
          <w:p w14:paraId="495388E2" w14:textId="4F166D5F" w:rsidR="00B666BC" w:rsidRPr="00E05F46" w:rsidRDefault="0015454C" w:rsidP="00AB40F2">
            <w:pPr>
              <w:spacing w:before="60" w:after="60"/>
              <w:jc w:val="right"/>
              <w:rPr>
                <w:bCs/>
                <w:i/>
              </w:rPr>
            </w:pPr>
            <w:r w:rsidRPr="00E05F46">
              <w:rPr>
                <w:bCs/>
                <w:i/>
              </w:rPr>
              <w:t>46.132.553</w:t>
            </w:r>
          </w:p>
        </w:tc>
        <w:tc>
          <w:tcPr>
            <w:tcW w:w="1584" w:type="dxa"/>
          </w:tcPr>
          <w:p w14:paraId="24B7245D" w14:textId="469BAF0A" w:rsidR="00B666BC" w:rsidRPr="00E05F46" w:rsidRDefault="00B666BC" w:rsidP="00AB40F2">
            <w:pPr>
              <w:spacing w:before="60" w:after="60"/>
              <w:rPr>
                <w:bCs/>
                <w:i/>
                <w:iCs/>
              </w:rPr>
            </w:pPr>
            <w:r w:rsidRPr="00E05F46">
              <w:rPr>
                <w:bCs/>
                <w:i/>
                <w:iCs/>
              </w:rPr>
              <w:t>triệu đồng</w:t>
            </w:r>
          </w:p>
        </w:tc>
      </w:tr>
    </w:tbl>
    <w:p w14:paraId="6A83702F" w14:textId="6C339217" w:rsidR="008A220A" w:rsidRPr="00E05F46" w:rsidRDefault="008A220A" w:rsidP="00AB40F2">
      <w:pPr>
        <w:spacing w:before="60" w:after="60"/>
        <w:ind w:firstLine="720"/>
        <w:jc w:val="both"/>
        <w:rPr>
          <w:i/>
        </w:rPr>
      </w:pPr>
      <w:r w:rsidRPr="00E05F46">
        <w:rPr>
          <w:i/>
        </w:rPr>
        <w:t>Nếu loại trừ khoản thu chuyển giao</w:t>
      </w:r>
      <w:r w:rsidR="003E3EA1" w:rsidRPr="00E05F46">
        <w:rPr>
          <w:i/>
        </w:rPr>
        <w:t xml:space="preserve"> </w:t>
      </w:r>
      <w:r w:rsidRPr="00E05F46">
        <w:rPr>
          <w:i/>
        </w:rPr>
        <w:t xml:space="preserve">giữa các cấp ngân sách (tỉnh, huyện, xã) </w:t>
      </w:r>
      <w:r w:rsidR="003E3EA1" w:rsidRPr="00E05F46">
        <w:rPr>
          <w:i/>
        </w:rPr>
        <w:t>là</w:t>
      </w:r>
      <w:r w:rsidR="00803FC2" w:rsidRPr="00E05F46">
        <w:rPr>
          <w:i/>
        </w:rPr>
        <w:t xml:space="preserve"> </w:t>
      </w:r>
      <w:r w:rsidR="00D45361" w:rsidRPr="00E05F46">
        <w:rPr>
          <w:i/>
        </w:rPr>
        <w:t xml:space="preserve">12.766.852 </w:t>
      </w:r>
      <w:r w:rsidR="00417C5E" w:rsidRPr="00E05F46">
        <w:rPr>
          <w:i/>
        </w:rPr>
        <w:t>triệu đồng</w:t>
      </w:r>
      <w:r w:rsidR="00A03916" w:rsidRPr="00E05F46">
        <w:rPr>
          <w:rStyle w:val="FootnoteReference"/>
          <w:i/>
        </w:rPr>
        <w:footnoteReference w:id="2"/>
      </w:r>
      <w:r w:rsidR="00417C5E" w:rsidRPr="00E05F46">
        <w:rPr>
          <w:i/>
        </w:rPr>
        <w:t>, thu ngân sách địa phương được hưởng năm 20</w:t>
      </w:r>
      <w:r w:rsidR="007F11E0" w:rsidRPr="00E05F46">
        <w:rPr>
          <w:i/>
        </w:rPr>
        <w:t>2</w:t>
      </w:r>
      <w:r w:rsidR="009C3A5E" w:rsidRPr="00E05F46">
        <w:rPr>
          <w:i/>
        </w:rPr>
        <w:t>4</w:t>
      </w:r>
      <w:r w:rsidR="00417C5E" w:rsidRPr="00E05F46">
        <w:rPr>
          <w:i/>
        </w:rPr>
        <w:t xml:space="preserve"> là</w:t>
      </w:r>
      <w:r w:rsidR="00803FC2" w:rsidRPr="00E05F46">
        <w:rPr>
          <w:i/>
        </w:rPr>
        <w:t xml:space="preserve"> </w:t>
      </w:r>
      <w:r w:rsidR="00FC68FD" w:rsidRPr="00E05F46">
        <w:rPr>
          <w:i/>
        </w:rPr>
        <w:t xml:space="preserve">33.365.701 </w:t>
      </w:r>
      <w:r w:rsidR="00417C5E" w:rsidRPr="00E05F46">
        <w:rPr>
          <w:i/>
        </w:rPr>
        <w:t>triệu đồng.</w:t>
      </w:r>
    </w:p>
    <w:p w14:paraId="4F73A745" w14:textId="77777777" w:rsidR="001F3EA1" w:rsidRPr="00E05F46" w:rsidRDefault="001F3EA1" w:rsidP="00AB40F2">
      <w:pPr>
        <w:spacing w:before="60" w:after="60"/>
        <w:ind w:firstLine="720"/>
        <w:jc w:val="both"/>
        <w:rPr>
          <w:b/>
        </w:rPr>
      </w:pPr>
      <w:r w:rsidRPr="00E05F46">
        <w:rPr>
          <w:b/>
        </w:rPr>
        <w:lastRenderedPageBreak/>
        <w:t>II. Chi ngân sách địa phương</w:t>
      </w:r>
    </w:p>
    <w:p w14:paraId="22E4E6FF" w14:textId="4755602C" w:rsidR="001F3EA1" w:rsidRPr="00E05F46" w:rsidRDefault="001F3EA1" w:rsidP="00AB40F2">
      <w:pPr>
        <w:spacing w:before="60" w:after="60"/>
        <w:jc w:val="both"/>
      </w:pPr>
      <w:r w:rsidRPr="00E05F46">
        <w:rPr>
          <w:b/>
        </w:rPr>
        <w:tab/>
      </w:r>
      <w:r w:rsidRPr="00E05F46">
        <w:t>1. Chi cân đối ngân sách địa phương:</w:t>
      </w:r>
      <w:r w:rsidRPr="00E05F46">
        <w:tab/>
      </w:r>
      <w:r w:rsidRPr="00E05F46">
        <w:tab/>
      </w:r>
      <w:r w:rsidRPr="00E05F46">
        <w:tab/>
      </w:r>
      <w:r w:rsidR="008C1EF5" w:rsidRPr="00E05F46">
        <w:t xml:space="preserve"> </w:t>
      </w:r>
      <w:r w:rsidR="00114355" w:rsidRPr="00E05F46">
        <w:t xml:space="preserve"> 32.820.635 </w:t>
      </w:r>
      <w:r w:rsidRPr="00E05F46">
        <w:t xml:space="preserve">triệu đồng </w:t>
      </w:r>
    </w:p>
    <w:p w14:paraId="427E91D0" w14:textId="77777777" w:rsidR="001F3EA1" w:rsidRPr="00E05F46" w:rsidRDefault="001F3EA1" w:rsidP="00AB40F2">
      <w:pPr>
        <w:spacing w:before="60" w:after="60"/>
        <w:jc w:val="both"/>
        <w:rPr>
          <w:i/>
        </w:rPr>
      </w:pPr>
      <w:r w:rsidRPr="00E05F46">
        <w:rPr>
          <w:i/>
        </w:rPr>
        <w:tab/>
        <w:t>Trong đó:</w:t>
      </w:r>
    </w:p>
    <w:p w14:paraId="0CACB5DA" w14:textId="6C994D72" w:rsidR="001F3EA1" w:rsidRPr="00E05F46" w:rsidRDefault="001F3EA1" w:rsidP="00AB40F2">
      <w:pPr>
        <w:spacing w:before="60" w:after="60"/>
        <w:ind w:firstLine="720"/>
        <w:jc w:val="both"/>
      </w:pPr>
      <w:r w:rsidRPr="00E05F46">
        <w:t xml:space="preserve">- Chi </w:t>
      </w:r>
      <w:r w:rsidR="00D428DE" w:rsidRPr="00E05F46">
        <w:t>đ</w:t>
      </w:r>
      <w:r w:rsidRPr="00E05F46">
        <w:t>ầu tư phát triển:</w:t>
      </w:r>
      <w:r w:rsidRPr="00E05F46">
        <w:tab/>
      </w:r>
      <w:r w:rsidRPr="00E05F46">
        <w:tab/>
      </w:r>
      <w:r w:rsidRPr="00E05F46">
        <w:tab/>
      </w:r>
      <w:r w:rsidRPr="00E05F46">
        <w:tab/>
      </w:r>
      <w:r w:rsidR="00C05D4F" w:rsidRPr="00E05F46">
        <w:t xml:space="preserve">        </w:t>
      </w:r>
      <w:r w:rsidRPr="00E05F46">
        <w:t xml:space="preserve">  </w:t>
      </w:r>
      <w:r w:rsidR="00C05D4F" w:rsidRPr="00E05F46">
        <w:t xml:space="preserve"> </w:t>
      </w:r>
      <w:r w:rsidR="002E73B5" w:rsidRPr="00E05F46">
        <w:t xml:space="preserve"> </w:t>
      </w:r>
      <w:r w:rsidR="00AC6D4F" w:rsidRPr="00E05F46">
        <w:t xml:space="preserve"> </w:t>
      </w:r>
      <w:r w:rsidR="003618EA" w:rsidRPr="00E05F46">
        <w:t xml:space="preserve"> </w:t>
      </w:r>
      <w:r w:rsidR="00953976" w:rsidRPr="00E05F46">
        <w:t xml:space="preserve">9.114.400 </w:t>
      </w:r>
      <w:r w:rsidRPr="00E05F46">
        <w:t>triệu đồng</w:t>
      </w:r>
    </w:p>
    <w:p w14:paraId="6A9A05E6" w14:textId="59ABC25B" w:rsidR="00C05D4F" w:rsidRPr="00E05F46" w:rsidRDefault="00C05D4F" w:rsidP="00AB40F2">
      <w:pPr>
        <w:spacing w:before="60" w:after="60"/>
        <w:ind w:firstLine="720"/>
        <w:jc w:val="both"/>
      </w:pPr>
      <w:r w:rsidRPr="00E05F46">
        <w:t>- Chi trả nợ lãi, phí tiền vay:</w:t>
      </w:r>
      <w:r w:rsidRPr="00E05F46">
        <w:tab/>
      </w:r>
      <w:r w:rsidRPr="00E05F46">
        <w:tab/>
      </w:r>
      <w:r w:rsidRPr="00E05F46">
        <w:tab/>
      </w:r>
      <w:r w:rsidRPr="00E05F46">
        <w:tab/>
        <w:t xml:space="preserve">         </w:t>
      </w:r>
      <w:r w:rsidR="00953976" w:rsidRPr="00E05F46">
        <w:t xml:space="preserve">20.085 </w:t>
      </w:r>
      <w:r w:rsidRPr="00E05F46">
        <w:t>triệu đồng</w:t>
      </w:r>
    </w:p>
    <w:p w14:paraId="58C92524" w14:textId="67C17325" w:rsidR="001F3EA1" w:rsidRPr="00E05F46" w:rsidRDefault="001F3EA1" w:rsidP="00AB40F2">
      <w:pPr>
        <w:spacing w:before="60" w:after="60"/>
        <w:ind w:firstLine="720"/>
        <w:jc w:val="both"/>
      </w:pPr>
      <w:r w:rsidRPr="00E05F46">
        <w:t>- Chi thường xuyên:</w:t>
      </w:r>
      <w:r w:rsidRPr="00E05F46">
        <w:tab/>
      </w:r>
      <w:r w:rsidRPr="00E05F46">
        <w:tab/>
      </w:r>
      <w:r w:rsidRPr="00E05F46">
        <w:tab/>
      </w:r>
      <w:r w:rsidRPr="00E05F46">
        <w:tab/>
      </w:r>
      <w:r w:rsidRPr="00E05F46">
        <w:tab/>
      </w:r>
      <w:r w:rsidR="003618EA" w:rsidRPr="00E05F46">
        <w:t xml:space="preserve"> </w:t>
      </w:r>
      <w:r w:rsidR="00114355" w:rsidRPr="00E05F46">
        <w:t xml:space="preserve"> 12.532.408 </w:t>
      </w:r>
      <w:r w:rsidRPr="00E05F46">
        <w:t>triệu đồng</w:t>
      </w:r>
    </w:p>
    <w:p w14:paraId="263E0DD0" w14:textId="7EC8C8F6" w:rsidR="00C05D4F" w:rsidRPr="00E05F46" w:rsidRDefault="00C05D4F" w:rsidP="00AB40F2">
      <w:pPr>
        <w:spacing w:before="60" w:after="60"/>
        <w:ind w:firstLine="720"/>
        <w:jc w:val="both"/>
      </w:pPr>
      <w:r w:rsidRPr="00E05F46">
        <w:t xml:space="preserve">- Chi bổ sung quỹ dự trữ tài chính: </w:t>
      </w:r>
      <w:r w:rsidRPr="00E05F46">
        <w:tab/>
      </w:r>
      <w:r w:rsidRPr="00E05F46">
        <w:tab/>
      </w:r>
      <w:r w:rsidRPr="00E05F46">
        <w:tab/>
      </w:r>
      <w:r w:rsidRPr="00E05F46">
        <w:tab/>
        <w:t>1.340</w:t>
      </w:r>
      <w:r w:rsidR="009915D1" w:rsidRPr="00E05F46">
        <w:t xml:space="preserve"> </w:t>
      </w:r>
      <w:r w:rsidRPr="00E05F46">
        <w:t>triệu đồng</w:t>
      </w:r>
    </w:p>
    <w:p w14:paraId="5DAED433" w14:textId="38DBA8D2" w:rsidR="00D428DE" w:rsidRPr="00E05F46" w:rsidRDefault="00D428DE" w:rsidP="00AB40F2">
      <w:pPr>
        <w:spacing w:before="60" w:after="60"/>
        <w:ind w:firstLine="720"/>
        <w:jc w:val="both"/>
      </w:pPr>
      <w:r w:rsidRPr="00E05F46">
        <w:t>- Chi chuyển nguồn:</w:t>
      </w:r>
      <w:r w:rsidRPr="00E05F46">
        <w:tab/>
      </w:r>
      <w:r w:rsidRPr="00E05F46">
        <w:tab/>
      </w:r>
      <w:r w:rsidRPr="00E05F46">
        <w:tab/>
      </w:r>
      <w:r w:rsidRPr="00E05F46">
        <w:tab/>
      </w:r>
      <w:r w:rsidRPr="00E05F46">
        <w:tab/>
      </w:r>
      <w:r w:rsidR="003618EA" w:rsidRPr="00E05F46">
        <w:t xml:space="preserve">  </w:t>
      </w:r>
      <w:r w:rsidR="00953976" w:rsidRPr="00E05F46">
        <w:t xml:space="preserve">11.152.402 </w:t>
      </w:r>
      <w:r w:rsidRPr="00E05F46">
        <w:t>triệu đồng</w:t>
      </w:r>
    </w:p>
    <w:p w14:paraId="57A2C821" w14:textId="6F11BA67" w:rsidR="001F3EA1" w:rsidRPr="00E05F46" w:rsidRDefault="001F3EA1" w:rsidP="00AB40F2">
      <w:pPr>
        <w:spacing w:before="60" w:after="60"/>
        <w:ind w:firstLine="720"/>
        <w:jc w:val="both"/>
      </w:pPr>
      <w:r w:rsidRPr="00E05F46">
        <w:t xml:space="preserve">2. Chi bổ sung cho ngân sách cấp dưới: </w:t>
      </w:r>
      <w:r w:rsidRPr="00E05F46">
        <w:tab/>
      </w:r>
      <w:r w:rsidRPr="00E05F46">
        <w:tab/>
      </w:r>
      <w:r w:rsidR="003618EA" w:rsidRPr="00E05F46">
        <w:t xml:space="preserve">  </w:t>
      </w:r>
      <w:r w:rsidR="00953976" w:rsidRPr="00E05F46">
        <w:t>12.666.85</w:t>
      </w:r>
      <w:r w:rsidR="00CD3D33" w:rsidRPr="00E05F46">
        <w:t>8</w:t>
      </w:r>
      <w:r w:rsidR="00953976" w:rsidRPr="00E05F46">
        <w:t xml:space="preserve"> </w:t>
      </w:r>
      <w:r w:rsidRPr="00E05F46">
        <w:t>triệu đồng</w:t>
      </w:r>
    </w:p>
    <w:p w14:paraId="1AE48B48" w14:textId="5D10F1B4" w:rsidR="001F3EA1" w:rsidRPr="00E05F46" w:rsidRDefault="001F3EA1" w:rsidP="00AB40F2">
      <w:pPr>
        <w:spacing w:before="60" w:after="60"/>
        <w:ind w:firstLine="720"/>
        <w:jc w:val="both"/>
      </w:pPr>
      <w:r w:rsidRPr="00E05F46">
        <w:t xml:space="preserve">3. Chi nộp ngân sách cấp trên: </w:t>
      </w:r>
      <w:r w:rsidRPr="00E05F46">
        <w:tab/>
      </w:r>
      <w:r w:rsidRPr="00E05F46">
        <w:tab/>
      </w:r>
      <w:r w:rsidRPr="00E05F46">
        <w:tab/>
      </w:r>
      <w:r w:rsidRPr="00E05F46">
        <w:tab/>
      </w:r>
      <w:r w:rsidR="003618EA" w:rsidRPr="00E05F46">
        <w:t xml:space="preserve">      </w:t>
      </w:r>
      <w:r w:rsidR="00114355" w:rsidRPr="00E05F46">
        <w:t xml:space="preserve"> 107.121 </w:t>
      </w:r>
      <w:r w:rsidRPr="00E05F46">
        <w:t>triệu đồng</w:t>
      </w:r>
    </w:p>
    <w:p w14:paraId="46A5DDF8" w14:textId="31F150DF" w:rsidR="00953976" w:rsidRPr="00E05F46" w:rsidRDefault="00953976" w:rsidP="00AB40F2">
      <w:pPr>
        <w:spacing w:before="60" w:after="60"/>
        <w:ind w:firstLine="720"/>
        <w:jc w:val="both"/>
      </w:pPr>
      <w:r w:rsidRPr="00E05F46">
        <w:t>4. Chi hỗ trợ địa phương khác</w:t>
      </w:r>
      <w:r w:rsidRPr="00E05F46">
        <w:tab/>
      </w:r>
      <w:r w:rsidRPr="00E05F46">
        <w:tab/>
      </w:r>
      <w:r w:rsidRPr="00E05F46">
        <w:tab/>
      </w:r>
      <w:r w:rsidRPr="00E05F46">
        <w:tab/>
      </w:r>
      <w:r w:rsidRPr="00E05F46">
        <w:tab/>
      </w:r>
      <w:r w:rsidR="006B1351" w:rsidRPr="00E05F46">
        <w:t>2.600 triệu đồng</w:t>
      </w:r>
    </w:p>
    <w:p w14:paraId="4CC01535" w14:textId="7DF7DB15" w:rsidR="001F3EA1" w:rsidRPr="00E05F46" w:rsidRDefault="00953976" w:rsidP="00AB40F2">
      <w:pPr>
        <w:spacing w:before="60" w:after="60"/>
        <w:ind w:firstLine="720"/>
        <w:jc w:val="both"/>
      </w:pPr>
      <w:r w:rsidRPr="00E05F46">
        <w:t>5</w:t>
      </w:r>
      <w:r w:rsidR="003618EA" w:rsidRPr="00E05F46">
        <w:t>. Chi trả nợ gốc:</w:t>
      </w:r>
      <w:r w:rsidR="003618EA" w:rsidRPr="00E05F46">
        <w:tab/>
      </w:r>
      <w:r w:rsidR="003618EA" w:rsidRPr="00E05F46">
        <w:tab/>
      </w:r>
      <w:r w:rsidR="003618EA" w:rsidRPr="00E05F46">
        <w:tab/>
      </w:r>
      <w:r w:rsidR="003618EA" w:rsidRPr="00E05F46">
        <w:tab/>
      </w:r>
      <w:r w:rsidR="003618EA" w:rsidRPr="00E05F46">
        <w:tab/>
      </w:r>
      <w:r w:rsidR="003618EA" w:rsidRPr="00E05F46">
        <w:tab/>
        <w:t xml:space="preserve">    </w:t>
      </w:r>
      <w:r w:rsidR="00C05D4F" w:rsidRPr="00E05F46">
        <w:t xml:space="preserve"> </w:t>
      </w:r>
      <w:r w:rsidR="00AC6D4F" w:rsidRPr="00E05F46">
        <w:t xml:space="preserve"> </w:t>
      </w:r>
      <w:r w:rsidR="003618EA" w:rsidRPr="00E05F46">
        <w:t xml:space="preserve"> </w:t>
      </w:r>
      <w:r w:rsidR="006B1351" w:rsidRPr="00E05F46">
        <w:t xml:space="preserve">  </w:t>
      </w:r>
      <w:r w:rsidRPr="00E05F46">
        <w:t xml:space="preserve">81.264 </w:t>
      </w:r>
      <w:r w:rsidR="001F3EA1" w:rsidRPr="00E05F46">
        <w:t>triệu đồng</w:t>
      </w:r>
    </w:p>
    <w:p w14:paraId="7FFA7A1A" w14:textId="77777777" w:rsidR="001F3EA1" w:rsidRPr="00E05F46" w:rsidRDefault="001F3EA1" w:rsidP="00AB40F2">
      <w:pPr>
        <w:spacing w:before="60" w:after="60"/>
        <w:jc w:val="both"/>
      </w:pPr>
      <w:r w:rsidRPr="00E05F46">
        <w:rPr>
          <w:noProof/>
        </w:rPr>
        <mc:AlternateContent>
          <mc:Choice Requires="wps">
            <w:drawing>
              <wp:anchor distT="4294967293" distB="4294967293" distL="114300" distR="114300" simplePos="0" relativeHeight="251657728" behindDoc="0" locked="0" layoutInCell="1" allowOverlap="1" wp14:anchorId="7375070C" wp14:editId="0976FD06">
                <wp:simplePos x="0" y="0"/>
                <wp:positionH relativeFrom="column">
                  <wp:posOffset>4072890</wp:posOffset>
                </wp:positionH>
                <wp:positionV relativeFrom="paragraph">
                  <wp:posOffset>48260</wp:posOffset>
                </wp:positionV>
                <wp:extent cx="1670050" cy="0"/>
                <wp:effectExtent l="0" t="0" r="2540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D7930" id="Line 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0.7pt,3.8pt" to="45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Q8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"/>
            </w:pict>
          </mc:Fallback>
        </mc:AlternateContent>
      </w:r>
      <w:r w:rsidRPr="00E05F46">
        <w:tab/>
      </w:r>
    </w:p>
    <w:p w14:paraId="472B2E35" w14:textId="3B55E35C" w:rsidR="001F3EA1" w:rsidRPr="00E05F46" w:rsidRDefault="001F3EA1" w:rsidP="009915D1">
      <w:pPr>
        <w:spacing w:before="60" w:after="60"/>
        <w:ind w:firstLine="720"/>
        <w:jc w:val="both"/>
      </w:pPr>
      <w:r w:rsidRPr="00E05F46">
        <w:t>Tổng chi NSĐP năm 202</w:t>
      </w:r>
      <w:r w:rsidR="00D07E42" w:rsidRPr="00E05F46">
        <w:t>4</w:t>
      </w:r>
      <w:r w:rsidRPr="00E05F46">
        <w:t xml:space="preserve"> (1+2+3+4</w:t>
      </w:r>
      <w:r w:rsidR="00CC4D54" w:rsidRPr="00E05F46">
        <w:t>+5</w:t>
      </w:r>
      <w:r w:rsidRPr="00E05F46">
        <w:t xml:space="preserve">):                  </w:t>
      </w:r>
      <w:r w:rsidR="002E73B5" w:rsidRPr="00E05F46">
        <w:t xml:space="preserve">  </w:t>
      </w:r>
      <w:r w:rsidR="00CC4D54" w:rsidRPr="00E05F46">
        <w:t>45.678.47</w:t>
      </w:r>
      <w:r w:rsidR="00CD3D33" w:rsidRPr="00E05F46">
        <w:t>8</w:t>
      </w:r>
      <w:r w:rsidR="00CC4D54" w:rsidRPr="00E05F46">
        <w:t xml:space="preserve"> </w:t>
      </w:r>
      <w:r w:rsidRPr="00E05F46">
        <w:t xml:space="preserve">triệu đồng </w:t>
      </w:r>
    </w:p>
    <w:p w14:paraId="5E987D58" w14:textId="30EDC503" w:rsidR="001F3EA1" w:rsidRPr="00E05F46" w:rsidRDefault="001F3EA1" w:rsidP="00AB40F2">
      <w:pPr>
        <w:spacing w:before="60" w:after="60"/>
        <w:ind w:firstLine="720"/>
        <w:jc w:val="both"/>
        <w:rPr>
          <w:bCs/>
          <w:i/>
        </w:rPr>
      </w:pPr>
      <w:r w:rsidRPr="00E05F46">
        <w:rPr>
          <w:i/>
        </w:rPr>
        <w:t xml:space="preserve">Nếu loại trừ khoản chi chuyển giao giữa các cấp ngân sách (tỉnh, huyện, xã) </w:t>
      </w:r>
      <w:r w:rsidR="003E3EA1" w:rsidRPr="00E05F46">
        <w:rPr>
          <w:i/>
        </w:rPr>
        <w:t>là</w:t>
      </w:r>
      <w:r w:rsidRPr="00E05F46">
        <w:rPr>
          <w:i/>
        </w:rPr>
        <w:t xml:space="preserve"> </w:t>
      </w:r>
      <w:r w:rsidR="00D207E5" w:rsidRPr="00E05F46">
        <w:rPr>
          <w:i/>
        </w:rPr>
        <w:t xml:space="preserve">12.766.852 </w:t>
      </w:r>
      <w:r w:rsidR="00D82580" w:rsidRPr="00E05F46">
        <w:rPr>
          <w:i/>
        </w:rPr>
        <w:t>triệu đồng</w:t>
      </w:r>
      <w:r w:rsidR="00A03916" w:rsidRPr="00E05F46">
        <w:rPr>
          <w:rStyle w:val="FootnoteReference"/>
          <w:i/>
        </w:rPr>
        <w:footnoteReference w:id="3"/>
      </w:r>
      <w:r w:rsidRPr="00E05F46">
        <w:rPr>
          <w:i/>
        </w:rPr>
        <w:t>, chi ngân sách địa phương năm 20</w:t>
      </w:r>
      <w:r w:rsidR="00D82580" w:rsidRPr="00E05F46">
        <w:rPr>
          <w:i/>
        </w:rPr>
        <w:t>2</w:t>
      </w:r>
      <w:r w:rsidR="00067883" w:rsidRPr="00E05F46">
        <w:rPr>
          <w:i/>
        </w:rPr>
        <w:t>4</w:t>
      </w:r>
      <w:r w:rsidRPr="00E05F46">
        <w:rPr>
          <w:i/>
        </w:rPr>
        <w:t xml:space="preserve"> là </w:t>
      </w:r>
      <w:r w:rsidR="004E7F52" w:rsidRPr="00E05F46">
        <w:rPr>
          <w:bCs/>
          <w:i/>
        </w:rPr>
        <w:t xml:space="preserve"> </w:t>
      </w:r>
      <w:r w:rsidR="003F58E7" w:rsidRPr="00E05F46">
        <w:rPr>
          <w:bCs/>
          <w:i/>
        </w:rPr>
        <w:t xml:space="preserve"> 32.911.626 </w:t>
      </w:r>
      <w:r w:rsidRPr="00E05F46">
        <w:rPr>
          <w:bCs/>
          <w:i/>
        </w:rPr>
        <w:t>triệu đồng.</w:t>
      </w:r>
    </w:p>
    <w:p w14:paraId="1B0D8DDC" w14:textId="194AD447" w:rsidR="001F3EA1" w:rsidRPr="00E05F46" w:rsidRDefault="001F3EA1" w:rsidP="00AB40F2">
      <w:pPr>
        <w:spacing w:before="60" w:after="60"/>
        <w:jc w:val="both"/>
        <w:rPr>
          <w:b/>
        </w:rPr>
      </w:pPr>
      <w:r w:rsidRPr="00E05F46">
        <w:tab/>
      </w:r>
      <w:r w:rsidRPr="00E05F46">
        <w:rPr>
          <w:b/>
        </w:rPr>
        <w:t>III.  Kết dư ngân sách địa phư</w:t>
      </w:r>
      <w:r w:rsidR="00DB231E" w:rsidRPr="00E05F46">
        <w:rPr>
          <w:b/>
        </w:rPr>
        <w:t xml:space="preserve">ơng                         </w:t>
      </w:r>
      <w:r w:rsidRPr="00E05F46">
        <w:rPr>
          <w:b/>
        </w:rPr>
        <w:t xml:space="preserve"> </w:t>
      </w:r>
      <w:r w:rsidR="00DB231E" w:rsidRPr="00E05F46">
        <w:rPr>
          <w:b/>
        </w:rPr>
        <w:t xml:space="preserve"> </w:t>
      </w:r>
      <w:r w:rsidR="00386458" w:rsidRPr="00E05F46">
        <w:rPr>
          <w:b/>
        </w:rPr>
        <w:t xml:space="preserve">   </w:t>
      </w:r>
      <w:r w:rsidR="00761EDA" w:rsidRPr="00E05F46">
        <w:rPr>
          <w:b/>
        </w:rPr>
        <w:t xml:space="preserve">454.075 </w:t>
      </w:r>
      <w:r w:rsidRPr="00E05F46">
        <w:rPr>
          <w:b/>
        </w:rPr>
        <w:t>triệu đồng</w:t>
      </w:r>
    </w:p>
    <w:p w14:paraId="7207F22F" w14:textId="77777777" w:rsidR="001F3EA1" w:rsidRPr="00E05F46" w:rsidRDefault="001F3EA1" w:rsidP="00AB40F2">
      <w:pPr>
        <w:spacing w:before="60" w:after="60"/>
        <w:jc w:val="both"/>
        <w:rPr>
          <w:b/>
        </w:rPr>
      </w:pPr>
      <w:r w:rsidRPr="00E05F46">
        <w:rPr>
          <w:i/>
        </w:rPr>
        <w:t xml:space="preserve">          Trong đó:</w:t>
      </w:r>
    </w:p>
    <w:p w14:paraId="35E2D6EE" w14:textId="1CEDF697" w:rsidR="001F3EA1" w:rsidRPr="00E05F46" w:rsidRDefault="001F3EA1" w:rsidP="00AB40F2">
      <w:pPr>
        <w:spacing w:before="60" w:after="60"/>
        <w:jc w:val="both"/>
      </w:pPr>
      <w:r w:rsidRPr="00E05F46">
        <w:tab/>
        <w:t>1. Ngân sách tỉnh:</w:t>
      </w:r>
      <w:r w:rsidRPr="00E05F46">
        <w:tab/>
      </w:r>
      <w:r w:rsidRPr="00E05F46">
        <w:tab/>
      </w:r>
      <w:r w:rsidRPr="00E05F46">
        <w:tab/>
      </w:r>
      <w:r w:rsidRPr="00E05F46">
        <w:tab/>
      </w:r>
      <w:r w:rsidRPr="00E05F46">
        <w:tab/>
      </w:r>
      <w:r w:rsidRPr="00E05F46">
        <w:tab/>
        <w:t xml:space="preserve">  </w:t>
      </w:r>
      <w:r w:rsidR="00DB231E" w:rsidRPr="00E05F46">
        <w:t xml:space="preserve"> </w:t>
      </w:r>
      <w:r w:rsidR="00CA2CBC" w:rsidRPr="00E05F46">
        <w:t xml:space="preserve"> </w:t>
      </w:r>
      <w:r w:rsidR="009F4ADC" w:rsidRPr="00E05F46">
        <w:t xml:space="preserve">  </w:t>
      </w:r>
      <w:r w:rsidR="00CB145D" w:rsidRPr="00E05F46">
        <w:t xml:space="preserve"> 263.169 </w:t>
      </w:r>
      <w:r w:rsidRPr="00E05F46">
        <w:t>triệu đồng</w:t>
      </w:r>
    </w:p>
    <w:p w14:paraId="715E4A3C" w14:textId="19E40DEF" w:rsidR="002D26A6" w:rsidRPr="00717077" w:rsidRDefault="002D26A6" w:rsidP="002D26A6">
      <w:pPr>
        <w:spacing w:before="60" w:after="60"/>
        <w:ind w:firstLine="720"/>
        <w:jc w:val="both"/>
        <w:rPr>
          <w:i/>
          <w:iCs/>
        </w:rPr>
      </w:pPr>
      <w:r w:rsidRPr="00717077">
        <w:rPr>
          <w:i/>
          <w:iCs/>
        </w:rPr>
        <w:t xml:space="preserve">(Thực hiện nộp trả </w:t>
      </w:r>
      <w:r w:rsidR="000748F9">
        <w:rPr>
          <w:i/>
          <w:iCs/>
        </w:rPr>
        <w:t>Ngân sách trung ương</w:t>
      </w:r>
      <w:r w:rsidRPr="00717077">
        <w:rPr>
          <w:i/>
          <w:iCs/>
        </w:rPr>
        <w:t xml:space="preserve"> theo kiến nghị kiểm toán - nếu có; phần còn lại bổ sung quỹ tích lũy trả nợ).</w:t>
      </w:r>
    </w:p>
    <w:p w14:paraId="55926FA6" w14:textId="57FECE96" w:rsidR="001F3EA1" w:rsidRPr="00E05F46" w:rsidRDefault="001F3EA1" w:rsidP="00AB40F2">
      <w:pPr>
        <w:spacing w:before="60" w:after="60"/>
        <w:jc w:val="both"/>
      </w:pPr>
      <w:r w:rsidRPr="00E05F46">
        <w:tab/>
        <w:t>2. Ngân sách huyện, thị xã, thành phố:</w:t>
      </w:r>
      <w:r w:rsidRPr="00E05F46">
        <w:tab/>
      </w:r>
      <w:r w:rsidRPr="00E05F46">
        <w:tab/>
      </w:r>
      <w:r w:rsidRPr="00E05F46">
        <w:tab/>
        <w:t xml:space="preserve">     </w:t>
      </w:r>
      <w:r w:rsidR="00DB231E" w:rsidRPr="00E05F46">
        <w:t xml:space="preserve"> </w:t>
      </w:r>
      <w:r w:rsidR="002B2910" w:rsidRPr="00E05F46">
        <w:t xml:space="preserve"> 146.743 </w:t>
      </w:r>
      <w:r w:rsidRPr="00E05F46">
        <w:t>triệu đồng</w:t>
      </w:r>
    </w:p>
    <w:p w14:paraId="6DD2069F" w14:textId="297A52B0" w:rsidR="001F3EA1" w:rsidRPr="00E05F46" w:rsidRDefault="001F3EA1" w:rsidP="00AB40F2">
      <w:pPr>
        <w:spacing w:before="60" w:after="60"/>
        <w:ind w:firstLine="720"/>
        <w:jc w:val="both"/>
      </w:pPr>
      <w:r w:rsidRPr="00E05F46">
        <w:t>- Hạch toán thu ngân sách năm 202</w:t>
      </w:r>
      <w:r w:rsidR="00761EDA" w:rsidRPr="00E05F46">
        <w:t>5</w:t>
      </w:r>
      <w:r w:rsidRPr="00E05F46">
        <w:t>:</w:t>
      </w:r>
      <w:r w:rsidRPr="00E05F46">
        <w:tab/>
      </w:r>
      <w:r w:rsidRPr="00E05F46">
        <w:tab/>
      </w:r>
      <w:r w:rsidRPr="00E05F46">
        <w:tab/>
        <w:t xml:space="preserve">     </w:t>
      </w:r>
      <w:r w:rsidR="00BF5733" w:rsidRPr="00E05F46">
        <w:t xml:space="preserve"> </w:t>
      </w:r>
      <w:r w:rsidR="00556CE0" w:rsidRPr="00E05F46">
        <w:t xml:space="preserve"> </w:t>
      </w:r>
      <w:r w:rsidR="002B2910" w:rsidRPr="00E05F46">
        <w:t xml:space="preserve">146.743 </w:t>
      </w:r>
      <w:r w:rsidRPr="00E05F46">
        <w:t>triệu đồng</w:t>
      </w:r>
    </w:p>
    <w:p w14:paraId="2D55015E" w14:textId="04B28BEB" w:rsidR="001F3EA1" w:rsidRPr="00E05F46" w:rsidRDefault="001F3EA1" w:rsidP="00AB40F2">
      <w:pPr>
        <w:spacing w:before="60" w:after="60"/>
        <w:jc w:val="both"/>
      </w:pPr>
      <w:r w:rsidRPr="00E05F46">
        <w:tab/>
        <w:t>3. Ngân sách xã, phường, thị trấn:</w:t>
      </w:r>
      <w:r w:rsidRPr="00E05F46">
        <w:tab/>
      </w:r>
      <w:r w:rsidRPr="00E05F46">
        <w:tab/>
      </w:r>
      <w:r w:rsidRPr="00E05F46">
        <w:tab/>
        <w:t xml:space="preserve">       </w:t>
      </w:r>
      <w:r w:rsidR="00DB231E" w:rsidRPr="00E05F46">
        <w:t xml:space="preserve"> </w:t>
      </w:r>
      <w:r w:rsidR="00CA2CBC" w:rsidRPr="00E05F46">
        <w:t xml:space="preserve"> </w:t>
      </w:r>
      <w:r w:rsidR="00605CA0" w:rsidRPr="00E05F46">
        <w:t xml:space="preserve">44.163 </w:t>
      </w:r>
      <w:r w:rsidRPr="00E05F46">
        <w:t>triệu đồng</w:t>
      </w:r>
    </w:p>
    <w:p w14:paraId="31223383" w14:textId="1507E221" w:rsidR="001F3EA1" w:rsidRPr="00E05F46" w:rsidRDefault="001F3EA1" w:rsidP="00AB40F2">
      <w:pPr>
        <w:spacing w:before="60" w:after="60"/>
        <w:jc w:val="both"/>
      </w:pPr>
      <w:r w:rsidRPr="00E05F46">
        <w:t xml:space="preserve">          - Hạch toán thu ngân sách năm 202</w:t>
      </w:r>
      <w:r w:rsidR="00761EDA" w:rsidRPr="00E05F46">
        <w:t>5</w:t>
      </w:r>
      <w:r w:rsidRPr="00E05F46">
        <w:t>:</w:t>
      </w:r>
      <w:r w:rsidRPr="00E05F46">
        <w:tab/>
      </w:r>
      <w:r w:rsidRPr="00E05F46">
        <w:tab/>
      </w:r>
      <w:r w:rsidRPr="00E05F46">
        <w:tab/>
      </w:r>
      <w:r w:rsidR="00CA2CBC" w:rsidRPr="00E05F46">
        <w:t xml:space="preserve">         </w:t>
      </w:r>
      <w:r w:rsidR="00605CA0" w:rsidRPr="00E05F46">
        <w:t xml:space="preserve">44.163 </w:t>
      </w:r>
      <w:r w:rsidRPr="00E05F46">
        <w:t>triệu đồng</w:t>
      </w:r>
    </w:p>
    <w:p w14:paraId="569D20DA" w14:textId="0A1B76AF" w:rsidR="006C1FA2" w:rsidRPr="00E05F46" w:rsidRDefault="00761EDA" w:rsidP="00AB40F2">
      <w:pPr>
        <w:spacing w:before="60" w:after="60"/>
        <w:jc w:val="center"/>
        <w:rPr>
          <w:i/>
          <w:iCs/>
        </w:rPr>
      </w:pPr>
      <w:r w:rsidRPr="00E05F46">
        <w:rPr>
          <w:i/>
          <w:iCs/>
        </w:rPr>
        <w:t xml:space="preserve">(Số liệu kết </w:t>
      </w:r>
      <w:r w:rsidR="004B5BA6" w:rsidRPr="00E05F46">
        <w:rPr>
          <w:i/>
          <w:iCs/>
        </w:rPr>
        <w:t>quyết toán ngân sách</w:t>
      </w:r>
      <w:r w:rsidRPr="00E05F46">
        <w:rPr>
          <w:i/>
          <w:iCs/>
        </w:rPr>
        <w:t xml:space="preserve"> địa phương có thể thay đổi sau khi điều chỉnh số liệu quyết toán theo kiến nghị kiểm toán - nếu có)</w:t>
      </w:r>
    </w:p>
    <w:p w14:paraId="1C09ED74" w14:textId="77777777" w:rsidR="00761EDA" w:rsidRPr="00E05F46" w:rsidRDefault="00761EDA" w:rsidP="00AB40F2">
      <w:pPr>
        <w:spacing w:before="60" w:after="60"/>
        <w:jc w:val="center"/>
        <w:rPr>
          <w:b/>
          <w:bCs/>
        </w:rPr>
      </w:pPr>
    </w:p>
    <w:p w14:paraId="4A29FEF5" w14:textId="77777777" w:rsidR="00605CA0" w:rsidRPr="00E05F46" w:rsidRDefault="00605CA0" w:rsidP="00AB40F2">
      <w:pPr>
        <w:spacing w:before="120" w:after="120"/>
        <w:ind w:firstLine="720"/>
        <w:jc w:val="both"/>
        <w:rPr>
          <w:b/>
          <w:bCs/>
        </w:rPr>
      </w:pPr>
      <w:r w:rsidRPr="00E05F46">
        <w:rPr>
          <w:b/>
          <w:bCs/>
        </w:rPr>
        <w:br w:type="page"/>
      </w:r>
    </w:p>
    <w:p w14:paraId="12D0EACB" w14:textId="3F2D5BDD" w:rsidR="001F3EA1" w:rsidRPr="00E05F46" w:rsidRDefault="004D769E" w:rsidP="00AB40F2">
      <w:pPr>
        <w:spacing w:before="60" w:after="60"/>
        <w:jc w:val="center"/>
        <w:rPr>
          <w:b/>
          <w:bCs/>
        </w:rPr>
      </w:pPr>
      <w:r w:rsidRPr="00E05F46">
        <w:rPr>
          <w:b/>
          <w:bCs/>
        </w:rPr>
        <w:lastRenderedPageBreak/>
        <w:t>PHẦN THỨ HAI</w:t>
      </w:r>
    </w:p>
    <w:p w14:paraId="73CC2B09" w14:textId="77777777" w:rsidR="001F3EA1" w:rsidRPr="00E05F46" w:rsidRDefault="001F3EA1" w:rsidP="00AB40F2">
      <w:pPr>
        <w:spacing w:before="60" w:after="60"/>
        <w:jc w:val="center"/>
        <w:rPr>
          <w:b/>
          <w:bCs/>
          <w:sz w:val="26"/>
        </w:rPr>
      </w:pPr>
      <w:r w:rsidRPr="00E05F46">
        <w:rPr>
          <w:b/>
          <w:bCs/>
          <w:sz w:val="26"/>
        </w:rPr>
        <w:t xml:space="preserve">MỘT SỐ ĐÁNH GIÁ VỀ KẾT QUẢ THỰC HIỆN DỰ TOÁN </w:t>
      </w:r>
    </w:p>
    <w:p w14:paraId="7A9BE86F" w14:textId="3CA071A9" w:rsidR="001F3EA1" w:rsidRPr="00E05F46" w:rsidRDefault="001F3EA1" w:rsidP="00AB40F2">
      <w:pPr>
        <w:spacing w:before="60" w:after="60"/>
        <w:jc w:val="center"/>
        <w:rPr>
          <w:b/>
          <w:bCs/>
          <w:sz w:val="26"/>
        </w:rPr>
      </w:pPr>
      <w:r w:rsidRPr="00E05F46">
        <w:rPr>
          <w:b/>
          <w:bCs/>
          <w:sz w:val="26"/>
        </w:rPr>
        <w:t>THU - CHI NGÂN SÁCH ĐỊA PHƯƠNG NĂM 202</w:t>
      </w:r>
      <w:r w:rsidR="00E15FF8" w:rsidRPr="00E05F46">
        <w:rPr>
          <w:b/>
          <w:bCs/>
          <w:sz w:val="26"/>
        </w:rPr>
        <w:t>4</w:t>
      </w:r>
    </w:p>
    <w:p w14:paraId="2B62E4B3" w14:textId="77777777" w:rsidR="002879DA" w:rsidRPr="00E05F46" w:rsidRDefault="002879DA" w:rsidP="00AB40F2">
      <w:pPr>
        <w:spacing w:before="60" w:after="60"/>
        <w:ind w:firstLine="720"/>
        <w:jc w:val="both"/>
        <w:rPr>
          <w:b/>
        </w:rPr>
      </w:pPr>
    </w:p>
    <w:p w14:paraId="51295438" w14:textId="77777777" w:rsidR="001F3EA1" w:rsidRPr="00E05F46" w:rsidRDefault="001F3EA1" w:rsidP="00AB40F2">
      <w:pPr>
        <w:spacing w:before="60" w:after="60"/>
        <w:ind w:firstLine="720"/>
        <w:jc w:val="both"/>
      </w:pPr>
      <w:r w:rsidRPr="00E05F46">
        <w:rPr>
          <w:b/>
        </w:rPr>
        <w:t>I</w:t>
      </w:r>
      <w:r w:rsidRPr="00E05F46">
        <w:rPr>
          <w:b/>
          <w:bCs/>
        </w:rPr>
        <w:t xml:space="preserve">. Về thu ngân sách </w:t>
      </w:r>
      <w:r w:rsidRPr="00E05F46">
        <w:rPr>
          <w:i/>
          <w:iCs/>
        </w:rPr>
        <w:t>(Có biểu số liệu chi tiết kèm theo)</w:t>
      </w:r>
    </w:p>
    <w:p w14:paraId="332A1B12" w14:textId="017D6FDC" w:rsidR="00A63F89" w:rsidRPr="00E05F46" w:rsidRDefault="001F3EA1" w:rsidP="00AB40F2">
      <w:pPr>
        <w:spacing w:before="60" w:after="60"/>
        <w:ind w:firstLine="720"/>
        <w:jc w:val="both"/>
      </w:pPr>
      <w:r w:rsidRPr="00E05F46">
        <w:t xml:space="preserve">Tổng số quyết toán </w:t>
      </w:r>
      <w:r w:rsidR="00D23FBB" w:rsidRPr="00E05F46">
        <w:t>thu ngân sách nhà nước năm 202</w:t>
      </w:r>
      <w:r w:rsidR="00C56533" w:rsidRPr="00E05F46">
        <w:t>4</w:t>
      </w:r>
      <w:r w:rsidR="00D23FBB" w:rsidRPr="00E05F46">
        <w:t xml:space="preserve"> là </w:t>
      </w:r>
      <w:r w:rsidR="006A533E" w:rsidRPr="00E05F46">
        <w:t>54.702.713</w:t>
      </w:r>
      <w:r w:rsidR="00D055B1" w:rsidRPr="00E05F46">
        <w:t xml:space="preserve"> </w:t>
      </w:r>
      <w:r w:rsidR="006A533E" w:rsidRPr="00E05F46">
        <w:t>triệu</w:t>
      </w:r>
      <w:r w:rsidRPr="00E05F46">
        <w:t xml:space="preserve"> đồng, nếu loại trừ số thu chuyển giao giữa các cấp ngân sách</w:t>
      </w:r>
      <w:r w:rsidR="002A75FE" w:rsidRPr="00E05F46">
        <w:t xml:space="preserve"> </w:t>
      </w:r>
      <w:r w:rsidR="001245DF" w:rsidRPr="00E05F46">
        <w:rPr>
          <w:i/>
        </w:rPr>
        <w:t xml:space="preserve">12.766.852 triệu đồng </w:t>
      </w:r>
      <w:r w:rsidRPr="00E05F46">
        <w:t xml:space="preserve">thì tổng thu ngân sách nhà nước trên địa bàn là </w:t>
      </w:r>
      <w:r w:rsidR="001245DF" w:rsidRPr="00E05F46">
        <w:t>41.935.861 triệu</w:t>
      </w:r>
      <w:r w:rsidR="00D055B1" w:rsidRPr="00E05F46">
        <w:t xml:space="preserve"> </w:t>
      </w:r>
      <w:r w:rsidRPr="00E05F46">
        <w:t xml:space="preserve">đồng, bằng </w:t>
      </w:r>
      <w:r w:rsidR="00A50252" w:rsidRPr="00E05F46">
        <w:t>1</w:t>
      </w:r>
      <w:r w:rsidR="004A38A4" w:rsidRPr="00E05F46">
        <w:t>42</w:t>
      </w:r>
      <w:r w:rsidRPr="00E05F46">
        <w:t xml:space="preserve">% so với dự toán HĐND tỉnh giao, bằng </w:t>
      </w:r>
      <w:r w:rsidR="00A50252" w:rsidRPr="00E05F46">
        <w:t>1</w:t>
      </w:r>
      <w:r w:rsidR="004A38A4" w:rsidRPr="00E05F46">
        <w:t>5</w:t>
      </w:r>
      <w:r w:rsidR="00A50252" w:rsidRPr="00E05F46">
        <w:t>3</w:t>
      </w:r>
      <w:r w:rsidRPr="00E05F46">
        <w:t>% dự toán Trung ương giao</w:t>
      </w:r>
      <w:r w:rsidR="004A38A4" w:rsidRPr="00E05F46">
        <w:t>, tương đương với cùng kỳ năm 2023.</w:t>
      </w:r>
    </w:p>
    <w:p w14:paraId="3695FCAE" w14:textId="18CED3E2" w:rsidR="0065537D" w:rsidRPr="00E05F46" w:rsidRDefault="0065537D" w:rsidP="00AB40F2">
      <w:pPr>
        <w:spacing w:before="60"/>
        <w:ind w:firstLine="720"/>
        <w:jc w:val="both"/>
        <w:rPr>
          <w:spacing w:val="-2"/>
          <w:lang w:val="nl-NL"/>
        </w:rPr>
      </w:pPr>
      <w:r w:rsidRPr="00E05F46">
        <w:rPr>
          <w:spacing w:val="-2"/>
          <w:lang w:val="nl-NL"/>
        </w:rPr>
        <w:t>Nhìn chung thu ngân sách trên địa bàn năm 202</w:t>
      </w:r>
      <w:r w:rsidR="003250D1" w:rsidRPr="00E05F46">
        <w:rPr>
          <w:spacing w:val="-2"/>
          <w:lang w:val="nl-NL"/>
        </w:rPr>
        <w:t>4</w:t>
      </w:r>
      <w:r w:rsidRPr="00E05F46">
        <w:rPr>
          <w:spacing w:val="-2"/>
          <w:lang w:val="nl-NL"/>
        </w:rPr>
        <w:t xml:space="preserve"> đã vượt dự toán Trung ương và HĐND tỉnh giao; trong đó, thu nội địa vượt cả tổng mức và cân đối chung ngân sách địa phương; thu tiền sử dụng đất vượt dự toán khá lớn tạo thêm nguồn lực thực hiện nhiệm vụ chi đầu tư phát triển; </w:t>
      </w:r>
      <w:r w:rsidR="00D018C6" w:rsidRPr="00E05F46">
        <w:rPr>
          <w:spacing w:val="-2"/>
          <w:lang w:val="nl-NL"/>
        </w:rPr>
        <w:t>ngân sách cấp huyện, cấp xã</w:t>
      </w:r>
      <w:r w:rsidRPr="00E05F46">
        <w:rPr>
          <w:spacing w:val="-2"/>
          <w:lang w:val="nl-NL"/>
        </w:rPr>
        <w:t xml:space="preserve"> tăng thu thuế, phí, vừa đảm bảo các nhiệm vụ chi thường xuyên, vừa có điều kiện bổ sung nguồn lực thực hiện các nhiệm vụ cần thiết, cấp bách theo phân cấp của các địa phương.</w:t>
      </w:r>
    </w:p>
    <w:p w14:paraId="34846A98" w14:textId="442C02B0" w:rsidR="00705482" w:rsidRPr="00E05F46" w:rsidRDefault="00705482" w:rsidP="00AB40F2">
      <w:pPr>
        <w:spacing w:before="60" w:after="60"/>
        <w:ind w:firstLine="720"/>
        <w:jc w:val="both"/>
        <w:rPr>
          <w:lang w:val="nl-NL"/>
        </w:rPr>
      </w:pPr>
      <w:r w:rsidRPr="00E05F46">
        <w:rPr>
          <w:lang w:val="nl-NL"/>
        </w:rPr>
        <w:t>Một số chỉ tiêu cụ thể như sau:</w:t>
      </w:r>
    </w:p>
    <w:p w14:paraId="0561899D" w14:textId="77777777" w:rsidR="001F3EA1" w:rsidRPr="00E05F46" w:rsidRDefault="001F3EA1" w:rsidP="00AB40F2">
      <w:pPr>
        <w:spacing w:before="60" w:after="60"/>
        <w:jc w:val="both"/>
        <w:rPr>
          <w:b/>
          <w:bCs/>
          <w:lang w:val="nl-NL"/>
        </w:rPr>
      </w:pPr>
      <w:r w:rsidRPr="00E05F46">
        <w:rPr>
          <w:lang w:val="nl-NL"/>
        </w:rPr>
        <w:tab/>
      </w:r>
      <w:r w:rsidRPr="00E05F46">
        <w:rPr>
          <w:b/>
          <w:bCs/>
          <w:lang w:val="nl-NL"/>
        </w:rPr>
        <w:t xml:space="preserve">1. Thu ngân sách nhà nước trên địa bàn: </w:t>
      </w:r>
    </w:p>
    <w:p w14:paraId="09E9129F" w14:textId="56209C72" w:rsidR="001F3EA1" w:rsidRPr="00E05F46" w:rsidRDefault="001F3EA1" w:rsidP="00AB40F2">
      <w:pPr>
        <w:spacing w:before="60" w:after="60"/>
        <w:ind w:firstLine="720"/>
        <w:jc w:val="both"/>
        <w:rPr>
          <w:lang w:val="nl-NL"/>
        </w:rPr>
      </w:pPr>
      <w:r w:rsidRPr="00E05F46">
        <w:rPr>
          <w:lang w:val="nl-NL"/>
        </w:rPr>
        <w:t>Thu ngân sách nhà nước trên địa bàn năm 202</w:t>
      </w:r>
      <w:r w:rsidR="00565D34" w:rsidRPr="00E05F46">
        <w:rPr>
          <w:lang w:val="nl-NL"/>
        </w:rPr>
        <w:t>4</w:t>
      </w:r>
      <w:r w:rsidRPr="00E05F46">
        <w:rPr>
          <w:lang w:val="nl-NL"/>
        </w:rPr>
        <w:t xml:space="preserve"> là </w:t>
      </w:r>
      <w:r w:rsidR="002A75FE" w:rsidRPr="00E05F46">
        <w:rPr>
          <w:bCs/>
          <w:lang w:val="nl-NL"/>
        </w:rPr>
        <w:t>18.105.982 triệu đồng</w:t>
      </w:r>
      <w:r w:rsidRPr="00E05F46">
        <w:rPr>
          <w:lang w:val="nl-NL"/>
        </w:rPr>
        <w:t xml:space="preserve">, </w:t>
      </w:r>
      <w:r w:rsidR="00565D34" w:rsidRPr="00E05F46">
        <w:rPr>
          <w:lang w:val="nl-NL"/>
        </w:rPr>
        <w:t>tăng 3</w:t>
      </w:r>
      <w:r w:rsidRPr="00E05F46">
        <w:rPr>
          <w:lang w:val="nl-NL"/>
        </w:rPr>
        <w:t xml:space="preserve">% </w:t>
      </w:r>
      <w:r w:rsidR="00565D34" w:rsidRPr="00E05F46">
        <w:rPr>
          <w:lang w:val="nl-NL"/>
        </w:rPr>
        <w:t xml:space="preserve">so với </w:t>
      </w:r>
      <w:r w:rsidRPr="00E05F46">
        <w:rPr>
          <w:lang w:val="nl-NL"/>
        </w:rPr>
        <w:t>dự toán HĐND tỉnh giao</w:t>
      </w:r>
      <w:r w:rsidR="00F36FC9" w:rsidRPr="00E05F46">
        <w:rPr>
          <w:lang w:val="nl-NL"/>
        </w:rPr>
        <w:t xml:space="preserve">, tăng </w:t>
      </w:r>
      <w:r w:rsidR="00DB0E4A" w:rsidRPr="00E05F46">
        <w:rPr>
          <w:lang w:val="nl-NL"/>
        </w:rPr>
        <w:t>0,8% so với cùng kỳ 2023</w:t>
      </w:r>
      <w:r w:rsidRPr="00E05F46">
        <w:rPr>
          <w:lang w:val="nl-NL"/>
        </w:rPr>
        <w:t>; trong đó:</w:t>
      </w:r>
    </w:p>
    <w:p w14:paraId="3077FF4B" w14:textId="0E5B61FD" w:rsidR="00BB2437" w:rsidRPr="00E05F46" w:rsidRDefault="001F3EA1" w:rsidP="00FB6028">
      <w:pPr>
        <w:spacing w:before="60" w:after="60"/>
        <w:ind w:firstLine="720"/>
        <w:jc w:val="both"/>
        <w:rPr>
          <w:lang w:val="nl-NL"/>
        </w:rPr>
      </w:pPr>
      <w:r w:rsidRPr="00E05F46">
        <w:rPr>
          <w:bCs/>
          <w:iCs/>
          <w:lang w:val="nl-NL"/>
        </w:rPr>
        <w:t>1.1. Thu nội địa:</w:t>
      </w:r>
      <w:r w:rsidRPr="00E05F46">
        <w:rPr>
          <w:lang w:val="nl-NL"/>
        </w:rPr>
        <w:t xml:space="preserve"> </w:t>
      </w:r>
      <w:r w:rsidR="00EB23B3" w:rsidRPr="00E05F46">
        <w:rPr>
          <w:lang w:val="nl-NL"/>
        </w:rPr>
        <w:t>10.268.750 triệu đồng</w:t>
      </w:r>
      <w:r w:rsidR="00BB2437" w:rsidRPr="00E05F46">
        <w:rPr>
          <w:lang w:val="nl-NL"/>
        </w:rPr>
        <w:t>, tăng 27% so với dự toán HĐND tỉnh giao</w:t>
      </w:r>
      <w:r w:rsidR="008713AE" w:rsidRPr="00E05F46">
        <w:rPr>
          <w:lang w:val="nl-NL"/>
        </w:rPr>
        <w:t>, tăng 11,8% so với cùng kỳ</w:t>
      </w:r>
      <w:r w:rsidR="00BB2437" w:rsidRPr="00E05F46">
        <w:rPr>
          <w:lang w:val="nl-NL"/>
        </w:rPr>
        <w:t xml:space="preserve">. Nếu không tính tiền sử dụng đất, thu xổ số kiến thiết đưa vào bố trí chi đầu tư phát triển và số ghi thu, ghi chi thì số thu nội địa đưa vào cân đối chi thường xuyên là </w:t>
      </w:r>
      <w:r w:rsidR="00FB6028" w:rsidRPr="00E05F46">
        <w:rPr>
          <w:lang w:val="nl-NL"/>
        </w:rPr>
        <w:t>7.164.547/</w:t>
      </w:r>
      <w:r w:rsidR="00BB2437" w:rsidRPr="00E05F46">
        <w:rPr>
          <w:lang w:val="nl-NL"/>
        </w:rPr>
        <w:t>6.1</w:t>
      </w:r>
      <w:r w:rsidR="00415D5C" w:rsidRPr="00E05F46">
        <w:rPr>
          <w:lang w:val="nl-NL"/>
        </w:rPr>
        <w:t>78</w:t>
      </w:r>
      <w:r w:rsidR="009B6F00" w:rsidRPr="00E05F46">
        <w:rPr>
          <w:lang w:val="nl-NL"/>
        </w:rPr>
        <w:t>.000</w:t>
      </w:r>
      <w:r w:rsidR="00BB2437" w:rsidRPr="00E05F46">
        <w:rPr>
          <w:lang w:val="nl-NL"/>
        </w:rPr>
        <w:t xml:space="preserve"> </w:t>
      </w:r>
      <w:r w:rsidR="009B6F00" w:rsidRPr="00E05F46">
        <w:rPr>
          <w:lang w:val="nl-NL"/>
        </w:rPr>
        <w:t>triệu</w:t>
      </w:r>
      <w:r w:rsidR="00BB2437" w:rsidRPr="00E05F46">
        <w:rPr>
          <w:lang w:val="nl-NL"/>
        </w:rPr>
        <w:t xml:space="preserve"> đồng, </w:t>
      </w:r>
      <w:r w:rsidR="00415D5C" w:rsidRPr="00E05F46">
        <w:rPr>
          <w:lang w:val="nl-NL"/>
        </w:rPr>
        <w:t>tăng 15,9</w:t>
      </w:r>
      <w:r w:rsidR="00BB2437" w:rsidRPr="00E05F46">
        <w:rPr>
          <w:lang w:val="nl-NL"/>
        </w:rPr>
        <w:t xml:space="preserve">% </w:t>
      </w:r>
      <w:r w:rsidR="00415D5C" w:rsidRPr="00E05F46">
        <w:rPr>
          <w:lang w:val="nl-NL"/>
        </w:rPr>
        <w:t xml:space="preserve">so với </w:t>
      </w:r>
      <w:r w:rsidR="00BB2437" w:rsidRPr="00E05F46">
        <w:rPr>
          <w:lang w:val="nl-NL"/>
        </w:rPr>
        <w:t xml:space="preserve">dự toán HĐND tỉnh giao, </w:t>
      </w:r>
      <w:r w:rsidR="00415D5C" w:rsidRPr="00E05F46">
        <w:rPr>
          <w:lang w:val="nl-NL"/>
        </w:rPr>
        <w:t xml:space="preserve">tăng </w:t>
      </w:r>
      <w:r w:rsidR="007836C8" w:rsidRPr="00E05F46">
        <w:rPr>
          <w:lang w:val="nl-NL"/>
        </w:rPr>
        <w:t xml:space="preserve">5,3% so với cùng kỳ; </w:t>
      </w:r>
      <w:r w:rsidR="00BB2437" w:rsidRPr="00E05F46">
        <w:rPr>
          <w:lang w:val="nl-NL"/>
        </w:rPr>
        <w:t xml:space="preserve">trong đó ngân sách địa phương được hưởng </w:t>
      </w:r>
      <w:r w:rsidR="00AC573B" w:rsidRPr="00E05F46">
        <w:rPr>
          <w:lang w:val="nl-NL"/>
        </w:rPr>
        <w:t>6.320.198</w:t>
      </w:r>
      <w:r w:rsidR="00BB2437" w:rsidRPr="00E05F46">
        <w:rPr>
          <w:lang w:val="nl-NL"/>
        </w:rPr>
        <w:t>/</w:t>
      </w:r>
      <w:r w:rsidR="001548A2" w:rsidRPr="00E05F46">
        <w:rPr>
          <w:lang w:val="nl-NL"/>
        </w:rPr>
        <w:t>5.768.600 triệu</w:t>
      </w:r>
      <w:r w:rsidR="00BB2437" w:rsidRPr="00E05F46">
        <w:rPr>
          <w:lang w:val="nl-NL"/>
        </w:rPr>
        <w:t xml:space="preserve"> đồng, </w:t>
      </w:r>
      <w:r w:rsidR="00292F2D" w:rsidRPr="00E05F46">
        <w:rPr>
          <w:lang w:val="nl-NL"/>
        </w:rPr>
        <w:t>tăng 9,5</w:t>
      </w:r>
      <w:r w:rsidR="00BB2437" w:rsidRPr="00E05F46">
        <w:rPr>
          <w:lang w:val="nl-NL"/>
        </w:rPr>
        <w:t>%</w:t>
      </w:r>
      <w:r w:rsidR="00292F2D" w:rsidRPr="00E05F46">
        <w:rPr>
          <w:lang w:val="nl-NL"/>
        </w:rPr>
        <w:t xml:space="preserve"> so với</w:t>
      </w:r>
      <w:r w:rsidR="00BB2437" w:rsidRPr="00E05F46">
        <w:rPr>
          <w:lang w:val="nl-NL"/>
        </w:rPr>
        <w:t xml:space="preserve"> dự toán HĐND tỉnh giao</w:t>
      </w:r>
      <w:r w:rsidR="00292F2D" w:rsidRPr="00E05F46">
        <w:rPr>
          <w:lang w:val="nl-NL"/>
        </w:rPr>
        <w:t>, tương đương cùng kỳ năm trước.</w:t>
      </w:r>
    </w:p>
    <w:p w14:paraId="1B2D8188" w14:textId="4AACCAEF" w:rsidR="006E1DD8" w:rsidRPr="00E05F46" w:rsidRDefault="001F3EA1" w:rsidP="00AB40F2">
      <w:pPr>
        <w:tabs>
          <w:tab w:val="left" w:pos="3094"/>
        </w:tabs>
        <w:spacing w:before="60" w:after="60"/>
        <w:ind w:firstLine="720"/>
        <w:jc w:val="both"/>
        <w:rPr>
          <w:lang w:val="nl-NL"/>
        </w:rPr>
      </w:pPr>
      <w:r w:rsidRPr="00E05F46">
        <w:rPr>
          <w:lang w:val="nl-NL"/>
        </w:rPr>
        <w:t xml:space="preserve">Trong năm, </w:t>
      </w:r>
      <w:r w:rsidR="006E1DD8" w:rsidRPr="00E05F46">
        <w:rPr>
          <w:lang w:val="nl-NL"/>
        </w:rPr>
        <w:t>phần lớn các khoản giao thu (</w:t>
      </w:r>
      <w:r w:rsidR="00D90850" w:rsidRPr="00E05F46">
        <w:rPr>
          <w:lang w:val="nl-NL"/>
        </w:rPr>
        <w:t>1</w:t>
      </w:r>
      <w:r w:rsidR="00E135A9" w:rsidRPr="00E05F46">
        <w:rPr>
          <w:lang w:val="nl-NL"/>
        </w:rPr>
        <w:t>4</w:t>
      </w:r>
      <w:r w:rsidR="00D90850" w:rsidRPr="00E05F46">
        <w:rPr>
          <w:lang w:val="nl-NL"/>
        </w:rPr>
        <w:t>/1</w:t>
      </w:r>
      <w:r w:rsidR="00A852F4" w:rsidRPr="00E05F46">
        <w:rPr>
          <w:lang w:val="nl-NL"/>
        </w:rPr>
        <w:t>7</w:t>
      </w:r>
      <w:r w:rsidR="00D90850" w:rsidRPr="00E05F46">
        <w:rPr>
          <w:lang w:val="nl-NL"/>
        </w:rPr>
        <w:t xml:space="preserve"> khoản giao thu) </w:t>
      </w:r>
      <w:r w:rsidR="006E1DD8" w:rsidRPr="00E05F46">
        <w:rPr>
          <w:lang w:val="nl-NL"/>
        </w:rPr>
        <w:t>đều vượt dự toán HĐND tỉnh giao; trong đó một số khoản thu lớn như:</w:t>
      </w:r>
    </w:p>
    <w:p w14:paraId="22F20AF9" w14:textId="4A4404D5" w:rsidR="007C268C" w:rsidRPr="00E05F46" w:rsidRDefault="007C268C" w:rsidP="00AB40F2">
      <w:pPr>
        <w:spacing w:before="60" w:after="60"/>
        <w:ind w:firstLine="720"/>
        <w:jc w:val="both"/>
        <w:rPr>
          <w:iCs/>
          <w:lang w:val="nl-NL"/>
        </w:rPr>
      </w:pPr>
      <w:r w:rsidRPr="00E05F46">
        <w:rPr>
          <w:iCs/>
          <w:lang w:val="nl-NL"/>
        </w:rPr>
        <w:t xml:space="preserve">- Thu từ khu vực kinh tế ngoài quốc doanh: </w:t>
      </w:r>
      <w:r w:rsidR="003468AF" w:rsidRPr="00E05F46">
        <w:rPr>
          <w:iCs/>
          <w:lang w:val="nl-NL"/>
        </w:rPr>
        <w:t>1.570.312</w:t>
      </w:r>
      <w:r w:rsidRPr="00E05F46">
        <w:rPr>
          <w:iCs/>
          <w:lang w:val="nl-NL"/>
        </w:rPr>
        <w:t>/</w:t>
      </w:r>
      <w:r w:rsidR="00F37B62" w:rsidRPr="00E05F46">
        <w:rPr>
          <w:iCs/>
          <w:lang w:val="nl-NL"/>
        </w:rPr>
        <w:t>1.181</w:t>
      </w:r>
      <w:r w:rsidR="003468AF" w:rsidRPr="00E05F46">
        <w:rPr>
          <w:iCs/>
          <w:lang w:val="nl-NL"/>
        </w:rPr>
        <w:t>.000</w:t>
      </w:r>
      <w:r w:rsidRPr="00E05F46">
        <w:rPr>
          <w:iCs/>
          <w:lang w:val="nl-NL"/>
        </w:rPr>
        <w:t xml:space="preserve"> </w:t>
      </w:r>
      <w:r w:rsidR="003468AF" w:rsidRPr="00E05F46">
        <w:rPr>
          <w:iCs/>
          <w:lang w:val="nl-NL"/>
        </w:rPr>
        <w:t>triệu</w:t>
      </w:r>
      <w:r w:rsidRPr="00E05F46">
        <w:rPr>
          <w:iCs/>
          <w:lang w:val="nl-NL"/>
        </w:rPr>
        <w:t xml:space="preserve"> đồng, tăng</w:t>
      </w:r>
      <w:r w:rsidR="00F22032" w:rsidRPr="00E05F46">
        <w:rPr>
          <w:iCs/>
          <w:lang w:val="nl-NL"/>
        </w:rPr>
        <w:t xml:space="preserve"> 389.312 triệu</w:t>
      </w:r>
      <w:r w:rsidRPr="00E05F46">
        <w:rPr>
          <w:iCs/>
          <w:lang w:val="nl-NL"/>
        </w:rPr>
        <w:t xml:space="preserve"> đồng, tương ứng tăng </w:t>
      </w:r>
      <w:r w:rsidR="00F37B62" w:rsidRPr="00E05F46">
        <w:rPr>
          <w:iCs/>
          <w:lang w:val="nl-NL"/>
        </w:rPr>
        <w:t>33</w:t>
      </w:r>
      <w:r w:rsidRPr="00E05F46">
        <w:rPr>
          <w:iCs/>
          <w:lang w:val="nl-NL"/>
        </w:rPr>
        <w:t xml:space="preserve">% </w:t>
      </w:r>
      <w:r w:rsidR="00D172D0" w:rsidRPr="00E05F46">
        <w:rPr>
          <w:iCs/>
          <w:lang w:val="nl-NL"/>
        </w:rPr>
        <w:t xml:space="preserve">so với </w:t>
      </w:r>
      <w:r w:rsidRPr="00E05F46">
        <w:rPr>
          <w:iCs/>
          <w:lang w:val="nl-NL"/>
        </w:rPr>
        <w:t>dự toán HĐND tỉnh giao.</w:t>
      </w:r>
    </w:p>
    <w:p w14:paraId="2F4FD88B" w14:textId="22C42426" w:rsidR="00C66273" w:rsidRPr="00E05F46" w:rsidRDefault="00C66273" w:rsidP="00AB40F2">
      <w:pPr>
        <w:spacing w:before="60" w:after="60"/>
        <w:ind w:firstLine="720"/>
        <w:jc w:val="both"/>
        <w:rPr>
          <w:iCs/>
          <w:lang w:val="nl-NL"/>
        </w:rPr>
      </w:pPr>
      <w:r w:rsidRPr="00E05F46">
        <w:rPr>
          <w:iCs/>
          <w:lang w:val="nl-NL"/>
        </w:rPr>
        <w:t xml:space="preserve">- Thuế bảo vệ môi trường: </w:t>
      </w:r>
      <w:r w:rsidR="0022257C" w:rsidRPr="00E05F46">
        <w:rPr>
          <w:iCs/>
          <w:lang w:val="nl-NL"/>
        </w:rPr>
        <w:t>1.122.685</w:t>
      </w:r>
      <w:r w:rsidRPr="00E05F46">
        <w:rPr>
          <w:iCs/>
          <w:lang w:val="nl-NL"/>
        </w:rPr>
        <w:t>/660</w:t>
      </w:r>
      <w:r w:rsidR="0022257C" w:rsidRPr="00E05F46">
        <w:rPr>
          <w:iCs/>
          <w:lang w:val="nl-NL"/>
        </w:rPr>
        <w:t>.000</w:t>
      </w:r>
      <w:r w:rsidRPr="00E05F46">
        <w:rPr>
          <w:iCs/>
          <w:lang w:val="nl-NL"/>
        </w:rPr>
        <w:t xml:space="preserve"> t</w:t>
      </w:r>
      <w:r w:rsidR="0022257C" w:rsidRPr="00E05F46">
        <w:rPr>
          <w:iCs/>
          <w:lang w:val="nl-NL"/>
        </w:rPr>
        <w:t>riệu</w:t>
      </w:r>
      <w:r w:rsidRPr="00E05F46">
        <w:rPr>
          <w:iCs/>
          <w:lang w:val="nl-NL"/>
        </w:rPr>
        <w:t xml:space="preserve"> đồng, tăng </w:t>
      </w:r>
      <w:r w:rsidR="0022257C" w:rsidRPr="00E05F46">
        <w:rPr>
          <w:iCs/>
          <w:lang w:val="nl-NL"/>
        </w:rPr>
        <w:t>462.685</w:t>
      </w:r>
      <w:r w:rsidR="00D172D0" w:rsidRPr="00E05F46">
        <w:rPr>
          <w:iCs/>
          <w:lang w:val="nl-NL"/>
        </w:rPr>
        <w:t xml:space="preserve"> </w:t>
      </w:r>
      <w:r w:rsidR="0022257C" w:rsidRPr="00E05F46">
        <w:rPr>
          <w:iCs/>
          <w:lang w:val="nl-NL"/>
        </w:rPr>
        <w:t>triệu</w:t>
      </w:r>
      <w:r w:rsidR="00D172D0" w:rsidRPr="00E05F46">
        <w:rPr>
          <w:iCs/>
          <w:lang w:val="nl-NL"/>
        </w:rPr>
        <w:t xml:space="preserve"> đồng, tương ứng tăng 70% so với dự toán HĐND tỉnh giao.</w:t>
      </w:r>
    </w:p>
    <w:p w14:paraId="134FF5B9" w14:textId="0FBE9AEE" w:rsidR="00D3026B" w:rsidRPr="00E05F46" w:rsidRDefault="00D3026B" w:rsidP="00AB40F2">
      <w:pPr>
        <w:spacing w:before="60" w:after="60"/>
        <w:ind w:firstLine="720"/>
        <w:jc w:val="both"/>
        <w:rPr>
          <w:iCs/>
          <w:lang w:val="nl-NL"/>
        </w:rPr>
      </w:pPr>
      <w:r w:rsidRPr="00E05F46">
        <w:rPr>
          <w:iCs/>
          <w:lang w:val="nl-NL"/>
        </w:rPr>
        <w:t xml:space="preserve">- Thu tiền sử dụng đất: </w:t>
      </w:r>
      <w:r w:rsidR="001425A9" w:rsidRPr="00E05F46">
        <w:rPr>
          <w:iCs/>
          <w:lang w:val="nl-NL"/>
        </w:rPr>
        <w:t>3.073.006</w:t>
      </w:r>
      <w:r w:rsidRPr="00E05F46">
        <w:rPr>
          <w:iCs/>
          <w:lang w:val="nl-NL"/>
        </w:rPr>
        <w:t>/1.</w:t>
      </w:r>
      <w:r w:rsidR="002E1201" w:rsidRPr="00E05F46">
        <w:rPr>
          <w:iCs/>
          <w:lang w:val="nl-NL"/>
        </w:rPr>
        <w:t>9</w:t>
      </w:r>
      <w:r w:rsidRPr="00E05F46">
        <w:rPr>
          <w:iCs/>
          <w:lang w:val="nl-NL"/>
        </w:rPr>
        <w:t>00</w:t>
      </w:r>
      <w:r w:rsidR="001425A9" w:rsidRPr="00E05F46">
        <w:rPr>
          <w:iCs/>
          <w:lang w:val="nl-NL"/>
        </w:rPr>
        <w:t>.000</w:t>
      </w:r>
      <w:r w:rsidRPr="00E05F46">
        <w:rPr>
          <w:iCs/>
          <w:lang w:val="nl-NL"/>
        </w:rPr>
        <w:t xml:space="preserve"> </w:t>
      </w:r>
      <w:r w:rsidR="001425A9" w:rsidRPr="00E05F46">
        <w:rPr>
          <w:iCs/>
          <w:lang w:val="nl-NL"/>
        </w:rPr>
        <w:t>triệu</w:t>
      </w:r>
      <w:r w:rsidRPr="00E05F46">
        <w:rPr>
          <w:iCs/>
          <w:lang w:val="nl-NL"/>
        </w:rPr>
        <w:t xml:space="preserve"> đồng, tăng </w:t>
      </w:r>
      <w:r w:rsidR="002E1201" w:rsidRPr="00E05F46">
        <w:rPr>
          <w:iCs/>
          <w:lang w:val="nl-NL"/>
        </w:rPr>
        <w:t>1.173</w:t>
      </w:r>
      <w:r w:rsidR="001425A9" w:rsidRPr="00E05F46">
        <w:rPr>
          <w:iCs/>
          <w:lang w:val="nl-NL"/>
        </w:rPr>
        <w:t>.006</w:t>
      </w:r>
      <w:r w:rsidRPr="00E05F46">
        <w:rPr>
          <w:iCs/>
          <w:lang w:val="nl-NL"/>
        </w:rPr>
        <w:t xml:space="preserve"> </w:t>
      </w:r>
      <w:r w:rsidR="001425A9" w:rsidRPr="00E05F46">
        <w:rPr>
          <w:iCs/>
          <w:lang w:val="nl-NL"/>
        </w:rPr>
        <w:t>triệu</w:t>
      </w:r>
      <w:r w:rsidRPr="00E05F46">
        <w:rPr>
          <w:iCs/>
          <w:lang w:val="nl-NL"/>
        </w:rPr>
        <w:t xml:space="preserve"> đồng, tương ứng tăng </w:t>
      </w:r>
      <w:r w:rsidR="002E1201" w:rsidRPr="00E05F46">
        <w:rPr>
          <w:iCs/>
          <w:lang w:val="nl-NL"/>
        </w:rPr>
        <w:t>62</w:t>
      </w:r>
      <w:r w:rsidRPr="00E05F46">
        <w:rPr>
          <w:iCs/>
          <w:lang w:val="nl-NL"/>
        </w:rPr>
        <w:t xml:space="preserve">% dự toán HĐND tỉnh giao; trong đó ngân sách tỉnh hưởng </w:t>
      </w:r>
      <w:r w:rsidR="001425A9" w:rsidRPr="00E05F46">
        <w:rPr>
          <w:iCs/>
          <w:lang w:val="nl-NL"/>
        </w:rPr>
        <w:t>656.267</w:t>
      </w:r>
      <w:r w:rsidR="00DF768F" w:rsidRPr="00E05F46">
        <w:rPr>
          <w:iCs/>
          <w:lang w:val="nl-NL"/>
        </w:rPr>
        <w:t>/</w:t>
      </w:r>
      <w:r w:rsidR="00303F9E" w:rsidRPr="00E05F46">
        <w:rPr>
          <w:iCs/>
          <w:lang w:val="nl-NL"/>
        </w:rPr>
        <w:t>363.360</w:t>
      </w:r>
      <w:r w:rsidR="00DF768F" w:rsidRPr="00E05F46">
        <w:rPr>
          <w:iCs/>
          <w:lang w:val="nl-NL"/>
        </w:rPr>
        <w:t xml:space="preserve"> t</w:t>
      </w:r>
      <w:r w:rsidR="001425A9" w:rsidRPr="00E05F46">
        <w:rPr>
          <w:iCs/>
          <w:lang w:val="nl-NL"/>
        </w:rPr>
        <w:t>riệu</w:t>
      </w:r>
      <w:r w:rsidR="00DF768F" w:rsidRPr="00E05F46">
        <w:rPr>
          <w:iCs/>
          <w:lang w:val="nl-NL"/>
        </w:rPr>
        <w:t xml:space="preserve"> đồng, </w:t>
      </w:r>
      <w:r w:rsidR="001D171A" w:rsidRPr="00E05F46">
        <w:rPr>
          <w:iCs/>
          <w:lang w:val="nl-NL"/>
        </w:rPr>
        <w:t>tăng 81</w:t>
      </w:r>
      <w:r w:rsidR="00CD4556" w:rsidRPr="00E05F46">
        <w:rPr>
          <w:iCs/>
          <w:lang w:val="nl-NL"/>
        </w:rPr>
        <w:t xml:space="preserve">% </w:t>
      </w:r>
      <w:r w:rsidR="001D171A" w:rsidRPr="00E05F46">
        <w:rPr>
          <w:iCs/>
          <w:lang w:val="nl-NL"/>
        </w:rPr>
        <w:t xml:space="preserve">so với </w:t>
      </w:r>
      <w:r w:rsidR="00CD4556" w:rsidRPr="00E05F46">
        <w:rPr>
          <w:iCs/>
          <w:lang w:val="nl-NL"/>
        </w:rPr>
        <w:t>dự toán HĐND tỉnh giao</w:t>
      </w:r>
      <w:r w:rsidR="008B2AF7" w:rsidRPr="00E05F46">
        <w:rPr>
          <w:iCs/>
          <w:lang w:val="nl-NL"/>
        </w:rPr>
        <w:t xml:space="preserve">; ngân sách cấp huyện, cấp xã hưởng </w:t>
      </w:r>
      <w:r w:rsidR="00A239F0" w:rsidRPr="00E05F46">
        <w:rPr>
          <w:iCs/>
          <w:lang w:val="nl-NL"/>
        </w:rPr>
        <w:t>2.416.739</w:t>
      </w:r>
      <w:r w:rsidR="00967307" w:rsidRPr="00E05F46">
        <w:rPr>
          <w:iCs/>
          <w:lang w:val="nl-NL"/>
        </w:rPr>
        <w:t>/</w:t>
      </w:r>
      <w:r w:rsidR="00A239F0" w:rsidRPr="00E05F46">
        <w:rPr>
          <w:iCs/>
          <w:lang w:val="nl-NL"/>
        </w:rPr>
        <w:t>1.536.640 triệu</w:t>
      </w:r>
      <w:r w:rsidR="00967307" w:rsidRPr="00E05F46">
        <w:rPr>
          <w:iCs/>
          <w:lang w:val="nl-NL"/>
        </w:rPr>
        <w:t xml:space="preserve"> đồng, </w:t>
      </w:r>
      <w:r w:rsidR="001F154D" w:rsidRPr="00E05F46">
        <w:rPr>
          <w:iCs/>
          <w:lang w:val="nl-NL"/>
        </w:rPr>
        <w:t>tăng 57% so với dự toán HĐND tỉnh giao</w:t>
      </w:r>
    </w:p>
    <w:p w14:paraId="0640A909" w14:textId="16CFBF47" w:rsidR="00642844" w:rsidRPr="00E05F46" w:rsidRDefault="00642844" w:rsidP="00AB40F2">
      <w:pPr>
        <w:spacing w:before="60" w:after="60"/>
        <w:ind w:firstLine="720"/>
        <w:jc w:val="both"/>
        <w:rPr>
          <w:lang w:val="nl-NL"/>
        </w:rPr>
      </w:pPr>
      <w:r w:rsidRPr="00E05F46">
        <w:rPr>
          <w:lang w:val="fr-FR"/>
        </w:rPr>
        <w:t>- Thu khác ngân sách</w:t>
      </w:r>
      <w:r w:rsidRPr="00E05F46">
        <w:rPr>
          <w:lang w:val="nl-NL"/>
        </w:rPr>
        <w:t xml:space="preserve">: </w:t>
      </w:r>
      <w:r w:rsidR="00CA765C" w:rsidRPr="00E05F46">
        <w:rPr>
          <w:lang w:val="nl-NL"/>
        </w:rPr>
        <w:t>562.649</w:t>
      </w:r>
      <w:r w:rsidRPr="00E05F46">
        <w:rPr>
          <w:lang w:val="nl-NL"/>
        </w:rPr>
        <w:t>/</w:t>
      </w:r>
      <w:r w:rsidR="00336A12" w:rsidRPr="00E05F46">
        <w:rPr>
          <w:lang w:val="nl-NL"/>
        </w:rPr>
        <w:t>200</w:t>
      </w:r>
      <w:r w:rsidR="00CA765C" w:rsidRPr="00E05F46">
        <w:rPr>
          <w:lang w:val="nl-NL"/>
        </w:rPr>
        <w:t>.000</w:t>
      </w:r>
      <w:r w:rsidRPr="00E05F46">
        <w:rPr>
          <w:lang w:val="nl-NL"/>
        </w:rPr>
        <w:t xml:space="preserve"> </w:t>
      </w:r>
      <w:r w:rsidR="00CA765C" w:rsidRPr="00E05F46">
        <w:rPr>
          <w:lang w:val="nl-NL"/>
        </w:rPr>
        <w:t>triệu</w:t>
      </w:r>
      <w:r w:rsidRPr="00E05F46">
        <w:rPr>
          <w:lang w:val="nl-NL"/>
        </w:rPr>
        <w:t xml:space="preserve"> đồng, tăng </w:t>
      </w:r>
      <w:r w:rsidR="00E537DA" w:rsidRPr="00E05F46">
        <w:rPr>
          <w:lang w:val="nl-NL"/>
        </w:rPr>
        <w:t xml:space="preserve">362.649 triệu </w:t>
      </w:r>
      <w:r w:rsidRPr="00E05F46">
        <w:rPr>
          <w:lang w:val="nl-NL"/>
        </w:rPr>
        <w:t xml:space="preserve">đồng, tương ứng tăng </w:t>
      </w:r>
      <w:r w:rsidR="00336A12" w:rsidRPr="00E05F46">
        <w:rPr>
          <w:lang w:val="nl-NL"/>
        </w:rPr>
        <w:t>181</w:t>
      </w:r>
      <w:r w:rsidRPr="00E05F46">
        <w:rPr>
          <w:lang w:val="nl-NL"/>
        </w:rPr>
        <w:t>% so với dự toán HĐND tỉnh giao.</w:t>
      </w:r>
    </w:p>
    <w:p w14:paraId="5C6A8CDE" w14:textId="68A3DB0A" w:rsidR="001F3EA1" w:rsidRPr="00E05F46" w:rsidRDefault="00843763" w:rsidP="00AB40F2">
      <w:pPr>
        <w:spacing w:before="60" w:after="60"/>
        <w:ind w:firstLine="720"/>
        <w:jc w:val="both"/>
        <w:rPr>
          <w:spacing w:val="2"/>
          <w:lang w:val="nl-NL"/>
        </w:rPr>
      </w:pPr>
      <w:r w:rsidRPr="00E05F46">
        <w:rPr>
          <w:spacing w:val="2"/>
          <w:lang w:val="nl-NL"/>
        </w:rPr>
        <w:lastRenderedPageBreak/>
        <w:t>Bên cạnh đó</w:t>
      </w:r>
      <w:r w:rsidR="00D90850" w:rsidRPr="00E05F46">
        <w:rPr>
          <w:spacing w:val="2"/>
          <w:lang w:val="nl-NL"/>
        </w:rPr>
        <w:t xml:space="preserve">, có </w:t>
      </w:r>
      <w:r w:rsidRPr="00E05F46">
        <w:rPr>
          <w:spacing w:val="2"/>
          <w:lang w:val="nl-NL"/>
        </w:rPr>
        <w:t>0</w:t>
      </w:r>
      <w:r w:rsidR="00852C4C" w:rsidRPr="00E05F46">
        <w:rPr>
          <w:spacing w:val="2"/>
          <w:lang w:val="nl-NL"/>
        </w:rPr>
        <w:t>3</w:t>
      </w:r>
      <w:r w:rsidR="00D90850" w:rsidRPr="00E05F46">
        <w:rPr>
          <w:spacing w:val="2"/>
          <w:lang w:val="nl-NL"/>
        </w:rPr>
        <w:t xml:space="preserve"> khoản giao thu chưa đạt dự toán HĐND tỉnh giao</w:t>
      </w:r>
      <w:r w:rsidR="00E33200" w:rsidRPr="00E05F46">
        <w:rPr>
          <w:spacing w:val="2"/>
          <w:lang w:val="nl-NL"/>
        </w:rPr>
        <w:t xml:space="preserve">; </w:t>
      </w:r>
      <w:r w:rsidR="00E37AB5" w:rsidRPr="00E05F46">
        <w:rPr>
          <w:spacing w:val="2"/>
          <w:lang w:val="nl-NL"/>
        </w:rPr>
        <w:t>cụ thể:</w:t>
      </w:r>
    </w:p>
    <w:p w14:paraId="57758B15" w14:textId="23116CFB" w:rsidR="007C268C" w:rsidRPr="00E05F46" w:rsidRDefault="007C268C" w:rsidP="00AB40F2">
      <w:pPr>
        <w:tabs>
          <w:tab w:val="left" w:pos="3094"/>
        </w:tabs>
        <w:spacing w:before="60" w:after="60"/>
        <w:ind w:firstLine="720"/>
        <w:jc w:val="both"/>
        <w:rPr>
          <w:lang w:val="nl-NL"/>
        </w:rPr>
      </w:pPr>
      <w:r w:rsidRPr="00E05F46">
        <w:rPr>
          <w:lang w:val="nl-NL"/>
        </w:rPr>
        <w:t xml:space="preserve">- </w:t>
      </w:r>
      <w:r w:rsidR="004123B7" w:rsidRPr="00E05F46">
        <w:rPr>
          <w:lang w:val="nl-NL"/>
        </w:rPr>
        <w:t>Thu từ khu vực doanh nghiệp nhà nước do địa phương quản lý</w:t>
      </w:r>
      <w:r w:rsidRPr="00E05F46">
        <w:rPr>
          <w:lang w:val="nl-NL"/>
        </w:rPr>
        <w:t xml:space="preserve">: </w:t>
      </w:r>
      <w:r w:rsidR="0096702E" w:rsidRPr="00E05F46">
        <w:rPr>
          <w:lang w:val="nl-NL"/>
        </w:rPr>
        <w:t>85.637</w:t>
      </w:r>
      <w:r w:rsidR="00D90850" w:rsidRPr="00E05F46">
        <w:rPr>
          <w:lang w:val="nl-NL"/>
        </w:rPr>
        <w:t>/</w:t>
      </w:r>
      <w:r w:rsidR="0096702E" w:rsidRPr="00E05F46">
        <w:rPr>
          <w:lang w:val="nl-NL"/>
        </w:rPr>
        <w:t xml:space="preserve"> 104.630</w:t>
      </w:r>
      <w:r w:rsidR="00D90850" w:rsidRPr="00E05F46">
        <w:rPr>
          <w:lang w:val="nl-NL"/>
        </w:rPr>
        <w:t xml:space="preserve"> </w:t>
      </w:r>
      <w:r w:rsidR="0096702E" w:rsidRPr="00E05F46">
        <w:rPr>
          <w:lang w:val="nl-NL"/>
        </w:rPr>
        <w:t>triệu</w:t>
      </w:r>
      <w:r w:rsidR="00D90850" w:rsidRPr="00E05F46">
        <w:rPr>
          <w:lang w:val="nl-NL"/>
        </w:rPr>
        <w:t xml:space="preserve"> đồng</w:t>
      </w:r>
      <w:r w:rsidRPr="00E05F46">
        <w:rPr>
          <w:lang w:val="nl-NL"/>
        </w:rPr>
        <w:t xml:space="preserve">, </w:t>
      </w:r>
      <w:r w:rsidR="00D90850" w:rsidRPr="00E05F46">
        <w:rPr>
          <w:lang w:val="nl-NL"/>
        </w:rPr>
        <w:t xml:space="preserve">giảm </w:t>
      </w:r>
      <w:r w:rsidR="00D2102D" w:rsidRPr="00E05F46">
        <w:rPr>
          <w:lang w:val="nl-NL"/>
        </w:rPr>
        <w:t xml:space="preserve">18.993 triệu </w:t>
      </w:r>
      <w:r w:rsidR="00D90850" w:rsidRPr="00E05F46">
        <w:rPr>
          <w:lang w:val="nl-NL"/>
        </w:rPr>
        <w:t>đồng</w:t>
      </w:r>
      <w:r w:rsidRPr="00E05F46">
        <w:rPr>
          <w:lang w:val="nl-NL"/>
        </w:rPr>
        <w:t xml:space="preserve">, tương ứng </w:t>
      </w:r>
      <w:r w:rsidR="00D90850" w:rsidRPr="00E05F46">
        <w:rPr>
          <w:lang w:val="nl-NL"/>
        </w:rPr>
        <w:t xml:space="preserve">giảm </w:t>
      </w:r>
      <w:r w:rsidR="005D730D" w:rsidRPr="00E05F46">
        <w:rPr>
          <w:lang w:val="nl-NL"/>
        </w:rPr>
        <w:t>18</w:t>
      </w:r>
      <w:r w:rsidRPr="00E05F46">
        <w:rPr>
          <w:lang w:val="nl-NL"/>
        </w:rPr>
        <w:t>% so với dự toán HĐND tỉnh giao</w:t>
      </w:r>
      <w:r w:rsidR="00CD3400" w:rsidRPr="00E05F46">
        <w:rPr>
          <w:rStyle w:val="FootnoteReference"/>
          <w:lang w:val="nl-NL"/>
        </w:rPr>
        <w:footnoteReference w:id="4"/>
      </w:r>
      <w:r w:rsidRPr="00E05F46">
        <w:rPr>
          <w:lang w:val="nl-NL"/>
        </w:rPr>
        <w:t>.</w:t>
      </w:r>
    </w:p>
    <w:p w14:paraId="74763F88" w14:textId="718CF58D" w:rsidR="00524091" w:rsidRPr="00E05F46" w:rsidRDefault="00524091" w:rsidP="00AB40F2">
      <w:pPr>
        <w:tabs>
          <w:tab w:val="left" w:pos="3094"/>
        </w:tabs>
        <w:spacing w:before="60" w:after="60"/>
        <w:ind w:firstLine="720"/>
        <w:jc w:val="both"/>
        <w:rPr>
          <w:lang w:val="nl-NL"/>
        </w:rPr>
      </w:pPr>
      <w:r w:rsidRPr="00E05F46">
        <w:rPr>
          <w:lang w:val="nl-NL"/>
        </w:rPr>
        <w:t xml:space="preserve">- </w:t>
      </w:r>
      <w:r w:rsidR="00BB2015" w:rsidRPr="00E05F46">
        <w:rPr>
          <w:lang w:val="nl-NL"/>
        </w:rPr>
        <w:t>Thu doanh nghiệp có vốn đầu tư nước ngoài</w:t>
      </w:r>
      <w:r w:rsidRPr="00E05F46">
        <w:rPr>
          <w:lang w:val="nl-NL"/>
        </w:rPr>
        <w:t xml:space="preserve">: </w:t>
      </w:r>
      <w:r w:rsidR="00D85B21" w:rsidRPr="00E05F46">
        <w:rPr>
          <w:lang w:val="nl-NL"/>
        </w:rPr>
        <w:t>1.087.406</w:t>
      </w:r>
      <w:r w:rsidRPr="00E05F46">
        <w:rPr>
          <w:lang w:val="nl-NL"/>
        </w:rPr>
        <w:t>/</w:t>
      </w:r>
      <w:r w:rsidR="00BB2015" w:rsidRPr="00E05F46">
        <w:rPr>
          <w:lang w:val="nl-NL"/>
        </w:rPr>
        <w:t>1.950</w:t>
      </w:r>
      <w:r w:rsidR="00D85B21" w:rsidRPr="00E05F46">
        <w:rPr>
          <w:lang w:val="nl-NL"/>
        </w:rPr>
        <w:t>.000</w:t>
      </w:r>
      <w:r w:rsidRPr="00E05F46">
        <w:rPr>
          <w:lang w:val="nl-NL"/>
        </w:rPr>
        <w:t xml:space="preserve"> </w:t>
      </w:r>
      <w:r w:rsidR="00D85B21" w:rsidRPr="00E05F46">
        <w:rPr>
          <w:lang w:val="nl-NL"/>
        </w:rPr>
        <w:t>triệu</w:t>
      </w:r>
      <w:r w:rsidRPr="00E05F46">
        <w:rPr>
          <w:lang w:val="nl-NL"/>
        </w:rPr>
        <w:t xml:space="preserve"> đồng, giảm </w:t>
      </w:r>
      <w:r w:rsidR="001B0B75" w:rsidRPr="00E05F46">
        <w:rPr>
          <w:lang w:val="nl-NL"/>
        </w:rPr>
        <w:t>86</w:t>
      </w:r>
      <w:r w:rsidR="00D85B21" w:rsidRPr="00E05F46">
        <w:rPr>
          <w:lang w:val="nl-NL"/>
        </w:rPr>
        <w:t>2.594</w:t>
      </w:r>
      <w:r w:rsidRPr="00E05F46">
        <w:rPr>
          <w:lang w:val="nl-NL"/>
        </w:rPr>
        <w:t xml:space="preserve"> </w:t>
      </w:r>
      <w:r w:rsidR="00D85B21" w:rsidRPr="00E05F46">
        <w:rPr>
          <w:lang w:val="nl-NL"/>
        </w:rPr>
        <w:t>triệu</w:t>
      </w:r>
      <w:r w:rsidRPr="00E05F46">
        <w:rPr>
          <w:lang w:val="nl-NL"/>
        </w:rPr>
        <w:t xml:space="preserve"> đồng, tương ứng giảm </w:t>
      </w:r>
      <w:r w:rsidR="001B0B75" w:rsidRPr="00E05F46">
        <w:rPr>
          <w:lang w:val="nl-NL"/>
        </w:rPr>
        <w:t>44</w:t>
      </w:r>
      <w:r w:rsidRPr="00E05F46">
        <w:rPr>
          <w:lang w:val="nl-NL"/>
        </w:rPr>
        <w:t>% so với dự toán HĐND tỉnh giao</w:t>
      </w:r>
      <w:r w:rsidR="004F3DDF" w:rsidRPr="00E05F46">
        <w:rPr>
          <w:rStyle w:val="FootnoteReference"/>
          <w:lang w:val="nl-NL"/>
        </w:rPr>
        <w:footnoteReference w:id="5"/>
      </w:r>
      <w:r w:rsidR="001B0B75" w:rsidRPr="00E05F46">
        <w:rPr>
          <w:lang w:val="nl-NL"/>
        </w:rPr>
        <w:t>; nếu loại trừ khoản giao thu từ thanh tra thuế formosa (1.155</w:t>
      </w:r>
      <w:r w:rsidR="000D1AAC" w:rsidRPr="00E05F46">
        <w:rPr>
          <w:lang w:val="nl-NL"/>
        </w:rPr>
        <w:t>.000</w:t>
      </w:r>
      <w:r w:rsidR="001B0B75" w:rsidRPr="00E05F46">
        <w:rPr>
          <w:lang w:val="nl-NL"/>
        </w:rPr>
        <w:t xml:space="preserve"> </w:t>
      </w:r>
      <w:r w:rsidR="000D1AAC" w:rsidRPr="00E05F46">
        <w:rPr>
          <w:lang w:val="nl-NL"/>
        </w:rPr>
        <w:t>triệu</w:t>
      </w:r>
      <w:r w:rsidR="001B0B75" w:rsidRPr="00E05F46">
        <w:rPr>
          <w:lang w:val="nl-NL"/>
        </w:rPr>
        <w:t xml:space="preserve"> đồng</w:t>
      </w:r>
      <w:r w:rsidR="007A5FFD" w:rsidRPr="00E05F46">
        <w:rPr>
          <w:lang w:val="nl-NL"/>
        </w:rPr>
        <w:t>)</w:t>
      </w:r>
      <w:r w:rsidR="001B0B75" w:rsidRPr="00E05F46">
        <w:rPr>
          <w:lang w:val="nl-NL"/>
        </w:rPr>
        <w:t xml:space="preserve"> không thu được trong năm </w:t>
      </w:r>
      <w:r w:rsidR="007A5FFD" w:rsidRPr="00E05F46">
        <w:rPr>
          <w:lang w:val="nl-NL"/>
        </w:rPr>
        <w:t>2024, thu doanh nghiệp có vốn đầu tư nước ngoài tăng 37% so với dự toán HĐND tỉnh giao</w:t>
      </w:r>
      <w:r w:rsidRPr="00E05F46">
        <w:rPr>
          <w:lang w:val="nl-NL"/>
        </w:rPr>
        <w:t>.</w:t>
      </w:r>
    </w:p>
    <w:p w14:paraId="5FC6C4DD" w14:textId="4F1C9999" w:rsidR="001F3EA1" w:rsidRPr="00E05F46" w:rsidRDefault="001F3EA1" w:rsidP="00AB40F2">
      <w:pPr>
        <w:spacing w:before="60" w:after="60"/>
        <w:ind w:firstLine="720"/>
        <w:jc w:val="both"/>
        <w:rPr>
          <w:lang w:val="fr-FR"/>
        </w:rPr>
      </w:pPr>
      <w:r w:rsidRPr="00E05F46">
        <w:rPr>
          <w:lang w:val="fr-FR"/>
        </w:rPr>
        <w:t xml:space="preserve">- </w:t>
      </w:r>
      <w:r w:rsidR="0090352D" w:rsidRPr="00E05F46">
        <w:rPr>
          <w:lang w:val="fr-FR"/>
        </w:rPr>
        <w:t xml:space="preserve">Thu </w:t>
      </w:r>
      <w:r w:rsidR="00C610F5" w:rsidRPr="00E05F46">
        <w:rPr>
          <w:lang w:val="fr-FR"/>
        </w:rPr>
        <w:t>từ hoạt động xổ số kiến thiết</w:t>
      </w:r>
      <w:r w:rsidRPr="00E05F46">
        <w:rPr>
          <w:lang w:val="fr-FR"/>
        </w:rPr>
        <w:t xml:space="preserve">: </w:t>
      </w:r>
      <w:r w:rsidR="000D1AAC" w:rsidRPr="00E05F46">
        <w:rPr>
          <w:lang w:val="fr-FR"/>
        </w:rPr>
        <w:t>17.538</w:t>
      </w:r>
      <w:r w:rsidR="00D90850" w:rsidRPr="00E05F46">
        <w:rPr>
          <w:lang w:val="fr-FR"/>
        </w:rPr>
        <w:t>/</w:t>
      </w:r>
      <w:r w:rsidR="00C610F5" w:rsidRPr="00E05F46">
        <w:rPr>
          <w:lang w:val="fr-FR"/>
        </w:rPr>
        <w:t>2</w:t>
      </w:r>
      <w:r w:rsidR="0090352D" w:rsidRPr="00E05F46">
        <w:rPr>
          <w:lang w:val="fr-FR"/>
        </w:rPr>
        <w:t>2</w:t>
      </w:r>
      <w:r w:rsidR="000D1AAC" w:rsidRPr="00E05F46">
        <w:rPr>
          <w:lang w:val="fr-FR"/>
        </w:rPr>
        <w:t>.000</w:t>
      </w:r>
      <w:r w:rsidR="00D90850" w:rsidRPr="00E05F46">
        <w:rPr>
          <w:lang w:val="fr-FR"/>
        </w:rPr>
        <w:t xml:space="preserve"> </w:t>
      </w:r>
      <w:r w:rsidR="000D1AAC" w:rsidRPr="00E05F46">
        <w:rPr>
          <w:lang w:val="fr-FR"/>
        </w:rPr>
        <w:t>triệu</w:t>
      </w:r>
      <w:r w:rsidR="00D90850" w:rsidRPr="00E05F46">
        <w:rPr>
          <w:lang w:val="fr-FR"/>
        </w:rPr>
        <w:t xml:space="preserve"> </w:t>
      </w:r>
      <w:r w:rsidRPr="00E05F46">
        <w:rPr>
          <w:lang w:val="fr-FR"/>
        </w:rPr>
        <w:t xml:space="preserve">đồng, giảm </w:t>
      </w:r>
      <w:r w:rsidR="000D1AAC" w:rsidRPr="00E05F46">
        <w:rPr>
          <w:lang w:val="fr-FR"/>
        </w:rPr>
        <w:t xml:space="preserve">4.462 triệu </w:t>
      </w:r>
      <w:r w:rsidRPr="00E05F46">
        <w:rPr>
          <w:lang w:val="fr-FR"/>
        </w:rPr>
        <w:t xml:space="preserve">đồng, tương ứng </w:t>
      </w:r>
      <w:r w:rsidR="00D90850" w:rsidRPr="00E05F46">
        <w:rPr>
          <w:lang w:val="fr-FR"/>
        </w:rPr>
        <w:t xml:space="preserve">giảm </w:t>
      </w:r>
      <w:r w:rsidR="00C610F5" w:rsidRPr="00E05F46">
        <w:rPr>
          <w:lang w:val="fr-FR"/>
        </w:rPr>
        <w:t>20</w:t>
      </w:r>
      <w:r w:rsidRPr="00E05F46">
        <w:rPr>
          <w:lang w:val="fr-FR"/>
        </w:rPr>
        <w:t>% dự toán HĐND tỉnh giao</w:t>
      </w:r>
      <w:r w:rsidR="0046333F" w:rsidRPr="00E05F46">
        <w:rPr>
          <w:rStyle w:val="FootnoteReference"/>
          <w:lang w:val="nl-NL"/>
        </w:rPr>
        <w:footnoteReference w:id="6"/>
      </w:r>
      <w:r w:rsidRPr="00E05F46">
        <w:rPr>
          <w:lang w:val="fr-FR"/>
        </w:rPr>
        <w:t>.</w:t>
      </w:r>
    </w:p>
    <w:p w14:paraId="7F8E15D6" w14:textId="414DE0FC" w:rsidR="00D42132" w:rsidRPr="00E05F46" w:rsidRDefault="001F3EA1" w:rsidP="00AB40F2">
      <w:pPr>
        <w:spacing w:before="60" w:after="60"/>
        <w:ind w:firstLine="720"/>
        <w:jc w:val="both"/>
        <w:rPr>
          <w:lang w:val="nl-NL"/>
        </w:rPr>
      </w:pPr>
      <w:r w:rsidRPr="00E05F46">
        <w:rPr>
          <w:bCs/>
          <w:iCs/>
          <w:lang w:val="fr-FR"/>
        </w:rPr>
        <w:t xml:space="preserve">1.2. </w:t>
      </w:r>
      <w:r w:rsidR="00B94A88" w:rsidRPr="00E05F46">
        <w:rPr>
          <w:bCs/>
          <w:iCs/>
          <w:lang w:val="fr-FR"/>
        </w:rPr>
        <w:t>Thu từ hoạt động xuất, nhập khẩu</w:t>
      </w:r>
      <w:r w:rsidRPr="00E05F46">
        <w:rPr>
          <w:bCs/>
          <w:iCs/>
          <w:lang w:val="fr-FR"/>
        </w:rPr>
        <w:t xml:space="preserve">: </w:t>
      </w:r>
      <w:r w:rsidR="00C31503" w:rsidRPr="00E05F46">
        <w:rPr>
          <w:lang w:val="fr-FR"/>
        </w:rPr>
        <w:t>7.706.738</w:t>
      </w:r>
      <w:r w:rsidR="00B94A88" w:rsidRPr="00E05F46">
        <w:rPr>
          <w:lang w:val="fr-FR"/>
        </w:rPr>
        <w:t>/</w:t>
      </w:r>
      <w:r w:rsidR="00BB1597" w:rsidRPr="00E05F46">
        <w:rPr>
          <w:lang w:val="fr-FR"/>
        </w:rPr>
        <w:t>9.400</w:t>
      </w:r>
      <w:r w:rsidR="00C31503" w:rsidRPr="00E05F46">
        <w:rPr>
          <w:lang w:val="fr-FR"/>
        </w:rPr>
        <w:t>.000</w:t>
      </w:r>
      <w:r w:rsidR="00B94A88" w:rsidRPr="00E05F46">
        <w:rPr>
          <w:lang w:val="fr-FR"/>
        </w:rPr>
        <w:t xml:space="preserve"> </w:t>
      </w:r>
      <w:r w:rsidR="00C31503" w:rsidRPr="00E05F46">
        <w:rPr>
          <w:lang w:val="fr-FR"/>
        </w:rPr>
        <w:t>triệu</w:t>
      </w:r>
      <w:r w:rsidRPr="00E05F46">
        <w:rPr>
          <w:lang w:val="fr-FR"/>
        </w:rPr>
        <w:t xml:space="preserve"> đồng, </w:t>
      </w:r>
      <w:r w:rsidR="00B76368" w:rsidRPr="00E05F46">
        <w:rPr>
          <w:lang w:val="fr-FR"/>
        </w:rPr>
        <w:t>giảm</w:t>
      </w:r>
      <w:r w:rsidR="00B94A88" w:rsidRPr="00E05F46">
        <w:rPr>
          <w:lang w:val="fr-FR"/>
        </w:rPr>
        <w:t xml:space="preserve"> </w:t>
      </w:r>
      <w:r w:rsidR="00C31503" w:rsidRPr="00E05F46">
        <w:rPr>
          <w:lang w:val="fr-FR"/>
        </w:rPr>
        <w:t xml:space="preserve">1.693.262 triệu </w:t>
      </w:r>
      <w:r w:rsidR="00B94A88" w:rsidRPr="00E05F46">
        <w:rPr>
          <w:lang w:val="fr-FR"/>
        </w:rPr>
        <w:t xml:space="preserve">đồng, tương ứng </w:t>
      </w:r>
      <w:r w:rsidR="00B76368" w:rsidRPr="00E05F46">
        <w:rPr>
          <w:lang w:val="fr-FR"/>
        </w:rPr>
        <w:t xml:space="preserve">giảm </w:t>
      </w:r>
      <w:r w:rsidR="00BB1597" w:rsidRPr="00E05F46">
        <w:rPr>
          <w:lang w:val="fr-FR"/>
        </w:rPr>
        <w:t>18</w:t>
      </w:r>
      <w:r w:rsidRPr="00E05F46">
        <w:rPr>
          <w:lang w:val="fr-FR"/>
        </w:rPr>
        <w:t>% dự toán HĐND tỉnh và Trung ương giao</w:t>
      </w:r>
      <w:r w:rsidR="00AB7029" w:rsidRPr="00E05F46">
        <w:rPr>
          <w:lang w:val="nl-NL"/>
        </w:rPr>
        <w:t xml:space="preserve"> và bằng 88% so với cùng kỳ năm trước</w:t>
      </w:r>
      <w:r w:rsidR="00F6106E" w:rsidRPr="00E05F46">
        <w:rPr>
          <w:rStyle w:val="FootnoteReference"/>
          <w:lang w:val="nl-NL"/>
        </w:rPr>
        <w:footnoteReference w:id="7"/>
      </w:r>
      <w:r w:rsidR="00AB7029" w:rsidRPr="00E05F46">
        <w:rPr>
          <w:lang w:val="nl-NL"/>
        </w:rPr>
        <w:t>.</w:t>
      </w:r>
    </w:p>
    <w:p w14:paraId="7E2CF8B4" w14:textId="00063BB5" w:rsidR="002E5078" w:rsidRPr="00E05F46" w:rsidRDefault="002E5078" w:rsidP="00AB40F2">
      <w:pPr>
        <w:spacing w:before="60" w:after="60"/>
        <w:ind w:firstLine="567"/>
        <w:jc w:val="both"/>
        <w:rPr>
          <w:b/>
          <w:bCs/>
          <w:lang w:val="fr-FR"/>
        </w:rPr>
      </w:pPr>
      <w:r w:rsidRPr="00E05F46">
        <w:rPr>
          <w:b/>
          <w:bCs/>
          <w:lang w:val="fr-FR"/>
        </w:rPr>
        <w:t>2. Thu chuyển nguồn năm trước:</w:t>
      </w:r>
    </w:p>
    <w:p w14:paraId="57F1262D" w14:textId="40069DF9" w:rsidR="00123803" w:rsidRPr="00E05F46" w:rsidRDefault="00123803" w:rsidP="00AB40F2">
      <w:pPr>
        <w:widowControl w:val="0"/>
        <w:spacing w:before="60" w:after="60"/>
        <w:ind w:firstLine="567"/>
        <w:jc w:val="both"/>
        <w:rPr>
          <w:spacing w:val="-2"/>
          <w:lang w:val="fr-FR"/>
        </w:rPr>
      </w:pPr>
      <w:r w:rsidRPr="00E05F46">
        <w:rPr>
          <w:spacing w:val="-2"/>
          <w:lang w:val="fr-FR"/>
        </w:rPr>
        <w:t xml:space="preserve">Tổng chi chuyển nguồn năm 2023 sang năm 2024 của toàn tỉnh là </w:t>
      </w:r>
      <w:r w:rsidR="008D331A" w:rsidRPr="00E05F46">
        <w:rPr>
          <w:spacing w:val="-2"/>
          <w:lang w:val="fr-FR"/>
        </w:rPr>
        <w:t>12.202.785 triệu</w:t>
      </w:r>
      <w:r w:rsidRPr="00E05F46">
        <w:rPr>
          <w:spacing w:val="-2"/>
          <w:lang w:val="fr-FR"/>
        </w:rPr>
        <w:t xml:space="preserve"> đồng</w:t>
      </w:r>
      <w:r w:rsidRPr="00E05F46">
        <w:rPr>
          <w:rStyle w:val="FootnoteReference"/>
          <w:spacing w:val="-2"/>
          <w:lang w:val="nl-NL"/>
        </w:rPr>
        <w:footnoteReference w:id="8"/>
      </w:r>
      <w:r w:rsidRPr="00E05F46">
        <w:rPr>
          <w:spacing w:val="-2"/>
          <w:lang w:val="fr-FR"/>
        </w:rPr>
        <w:t xml:space="preserve">, trong đó: (i) </w:t>
      </w:r>
      <w:r w:rsidR="00DB110F" w:rsidRPr="00E05F46">
        <w:rPr>
          <w:spacing w:val="-2"/>
          <w:lang w:val="fr-FR"/>
        </w:rPr>
        <w:t>c</w:t>
      </w:r>
      <w:r w:rsidRPr="00E05F46">
        <w:rPr>
          <w:spacing w:val="-2"/>
          <w:lang w:val="fr-FR"/>
        </w:rPr>
        <w:t xml:space="preserve">hi đầu tư phát triển thực hiện chuyển sang năm sau theo quy định của Luật đầu tư công số tiền </w:t>
      </w:r>
      <w:r w:rsidR="008D331A" w:rsidRPr="00E05F46">
        <w:rPr>
          <w:spacing w:val="-2"/>
          <w:lang w:val="fr-FR"/>
        </w:rPr>
        <w:t xml:space="preserve">3.816.208 triệu </w:t>
      </w:r>
      <w:r w:rsidRPr="00E05F46">
        <w:rPr>
          <w:spacing w:val="-2"/>
          <w:lang w:val="fr-FR"/>
        </w:rPr>
        <w:t xml:space="preserve">đồng; (ii) </w:t>
      </w:r>
      <w:r w:rsidR="00DB110F" w:rsidRPr="00E05F46">
        <w:rPr>
          <w:spacing w:val="-2"/>
          <w:lang w:val="fr-FR"/>
        </w:rPr>
        <w:t>c</w:t>
      </w:r>
      <w:r w:rsidRPr="00E05F46">
        <w:rPr>
          <w:spacing w:val="-2"/>
          <w:lang w:val="fr-FR"/>
        </w:rPr>
        <w:t>hi mua sắm trang thiết bị đã đầy đủ hồ sơ, hợp đồng mua sắm trang thiết bị số tiền 11</w:t>
      </w:r>
      <w:r w:rsidR="008D331A" w:rsidRPr="00E05F46">
        <w:rPr>
          <w:spacing w:val="-2"/>
          <w:lang w:val="fr-FR"/>
        </w:rPr>
        <w:t>.266</w:t>
      </w:r>
      <w:r w:rsidRPr="00E05F46">
        <w:rPr>
          <w:spacing w:val="-2"/>
          <w:lang w:val="fr-FR"/>
        </w:rPr>
        <w:t xml:space="preserve"> </w:t>
      </w:r>
      <w:r w:rsidR="008D331A" w:rsidRPr="00E05F46">
        <w:rPr>
          <w:spacing w:val="-2"/>
          <w:lang w:val="fr-FR"/>
        </w:rPr>
        <w:t>triệu</w:t>
      </w:r>
      <w:r w:rsidRPr="00E05F46">
        <w:rPr>
          <w:spacing w:val="-2"/>
          <w:lang w:val="fr-FR"/>
        </w:rPr>
        <w:t xml:space="preserve"> đồng; (iii) </w:t>
      </w:r>
      <w:r w:rsidR="00DB110F" w:rsidRPr="00E05F46">
        <w:rPr>
          <w:spacing w:val="-2"/>
          <w:lang w:val="fr-FR"/>
        </w:rPr>
        <w:t>n</w:t>
      </w:r>
      <w:r w:rsidRPr="00E05F46">
        <w:rPr>
          <w:spacing w:val="-2"/>
          <w:lang w:val="fr-FR"/>
        </w:rPr>
        <w:t xml:space="preserve">guồn thực hiện chính sách tiền lương, phụ cấp, trợ cấp và các khoản tính theo tiền lương cơ sở, bảo trợ xã hội số tiền </w:t>
      </w:r>
      <w:r w:rsidR="008D331A" w:rsidRPr="00E05F46">
        <w:rPr>
          <w:spacing w:val="-2"/>
          <w:lang w:val="fr-FR"/>
        </w:rPr>
        <w:t xml:space="preserve">2.829.511 triệu </w:t>
      </w:r>
      <w:r w:rsidRPr="00E05F46">
        <w:rPr>
          <w:spacing w:val="-2"/>
          <w:lang w:val="fr-FR"/>
        </w:rPr>
        <w:t xml:space="preserve">đồng; (iv) </w:t>
      </w:r>
      <w:r w:rsidR="00DB110F" w:rsidRPr="00E05F46">
        <w:rPr>
          <w:spacing w:val="-2"/>
          <w:lang w:val="fr-FR"/>
        </w:rPr>
        <w:t>k</w:t>
      </w:r>
      <w:r w:rsidRPr="00E05F46">
        <w:rPr>
          <w:spacing w:val="-2"/>
          <w:lang w:val="fr-FR"/>
        </w:rPr>
        <w:t>inh phí được giao tự chủ của các đơn vị sự nghiệp công lập và các cơ quan nhà nước số tiền 1</w:t>
      </w:r>
      <w:r w:rsidR="008D331A" w:rsidRPr="00E05F46">
        <w:rPr>
          <w:spacing w:val="-2"/>
          <w:lang w:val="fr-FR"/>
        </w:rPr>
        <w:t>8.869</w:t>
      </w:r>
      <w:r w:rsidRPr="00E05F46">
        <w:rPr>
          <w:spacing w:val="-2"/>
          <w:lang w:val="fr-FR"/>
        </w:rPr>
        <w:t xml:space="preserve"> t</w:t>
      </w:r>
      <w:r w:rsidR="008D331A" w:rsidRPr="00E05F46">
        <w:rPr>
          <w:spacing w:val="-2"/>
          <w:lang w:val="fr-FR"/>
        </w:rPr>
        <w:t>riệu</w:t>
      </w:r>
      <w:r w:rsidRPr="00E05F46">
        <w:rPr>
          <w:spacing w:val="-2"/>
          <w:lang w:val="fr-FR"/>
        </w:rPr>
        <w:t xml:space="preserve"> đồng; (v) </w:t>
      </w:r>
      <w:r w:rsidR="00DB110F" w:rsidRPr="00E05F46">
        <w:rPr>
          <w:spacing w:val="-2"/>
          <w:lang w:val="fr-FR"/>
        </w:rPr>
        <w:t>c</w:t>
      </w:r>
      <w:r w:rsidRPr="00E05F46">
        <w:rPr>
          <w:spacing w:val="-2"/>
          <w:lang w:val="fr-FR"/>
        </w:rPr>
        <w:t xml:space="preserve">ác khoản dự toán được cấp có thẩm quyền bổ sung sau ngày 30/9/2023 số tiền </w:t>
      </w:r>
      <w:r w:rsidR="008D331A" w:rsidRPr="00E05F46">
        <w:rPr>
          <w:spacing w:val="-2"/>
          <w:lang w:val="fr-FR"/>
        </w:rPr>
        <w:t xml:space="preserve">972.376 triệu </w:t>
      </w:r>
      <w:r w:rsidRPr="00E05F46">
        <w:rPr>
          <w:spacing w:val="-2"/>
          <w:lang w:val="fr-FR"/>
        </w:rPr>
        <w:t xml:space="preserve">đồng; (vi) </w:t>
      </w:r>
      <w:r w:rsidR="00DB110F" w:rsidRPr="00E05F46">
        <w:rPr>
          <w:spacing w:val="-2"/>
          <w:lang w:val="fr-FR"/>
        </w:rPr>
        <w:t>k</w:t>
      </w:r>
      <w:r w:rsidRPr="00E05F46">
        <w:rPr>
          <w:spacing w:val="-2"/>
          <w:lang w:val="fr-FR"/>
        </w:rPr>
        <w:t xml:space="preserve">inh phí nghiên cứu khoa học bố trí trong thời gian thực hiện các đề tài, dự án nghiên cứu khoa học được cấp có thẩm quyền quyết định số tiền </w:t>
      </w:r>
      <w:r w:rsidR="00FC5D92" w:rsidRPr="00E05F46">
        <w:rPr>
          <w:spacing w:val="-2"/>
          <w:lang w:val="fr-FR"/>
        </w:rPr>
        <w:t xml:space="preserve">40.984 triệu </w:t>
      </w:r>
      <w:r w:rsidRPr="00E05F46">
        <w:rPr>
          <w:spacing w:val="-2"/>
          <w:lang w:val="fr-FR"/>
        </w:rPr>
        <w:t xml:space="preserve">đồng; (vii) </w:t>
      </w:r>
      <w:r w:rsidR="00DB110F" w:rsidRPr="00E05F46">
        <w:rPr>
          <w:spacing w:val="-2"/>
          <w:lang w:val="fr-FR"/>
        </w:rPr>
        <w:t>c</w:t>
      </w:r>
      <w:r w:rsidRPr="00E05F46">
        <w:rPr>
          <w:spacing w:val="-2"/>
          <w:lang w:val="fr-FR"/>
        </w:rPr>
        <w:t xml:space="preserve">ác khoản tăng thu, tiết kiệm chi được sử dụng được cấp có thẩm quyền quyết định cho phép sử dụng vào năm sau số tiền </w:t>
      </w:r>
      <w:r w:rsidR="0055168C" w:rsidRPr="00E05F46">
        <w:rPr>
          <w:spacing w:val="-2"/>
          <w:lang w:val="fr-FR"/>
        </w:rPr>
        <w:t xml:space="preserve">4.414.645 triệu </w:t>
      </w:r>
      <w:r w:rsidRPr="00E05F46">
        <w:rPr>
          <w:spacing w:val="-2"/>
          <w:lang w:val="fr-FR"/>
        </w:rPr>
        <w:t xml:space="preserve">đồng; (viii) </w:t>
      </w:r>
      <w:r w:rsidR="00DB110F" w:rsidRPr="00E05F46">
        <w:rPr>
          <w:spacing w:val="-2"/>
          <w:lang w:val="fr-FR"/>
        </w:rPr>
        <w:t>c</w:t>
      </w:r>
      <w:r w:rsidRPr="00E05F46">
        <w:rPr>
          <w:spacing w:val="-2"/>
          <w:lang w:val="fr-FR"/>
        </w:rPr>
        <w:t xml:space="preserve">huyển nguồn kinh phí khác số tiền </w:t>
      </w:r>
      <w:r w:rsidR="00BA2D9B" w:rsidRPr="00E05F46">
        <w:rPr>
          <w:spacing w:val="-2"/>
          <w:lang w:val="fr-FR"/>
        </w:rPr>
        <w:t>98.927</w:t>
      </w:r>
      <w:r w:rsidRPr="00E05F46">
        <w:rPr>
          <w:spacing w:val="-2"/>
          <w:lang w:val="fr-FR"/>
        </w:rPr>
        <w:t xml:space="preserve"> </w:t>
      </w:r>
      <w:r w:rsidR="00BA2D9B" w:rsidRPr="00E05F46">
        <w:rPr>
          <w:spacing w:val="-2"/>
          <w:lang w:val="fr-FR"/>
        </w:rPr>
        <w:t>triệu</w:t>
      </w:r>
      <w:r w:rsidRPr="00E05F46">
        <w:rPr>
          <w:spacing w:val="-2"/>
          <w:lang w:val="fr-FR"/>
        </w:rPr>
        <w:t xml:space="preserve"> đồng (Kinh phí CTMTQG Xây dựng nông thôn mới, CTMTQG giảm nghèo bền vững và CTMTQG phát triển kinh tế - xã hội vùng đồng bào dân tộc thiểu số được chuyển nguồn theo Nghị quyết số 104/2023/QH15 ngày 10/11/2023 của Quốc hội).</w:t>
      </w:r>
    </w:p>
    <w:p w14:paraId="6F7B94F1" w14:textId="77DA5E21" w:rsidR="000E1A34" w:rsidRPr="00E05F46" w:rsidRDefault="000E1A34" w:rsidP="00AB40F2">
      <w:pPr>
        <w:spacing w:before="60" w:after="60"/>
        <w:ind w:firstLine="720"/>
        <w:jc w:val="both"/>
        <w:rPr>
          <w:lang w:val="fr-FR"/>
        </w:rPr>
      </w:pPr>
      <w:r w:rsidRPr="00E05F46">
        <w:rPr>
          <w:b/>
          <w:lang w:val="fr-FR"/>
        </w:rPr>
        <w:lastRenderedPageBreak/>
        <w:t>3. Thu vay ngân sách địa phương</w:t>
      </w:r>
      <w:r w:rsidR="008530F9" w:rsidRPr="00E05F46">
        <w:rPr>
          <w:b/>
          <w:lang w:val="fr-FR"/>
        </w:rPr>
        <w:t xml:space="preserve"> (số liệu nhận nợ đã được hạch toán ghi thu, ghi chi vào ngân sách nhà nước)</w:t>
      </w:r>
      <w:r w:rsidRPr="00E05F46">
        <w:rPr>
          <w:b/>
          <w:lang w:val="fr-FR"/>
        </w:rPr>
        <w:t>:</w:t>
      </w:r>
      <w:r w:rsidRPr="00E05F46">
        <w:rPr>
          <w:lang w:val="fr-FR"/>
        </w:rPr>
        <w:t xml:space="preserve"> </w:t>
      </w:r>
    </w:p>
    <w:p w14:paraId="1A428087" w14:textId="350700A2" w:rsidR="00C80592" w:rsidRPr="00E05F46" w:rsidRDefault="00C80592" w:rsidP="00AB40F2">
      <w:pPr>
        <w:spacing w:before="60" w:after="60"/>
        <w:ind w:firstLine="720"/>
        <w:jc w:val="both"/>
        <w:rPr>
          <w:lang w:val="fr-FR"/>
        </w:rPr>
      </w:pPr>
      <w:r w:rsidRPr="00E05F46">
        <w:rPr>
          <w:lang w:val="fr-FR"/>
        </w:rPr>
        <w:t>Số quyết toán thu vay năm 202</w:t>
      </w:r>
      <w:r w:rsidR="0010542B" w:rsidRPr="00E05F46">
        <w:rPr>
          <w:lang w:val="fr-FR"/>
        </w:rPr>
        <w:t>4</w:t>
      </w:r>
      <w:r w:rsidRPr="00E05F46">
        <w:rPr>
          <w:lang w:val="fr-FR"/>
        </w:rPr>
        <w:t xml:space="preserve"> là </w:t>
      </w:r>
      <w:r w:rsidR="00CA1DFF" w:rsidRPr="00E05F46">
        <w:rPr>
          <w:lang w:val="fr-FR"/>
        </w:rPr>
        <w:t>193</w:t>
      </w:r>
      <w:r w:rsidR="00F55AC1" w:rsidRPr="00E05F46">
        <w:rPr>
          <w:lang w:val="fr-FR"/>
        </w:rPr>
        <w:t>.</w:t>
      </w:r>
      <w:r w:rsidR="00CA1DFF" w:rsidRPr="00E05F46">
        <w:rPr>
          <w:lang w:val="fr-FR"/>
        </w:rPr>
        <w:t>387</w:t>
      </w:r>
      <w:r w:rsidRPr="00E05F46">
        <w:rPr>
          <w:lang w:val="fr-FR"/>
        </w:rPr>
        <w:t xml:space="preserve"> </w:t>
      </w:r>
      <w:r w:rsidR="00F55AC1" w:rsidRPr="00E05F46">
        <w:rPr>
          <w:lang w:val="fr-FR"/>
        </w:rPr>
        <w:t>triệu</w:t>
      </w:r>
      <w:r w:rsidRPr="00E05F46">
        <w:rPr>
          <w:lang w:val="fr-FR"/>
        </w:rPr>
        <w:t xml:space="preserve"> đồng</w:t>
      </w:r>
      <w:r w:rsidR="00794031" w:rsidRPr="00E05F46">
        <w:rPr>
          <w:lang w:val="fr-FR"/>
        </w:rPr>
        <w:t>; Đây là số liệu đã được chủ đầu tư nhận nợ và ho</w:t>
      </w:r>
      <w:r w:rsidR="008530F9" w:rsidRPr="00E05F46">
        <w:rPr>
          <w:lang w:val="fr-FR"/>
        </w:rPr>
        <w:t>à</w:t>
      </w:r>
      <w:r w:rsidR="00794031" w:rsidRPr="00E05F46">
        <w:rPr>
          <w:lang w:val="fr-FR"/>
        </w:rPr>
        <w:t>n thiện hồ sơ để thực hiện ghi thu, ghi chi vào ngân sách nhà nước niên độ 202</w:t>
      </w:r>
      <w:r w:rsidR="00CA1DFF" w:rsidRPr="00E05F46">
        <w:rPr>
          <w:lang w:val="fr-FR"/>
        </w:rPr>
        <w:t>4</w:t>
      </w:r>
      <w:r w:rsidR="00794031" w:rsidRPr="00E05F46">
        <w:rPr>
          <w:lang w:val="fr-FR"/>
        </w:rPr>
        <w:t xml:space="preserve"> của 0</w:t>
      </w:r>
      <w:r w:rsidR="007341D8" w:rsidRPr="00E05F46">
        <w:rPr>
          <w:lang w:val="fr-FR"/>
        </w:rPr>
        <w:t>4</w:t>
      </w:r>
      <w:r w:rsidR="00794031" w:rsidRPr="00E05F46">
        <w:rPr>
          <w:lang w:val="fr-FR"/>
        </w:rPr>
        <w:t xml:space="preserve"> dự án sử dụng nguồn vốn vay lại, gồm:</w:t>
      </w:r>
    </w:p>
    <w:p w14:paraId="06F41CDA" w14:textId="42B2E05D" w:rsidR="00432FB5" w:rsidRPr="00E05F46" w:rsidRDefault="00432FB5" w:rsidP="00AB40F2">
      <w:pPr>
        <w:spacing w:before="60" w:after="60"/>
        <w:ind w:firstLine="720"/>
        <w:jc w:val="both"/>
        <w:rPr>
          <w:lang w:val="fr-FR"/>
        </w:rPr>
      </w:pPr>
      <w:r w:rsidRPr="00E05F46">
        <w:rPr>
          <w:lang w:val="fr-FR"/>
        </w:rPr>
        <w:t xml:space="preserve">- </w:t>
      </w:r>
      <w:r w:rsidR="00926E4E" w:rsidRPr="00E05F46">
        <w:rPr>
          <w:lang w:val="fr-FR"/>
        </w:rPr>
        <w:t>Dự án Hạ tầng cơ bản cho phát triển toàn diện tỉnh Hà Tĩnh thuộc Dự án BIIG2</w:t>
      </w:r>
      <w:r w:rsidRPr="00E05F46">
        <w:rPr>
          <w:lang w:val="fr-FR"/>
        </w:rPr>
        <w:t xml:space="preserve">: </w:t>
      </w:r>
      <w:r w:rsidR="00926E4E" w:rsidRPr="00E05F46">
        <w:rPr>
          <w:lang w:val="fr-FR"/>
        </w:rPr>
        <w:t>33</w:t>
      </w:r>
      <w:r w:rsidR="00F55AC1" w:rsidRPr="00E05F46">
        <w:rPr>
          <w:lang w:val="fr-FR"/>
        </w:rPr>
        <w:t>.</w:t>
      </w:r>
      <w:r w:rsidR="00926E4E" w:rsidRPr="00E05F46">
        <w:rPr>
          <w:lang w:val="fr-FR"/>
        </w:rPr>
        <w:t>095</w:t>
      </w:r>
      <w:r w:rsidRPr="00E05F46">
        <w:rPr>
          <w:lang w:val="fr-FR"/>
        </w:rPr>
        <w:t xml:space="preserve"> </w:t>
      </w:r>
      <w:r w:rsidR="00F55AC1" w:rsidRPr="00E05F46">
        <w:rPr>
          <w:lang w:val="fr-FR"/>
        </w:rPr>
        <w:t>triệu</w:t>
      </w:r>
      <w:r w:rsidRPr="00E05F46">
        <w:rPr>
          <w:lang w:val="fr-FR"/>
        </w:rPr>
        <w:t xml:space="preserve"> đồng.</w:t>
      </w:r>
    </w:p>
    <w:p w14:paraId="494D2006" w14:textId="00CD9728" w:rsidR="00432FB5" w:rsidRPr="00E05F46" w:rsidRDefault="00432FB5" w:rsidP="00AB40F2">
      <w:pPr>
        <w:spacing w:before="60" w:after="60"/>
        <w:ind w:firstLine="720"/>
        <w:jc w:val="both"/>
        <w:rPr>
          <w:lang w:val="fr-FR"/>
        </w:rPr>
      </w:pPr>
      <w:r w:rsidRPr="00E05F46">
        <w:rPr>
          <w:lang w:val="fr-FR"/>
        </w:rPr>
        <w:t xml:space="preserve">- </w:t>
      </w:r>
      <w:r w:rsidR="00926E4E" w:rsidRPr="00E05F46">
        <w:rPr>
          <w:lang w:val="fr-FR"/>
        </w:rPr>
        <w:t>Dự án Phát triển tổng hợp các đô thị động lực - Tiểu dự án đô thị Kỳ Anh (vay vốn WB)</w:t>
      </w:r>
      <w:r w:rsidRPr="00E05F46">
        <w:rPr>
          <w:lang w:val="fr-FR"/>
        </w:rPr>
        <w:t xml:space="preserve">: </w:t>
      </w:r>
      <w:r w:rsidR="00926E4E" w:rsidRPr="00E05F46">
        <w:rPr>
          <w:lang w:val="fr-FR"/>
        </w:rPr>
        <w:t>79</w:t>
      </w:r>
      <w:r w:rsidR="00D147E5" w:rsidRPr="00E05F46">
        <w:rPr>
          <w:lang w:val="fr-FR"/>
        </w:rPr>
        <w:t>.</w:t>
      </w:r>
      <w:r w:rsidR="00926E4E" w:rsidRPr="00E05F46">
        <w:rPr>
          <w:lang w:val="fr-FR"/>
        </w:rPr>
        <w:t>664</w:t>
      </w:r>
      <w:r w:rsidRPr="00E05F46">
        <w:rPr>
          <w:lang w:val="fr-FR"/>
        </w:rPr>
        <w:t xml:space="preserve"> </w:t>
      </w:r>
      <w:r w:rsidR="00D147E5" w:rsidRPr="00E05F46">
        <w:rPr>
          <w:lang w:val="fr-FR"/>
        </w:rPr>
        <w:t>triệu</w:t>
      </w:r>
      <w:r w:rsidRPr="00E05F46">
        <w:rPr>
          <w:lang w:val="fr-FR"/>
        </w:rPr>
        <w:t xml:space="preserve"> đồng.</w:t>
      </w:r>
    </w:p>
    <w:p w14:paraId="20E2796D" w14:textId="21300D68" w:rsidR="00432FB5" w:rsidRPr="00E05F46" w:rsidRDefault="00432FB5" w:rsidP="00AB40F2">
      <w:pPr>
        <w:spacing w:before="60" w:after="60"/>
        <w:ind w:firstLine="720"/>
        <w:jc w:val="both"/>
        <w:rPr>
          <w:lang w:val="fr-FR"/>
        </w:rPr>
      </w:pPr>
      <w:r w:rsidRPr="00E05F46">
        <w:rPr>
          <w:lang w:val="fr-FR"/>
        </w:rPr>
        <w:t xml:space="preserve">- </w:t>
      </w:r>
      <w:r w:rsidR="00926E4E" w:rsidRPr="00E05F46">
        <w:rPr>
          <w:lang w:val="fr-FR"/>
        </w:rPr>
        <w:t>Tiểu dự án cải thiện cơ sở hạ tầng đô thị Thạch Hà, huyện Thạch Hà, tỉnh Hà Tĩnh. Thuộc dự án Cải thiện cơ sở hạ tầng đô thị nhằm giảm thiểu tác động của biến đổi khí hậu cho 04 tỉnh ven biển Bắc Trung Bộ</w:t>
      </w:r>
      <w:r w:rsidRPr="00E05F46">
        <w:rPr>
          <w:lang w:val="fr-FR"/>
        </w:rPr>
        <w:t xml:space="preserve">: </w:t>
      </w:r>
      <w:r w:rsidR="007341D8" w:rsidRPr="00E05F46">
        <w:rPr>
          <w:lang w:val="fr-FR"/>
        </w:rPr>
        <w:t>43</w:t>
      </w:r>
      <w:r w:rsidR="00D147E5" w:rsidRPr="00E05F46">
        <w:rPr>
          <w:lang w:val="fr-FR"/>
        </w:rPr>
        <w:t>.</w:t>
      </w:r>
      <w:r w:rsidR="007341D8" w:rsidRPr="00E05F46">
        <w:rPr>
          <w:lang w:val="fr-FR"/>
        </w:rPr>
        <w:t>292</w:t>
      </w:r>
      <w:r w:rsidRPr="00E05F46">
        <w:rPr>
          <w:lang w:val="fr-FR"/>
        </w:rPr>
        <w:t xml:space="preserve"> </w:t>
      </w:r>
      <w:r w:rsidR="00D147E5" w:rsidRPr="00E05F46">
        <w:rPr>
          <w:lang w:val="fr-FR"/>
        </w:rPr>
        <w:t>triệu</w:t>
      </w:r>
      <w:r w:rsidRPr="00E05F46">
        <w:rPr>
          <w:lang w:val="fr-FR"/>
        </w:rPr>
        <w:t xml:space="preserve"> đồng.</w:t>
      </w:r>
    </w:p>
    <w:p w14:paraId="65C8C2B6" w14:textId="7CF22533" w:rsidR="005E1A2C" w:rsidRPr="00E05F46" w:rsidRDefault="005E1A2C" w:rsidP="00AB40F2">
      <w:pPr>
        <w:spacing w:before="60" w:after="60"/>
        <w:ind w:firstLine="720"/>
        <w:jc w:val="both"/>
        <w:rPr>
          <w:lang w:val="fr-FR"/>
        </w:rPr>
      </w:pPr>
      <w:r w:rsidRPr="00E05F46">
        <w:rPr>
          <w:lang w:val="fr-FR"/>
        </w:rPr>
        <w:t xml:space="preserve">- </w:t>
      </w:r>
      <w:r w:rsidR="007341D8" w:rsidRPr="00E05F46">
        <w:rPr>
          <w:lang w:val="fr-FR"/>
        </w:rPr>
        <w:t>Tiểu dự án cải thiện cơ sở hạ tầng đô thị Hương Khê, huyện Hương Khê, tỉnh Hà Tĩnh. Thuộc dự án Cải thiện cơ sở hạ tầng đô thị nhằm giảm thiểu tác động của biến đổi khí hậu cho 04 tỉnh ven biển Bắc Trung Bộ</w:t>
      </w:r>
      <w:r w:rsidRPr="00E05F46">
        <w:rPr>
          <w:lang w:val="fr-FR"/>
        </w:rPr>
        <w:t xml:space="preserve">: </w:t>
      </w:r>
      <w:r w:rsidR="007341D8" w:rsidRPr="00E05F46">
        <w:rPr>
          <w:lang w:val="fr-FR"/>
        </w:rPr>
        <w:t>37</w:t>
      </w:r>
      <w:r w:rsidR="00464C91" w:rsidRPr="00E05F46">
        <w:rPr>
          <w:lang w:val="fr-FR"/>
        </w:rPr>
        <w:t>.</w:t>
      </w:r>
      <w:r w:rsidR="007341D8" w:rsidRPr="00E05F46">
        <w:rPr>
          <w:lang w:val="fr-FR"/>
        </w:rPr>
        <w:t>336</w:t>
      </w:r>
      <w:r w:rsidRPr="00E05F46">
        <w:rPr>
          <w:lang w:val="fr-FR"/>
        </w:rPr>
        <w:t xml:space="preserve"> </w:t>
      </w:r>
      <w:r w:rsidR="00464C91" w:rsidRPr="00E05F46">
        <w:rPr>
          <w:lang w:val="fr-FR"/>
        </w:rPr>
        <w:t>triệu</w:t>
      </w:r>
      <w:r w:rsidRPr="00E05F46">
        <w:rPr>
          <w:lang w:val="fr-FR"/>
        </w:rPr>
        <w:t xml:space="preserve"> đồng.</w:t>
      </w:r>
    </w:p>
    <w:p w14:paraId="3BABBDB8" w14:textId="3900D846" w:rsidR="00C1721F" w:rsidRPr="00E05F46" w:rsidRDefault="00C1721F" w:rsidP="00AB40F2">
      <w:pPr>
        <w:spacing w:before="60" w:after="60"/>
        <w:ind w:firstLine="720"/>
        <w:jc w:val="both"/>
        <w:rPr>
          <w:spacing w:val="2"/>
          <w:lang w:val="fr-FR"/>
        </w:rPr>
      </w:pPr>
      <w:r w:rsidRPr="00E05F46">
        <w:rPr>
          <w:spacing w:val="2"/>
          <w:lang w:val="fr-FR"/>
        </w:rPr>
        <w:t xml:space="preserve">Đối với </w:t>
      </w:r>
      <w:r w:rsidR="00A015BD" w:rsidRPr="00E05F46">
        <w:rPr>
          <w:spacing w:val="2"/>
          <w:lang w:val="fr-FR"/>
        </w:rPr>
        <w:t xml:space="preserve">nợ chính quyền địa phương (bao gồm cả số liệu đã nhận nợ nhưng chưa hạch toán ghi thu, ghi chi vào ngân sách): </w:t>
      </w:r>
      <w:r w:rsidR="00DB110F" w:rsidRPr="00E05F46">
        <w:rPr>
          <w:spacing w:val="2"/>
          <w:lang w:val="fr-FR"/>
        </w:rPr>
        <w:t>d</w:t>
      </w:r>
      <w:r w:rsidR="00A82DB4" w:rsidRPr="00E05F46">
        <w:rPr>
          <w:spacing w:val="2"/>
          <w:lang w:val="fr-FR"/>
        </w:rPr>
        <w:t xml:space="preserve">ư nợ đầu kỳ </w:t>
      </w:r>
      <w:r w:rsidR="00803218" w:rsidRPr="00E05F46">
        <w:rPr>
          <w:b/>
          <w:bCs/>
          <w:spacing w:val="2"/>
          <w:lang w:val="fr-FR"/>
        </w:rPr>
        <w:t>710</w:t>
      </w:r>
      <w:r w:rsidR="000E76D9" w:rsidRPr="00E05F46">
        <w:rPr>
          <w:b/>
          <w:bCs/>
          <w:spacing w:val="2"/>
          <w:lang w:val="fr-FR"/>
        </w:rPr>
        <w:t>.</w:t>
      </w:r>
      <w:r w:rsidR="00803218" w:rsidRPr="00E05F46">
        <w:rPr>
          <w:b/>
          <w:bCs/>
          <w:spacing w:val="2"/>
          <w:lang w:val="fr-FR"/>
        </w:rPr>
        <w:t>668</w:t>
      </w:r>
      <w:r w:rsidR="00A82DB4" w:rsidRPr="00E05F46">
        <w:rPr>
          <w:b/>
          <w:bCs/>
          <w:spacing w:val="2"/>
          <w:lang w:val="fr-FR"/>
        </w:rPr>
        <w:t xml:space="preserve"> t</w:t>
      </w:r>
      <w:r w:rsidR="000E76D9" w:rsidRPr="00E05F46">
        <w:rPr>
          <w:b/>
          <w:bCs/>
          <w:spacing w:val="2"/>
          <w:lang w:val="fr-FR"/>
        </w:rPr>
        <w:t>riệu</w:t>
      </w:r>
      <w:r w:rsidR="00803218" w:rsidRPr="00E05F46">
        <w:rPr>
          <w:b/>
          <w:bCs/>
          <w:spacing w:val="2"/>
          <w:lang w:val="fr-FR"/>
        </w:rPr>
        <w:t xml:space="preserve"> đồng</w:t>
      </w:r>
      <w:r w:rsidR="00A82DB4" w:rsidRPr="00E05F46">
        <w:rPr>
          <w:spacing w:val="2"/>
          <w:lang w:val="fr-FR"/>
        </w:rPr>
        <w:t xml:space="preserve">; số vay trong năm </w:t>
      </w:r>
      <w:r w:rsidR="00803218" w:rsidRPr="00E05F46">
        <w:rPr>
          <w:spacing w:val="2"/>
          <w:lang w:val="fr-FR"/>
        </w:rPr>
        <w:t>268</w:t>
      </w:r>
      <w:r w:rsidR="000E76D9" w:rsidRPr="00E05F46">
        <w:rPr>
          <w:spacing w:val="2"/>
          <w:lang w:val="fr-FR"/>
        </w:rPr>
        <w:t>.</w:t>
      </w:r>
      <w:r w:rsidR="00803218" w:rsidRPr="00E05F46">
        <w:rPr>
          <w:spacing w:val="2"/>
          <w:lang w:val="fr-FR"/>
        </w:rPr>
        <w:t>026</w:t>
      </w:r>
      <w:r w:rsidR="00A82DB4" w:rsidRPr="00E05F46">
        <w:rPr>
          <w:spacing w:val="2"/>
          <w:lang w:val="fr-FR"/>
        </w:rPr>
        <w:t xml:space="preserve"> </w:t>
      </w:r>
      <w:r w:rsidR="000E76D9" w:rsidRPr="00E05F46">
        <w:rPr>
          <w:spacing w:val="2"/>
          <w:lang w:val="fr-FR"/>
        </w:rPr>
        <w:t>triệu</w:t>
      </w:r>
      <w:r w:rsidR="00A82DB4" w:rsidRPr="00E05F46">
        <w:rPr>
          <w:spacing w:val="2"/>
          <w:lang w:val="fr-FR"/>
        </w:rPr>
        <w:t xml:space="preserve"> đồng (trong đó đã thực hiện giải ngân và ghi thu ghi chi </w:t>
      </w:r>
      <w:r w:rsidR="00173E99" w:rsidRPr="00E05F46">
        <w:rPr>
          <w:spacing w:val="2"/>
          <w:lang w:val="fr-FR"/>
        </w:rPr>
        <w:t>193</w:t>
      </w:r>
      <w:r w:rsidR="000E76D9" w:rsidRPr="00E05F46">
        <w:rPr>
          <w:spacing w:val="2"/>
          <w:lang w:val="fr-FR"/>
        </w:rPr>
        <w:t>.</w:t>
      </w:r>
      <w:r w:rsidR="00173E99" w:rsidRPr="00E05F46">
        <w:rPr>
          <w:spacing w:val="2"/>
          <w:lang w:val="fr-FR"/>
        </w:rPr>
        <w:t>387</w:t>
      </w:r>
      <w:r w:rsidR="00A82DB4" w:rsidRPr="00E05F46">
        <w:rPr>
          <w:spacing w:val="2"/>
          <w:lang w:val="fr-FR"/>
        </w:rPr>
        <w:t xml:space="preserve"> </w:t>
      </w:r>
      <w:r w:rsidR="000E76D9" w:rsidRPr="00E05F46">
        <w:rPr>
          <w:spacing w:val="2"/>
          <w:lang w:val="fr-FR"/>
        </w:rPr>
        <w:t>triệu</w:t>
      </w:r>
      <w:r w:rsidR="00A82DB4" w:rsidRPr="00E05F46">
        <w:rPr>
          <w:spacing w:val="2"/>
          <w:lang w:val="fr-FR"/>
        </w:rPr>
        <w:t xml:space="preserve"> đồng</w:t>
      </w:r>
      <w:r w:rsidR="00173E99" w:rsidRPr="00E05F46">
        <w:rPr>
          <w:spacing w:val="2"/>
          <w:lang w:val="fr-FR"/>
        </w:rPr>
        <w:t xml:space="preserve"> nêu trên</w:t>
      </w:r>
      <w:r w:rsidR="00A82DB4" w:rsidRPr="00E05F46">
        <w:rPr>
          <w:spacing w:val="2"/>
          <w:lang w:val="fr-FR"/>
        </w:rPr>
        <w:t xml:space="preserve">); trong năm chi trả nợ gốc là </w:t>
      </w:r>
      <w:r w:rsidR="00173E99" w:rsidRPr="00E05F46">
        <w:rPr>
          <w:spacing w:val="2"/>
          <w:lang w:val="fr-FR"/>
        </w:rPr>
        <w:t>81</w:t>
      </w:r>
      <w:r w:rsidR="000E76D9" w:rsidRPr="00E05F46">
        <w:rPr>
          <w:spacing w:val="2"/>
          <w:lang w:val="fr-FR"/>
        </w:rPr>
        <w:t>.</w:t>
      </w:r>
      <w:r w:rsidR="00173E99" w:rsidRPr="00E05F46">
        <w:rPr>
          <w:spacing w:val="2"/>
          <w:lang w:val="fr-FR"/>
        </w:rPr>
        <w:t>264</w:t>
      </w:r>
      <w:r w:rsidR="00A82DB4" w:rsidRPr="00E05F46">
        <w:rPr>
          <w:spacing w:val="2"/>
          <w:lang w:val="fr-FR"/>
        </w:rPr>
        <w:t xml:space="preserve"> </w:t>
      </w:r>
      <w:r w:rsidR="000E76D9" w:rsidRPr="00E05F46">
        <w:rPr>
          <w:spacing w:val="2"/>
          <w:lang w:val="fr-FR"/>
        </w:rPr>
        <w:t>triệu</w:t>
      </w:r>
      <w:r w:rsidR="00731049" w:rsidRPr="00E05F46">
        <w:rPr>
          <w:spacing w:val="2"/>
          <w:lang w:val="fr-FR"/>
        </w:rPr>
        <w:t xml:space="preserve"> đồng</w:t>
      </w:r>
      <w:r w:rsidR="00A82DB4" w:rsidRPr="00E05F46">
        <w:rPr>
          <w:spacing w:val="2"/>
          <w:lang w:val="fr-FR"/>
        </w:rPr>
        <w:t xml:space="preserve"> (trong đó: chi trả nợ vay đến hạn </w:t>
      </w:r>
      <w:r w:rsidR="00173E99" w:rsidRPr="00E05F46">
        <w:rPr>
          <w:spacing w:val="2"/>
          <w:lang w:val="fr-FR"/>
        </w:rPr>
        <w:t>38</w:t>
      </w:r>
      <w:r w:rsidR="00FA5731" w:rsidRPr="00E05F46">
        <w:rPr>
          <w:spacing w:val="2"/>
          <w:lang w:val="fr-FR"/>
        </w:rPr>
        <w:t>.</w:t>
      </w:r>
      <w:r w:rsidR="00173E99" w:rsidRPr="00E05F46">
        <w:rPr>
          <w:spacing w:val="2"/>
          <w:lang w:val="fr-FR"/>
        </w:rPr>
        <w:t>75</w:t>
      </w:r>
      <w:r w:rsidR="00FA5731" w:rsidRPr="00E05F46">
        <w:rPr>
          <w:spacing w:val="2"/>
          <w:lang w:val="fr-FR"/>
        </w:rPr>
        <w:t>0</w:t>
      </w:r>
      <w:r w:rsidR="00A82DB4" w:rsidRPr="00E05F46">
        <w:rPr>
          <w:spacing w:val="2"/>
          <w:lang w:val="fr-FR"/>
        </w:rPr>
        <w:t xml:space="preserve"> </w:t>
      </w:r>
      <w:r w:rsidR="00FA5731" w:rsidRPr="00E05F46">
        <w:rPr>
          <w:spacing w:val="2"/>
          <w:lang w:val="fr-FR"/>
        </w:rPr>
        <w:t>triệu</w:t>
      </w:r>
      <w:r w:rsidR="00731049" w:rsidRPr="00E05F46">
        <w:rPr>
          <w:spacing w:val="2"/>
          <w:lang w:val="fr-FR"/>
        </w:rPr>
        <w:t xml:space="preserve"> đồng</w:t>
      </w:r>
      <w:r w:rsidR="00A82DB4" w:rsidRPr="00E05F46">
        <w:rPr>
          <w:spacing w:val="2"/>
          <w:lang w:val="fr-FR"/>
        </w:rPr>
        <w:t xml:space="preserve">; trả nợ trước hạn nhưng chưa được ghi nhận giảm nợ gốc do chờ ý kiến của nhà tài trợ </w:t>
      </w:r>
      <w:r w:rsidR="00F220FE" w:rsidRPr="00E05F46">
        <w:rPr>
          <w:spacing w:val="2"/>
          <w:lang w:val="fr-FR"/>
        </w:rPr>
        <w:t>42</w:t>
      </w:r>
      <w:r w:rsidR="00FA5731" w:rsidRPr="00E05F46">
        <w:rPr>
          <w:spacing w:val="2"/>
          <w:lang w:val="fr-FR"/>
        </w:rPr>
        <w:t>.</w:t>
      </w:r>
      <w:r w:rsidR="00F220FE" w:rsidRPr="00E05F46">
        <w:rPr>
          <w:spacing w:val="2"/>
          <w:lang w:val="fr-FR"/>
        </w:rPr>
        <w:t>514</w:t>
      </w:r>
      <w:r w:rsidR="00731049" w:rsidRPr="00E05F46">
        <w:rPr>
          <w:spacing w:val="2"/>
          <w:lang w:val="fr-FR"/>
        </w:rPr>
        <w:t xml:space="preserve"> t</w:t>
      </w:r>
      <w:r w:rsidR="00FA5731" w:rsidRPr="00E05F46">
        <w:rPr>
          <w:spacing w:val="2"/>
          <w:lang w:val="fr-FR"/>
        </w:rPr>
        <w:t>riệu</w:t>
      </w:r>
      <w:r w:rsidR="00731049" w:rsidRPr="00E05F46">
        <w:rPr>
          <w:spacing w:val="2"/>
          <w:lang w:val="fr-FR"/>
        </w:rPr>
        <w:t xml:space="preserve"> đồng</w:t>
      </w:r>
      <w:r w:rsidR="00A82DB4" w:rsidRPr="00E05F46">
        <w:rPr>
          <w:spacing w:val="2"/>
          <w:lang w:val="fr-FR"/>
        </w:rPr>
        <w:t xml:space="preserve">); chi trả lãi, phí tiền vay là </w:t>
      </w:r>
      <w:r w:rsidR="00381CDB" w:rsidRPr="00E05F46">
        <w:rPr>
          <w:spacing w:val="2"/>
          <w:lang w:val="fr-FR"/>
        </w:rPr>
        <w:t>19</w:t>
      </w:r>
      <w:r w:rsidR="00FA5731" w:rsidRPr="00E05F46">
        <w:rPr>
          <w:spacing w:val="2"/>
          <w:lang w:val="fr-FR"/>
        </w:rPr>
        <w:t>.</w:t>
      </w:r>
      <w:r w:rsidR="00381CDB" w:rsidRPr="00E05F46">
        <w:rPr>
          <w:spacing w:val="2"/>
          <w:lang w:val="fr-FR"/>
        </w:rPr>
        <w:t>671</w:t>
      </w:r>
      <w:r w:rsidR="00731049" w:rsidRPr="00E05F46">
        <w:rPr>
          <w:spacing w:val="2"/>
          <w:lang w:val="fr-FR"/>
        </w:rPr>
        <w:t xml:space="preserve"> t</w:t>
      </w:r>
      <w:r w:rsidR="00FA5731" w:rsidRPr="00E05F46">
        <w:rPr>
          <w:spacing w:val="2"/>
          <w:lang w:val="fr-FR"/>
        </w:rPr>
        <w:t>riệu</w:t>
      </w:r>
      <w:r w:rsidR="00731049" w:rsidRPr="00E05F46">
        <w:rPr>
          <w:spacing w:val="2"/>
          <w:lang w:val="fr-FR"/>
        </w:rPr>
        <w:t xml:space="preserve"> đồng</w:t>
      </w:r>
      <w:r w:rsidR="00A82DB4" w:rsidRPr="00E05F46">
        <w:rPr>
          <w:spacing w:val="2"/>
          <w:lang w:val="fr-FR"/>
        </w:rPr>
        <w:t>; dư nợ vay đến 31/12/202</w:t>
      </w:r>
      <w:r w:rsidR="00381CDB" w:rsidRPr="00E05F46">
        <w:rPr>
          <w:spacing w:val="2"/>
          <w:lang w:val="fr-FR"/>
        </w:rPr>
        <w:t>4</w:t>
      </w:r>
      <w:r w:rsidR="00A82DB4" w:rsidRPr="00E05F46">
        <w:rPr>
          <w:spacing w:val="2"/>
          <w:lang w:val="fr-FR"/>
        </w:rPr>
        <w:t xml:space="preserve">: </w:t>
      </w:r>
      <w:r w:rsidR="00185906" w:rsidRPr="00E05F46">
        <w:rPr>
          <w:b/>
          <w:bCs/>
          <w:spacing w:val="2"/>
          <w:lang w:val="fr-FR"/>
        </w:rPr>
        <w:t>941</w:t>
      </w:r>
      <w:r w:rsidR="00FA5731" w:rsidRPr="00E05F46">
        <w:rPr>
          <w:b/>
          <w:bCs/>
          <w:spacing w:val="2"/>
          <w:lang w:val="fr-FR"/>
        </w:rPr>
        <w:t>.</w:t>
      </w:r>
      <w:r w:rsidR="00185906" w:rsidRPr="00E05F46">
        <w:rPr>
          <w:b/>
          <w:bCs/>
          <w:spacing w:val="2"/>
          <w:lang w:val="fr-FR"/>
        </w:rPr>
        <w:t>688</w:t>
      </w:r>
      <w:r w:rsidR="00A82DB4" w:rsidRPr="00E05F46">
        <w:rPr>
          <w:b/>
          <w:bCs/>
          <w:spacing w:val="2"/>
          <w:lang w:val="fr-FR"/>
        </w:rPr>
        <w:t xml:space="preserve"> </w:t>
      </w:r>
      <w:r w:rsidR="00FA5731" w:rsidRPr="00E05F46">
        <w:rPr>
          <w:b/>
          <w:bCs/>
          <w:spacing w:val="2"/>
          <w:lang w:val="fr-FR"/>
        </w:rPr>
        <w:t>triệu</w:t>
      </w:r>
      <w:r w:rsidR="00731049" w:rsidRPr="00E05F46">
        <w:rPr>
          <w:b/>
          <w:bCs/>
          <w:spacing w:val="2"/>
          <w:lang w:val="fr-FR"/>
        </w:rPr>
        <w:t xml:space="preserve"> đồng</w:t>
      </w:r>
      <w:r w:rsidR="00A82DB4" w:rsidRPr="00E05F46">
        <w:rPr>
          <w:spacing w:val="2"/>
          <w:lang w:val="fr-FR"/>
        </w:rPr>
        <w:t>.</w:t>
      </w:r>
    </w:p>
    <w:p w14:paraId="5558EE8E" w14:textId="66671706" w:rsidR="009511E8" w:rsidRPr="00E05F46" w:rsidRDefault="009511E8" w:rsidP="00AB40F2">
      <w:pPr>
        <w:spacing w:before="60" w:after="60"/>
        <w:ind w:firstLine="720"/>
        <w:jc w:val="both"/>
        <w:rPr>
          <w:b/>
          <w:bCs/>
          <w:lang w:val="fr-FR"/>
        </w:rPr>
      </w:pPr>
      <w:r w:rsidRPr="00E05F46">
        <w:rPr>
          <w:b/>
          <w:bCs/>
          <w:lang w:val="fr-FR"/>
        </w:rPr>
        <w:t xml:space="preserve">4. Thu bổ sung từ ngân sách cấp trên: </w:t>
      </w:r>
    </w:p>
    <w:p w14:paraId="1B5DE7F2" w14:textId="5E6249ED" w:rsidR="0021422F" w:rsidRPr="00E05F46" w:rsidRDefault="009511E8">
      <w:pPr>
        <w:spacing w:before="120" w:after="120"/>
        <w:ind w:firstLine="720"/>
        <w:jc w:val="both"/>
        <w:rPr>
          <w:b/>
          <w:lang w:val="fr-FR"/>
        </w:rPr>
      </w:pPr>
      <w:r w:rsidRPr="00E05F46">
        <w:rPr>
          <w:spacing w:val="-2"/>
          <w:lang w:val="fr-FR"/>
        </w:rPr>
        <w:t xml:space="preserve">Số </w:t>
      </w:r>
      <w:r w:rsidR="007834C9" w:rsidRPr="00E05F46">
        <w:rPr>
          <w:spacing w:val="-2"/>
          <w:lang w:val="fr-FR"/>
        </w:rPr>
        <w:t xml:space="preserve">thu bổ sung từ ngân sách cấp trên là </w:t>
      </w:r>
      <w:r w:rsidR="00AC7EAD" w:rsidRPr="00E05F46">
        <w:rPr>
          <w:spacing w:val="-2"/>
          <w:lang w:val="fr-FR"/>
        </w:rPr>
        <w:t xml:space="preserve">23.758.370 triệu </w:t>
      </w:r>
      <w:r w:rsidR="00B66D17" w:rsidRPr="00E05F46">
        <w:rPr>
          <w:spacing w:val="-2"/>
          <w:lang w:val="fr-FR"/>
        </w:rPr>
        <w:t>đồng;</w:t>
      </w:r>
      <w:r w:rsidR="009C3A16" w:rsidRPr="00E05F46">
        <w:rPr>
          <w:spacing w:val="-2"/>
          <w:lang w:val="fr-FR"/>
        </w:rPr>
        <w:t xml:space="preserve"> trong đó, số thu bổ sung </w:t>
      </w:r>
      <w:r w:rsidR="0010089D" w:rsidRPr="00E05F46">
        <w:rPr>
          <w:spacing w:val="-2"/>
          <w:lang w:val="fr-FR"/>
        </w:rPr>
        <w:t xml:space="preserve">từ </w:t>
      </w:r>
      <w:r w:rsidR="009C3A16" w:rsidRPr="00E05F46">
        <w:rPr>
          <w:spacing w:val="-2"/>
          <w:lang w:val="fr-FR"/>
        </w:rPr>
        <w:t xml:space="preserve">ngân sách Trung ương cho ngân sách địa phương là </w:t>
      </w:r>
      <w:r w:rsidR="00AC7EAD" w:rsidRPr="00E05F46">
        <w:rPr>
          <w:spacing w:val="-2"/>
          <w:lang w:val="fr-FR"/>
        </w:rPr>
        <w:t>11.091.512</w:t>
      </w:r>
      <w:r w:rsidR="009C3A16" w:rsidRPr="00E05F46">
        <w:rPr>
          <w:spacing w:val="-2"/>
          <w:lang w:val="fr-FR"/>
        </w:rPr>
        <w:t>/</w:t>
      </w:r>
      <w:r w:rsidR="00F676CB" w:rsidRPr="00E05F46">
        <w:rPr>
          <w:spacing w:val="-2"/>
          <w:lang w:val="fr-FR"/>
        </w:rPr>
        <w:t xml:space="preserve"> 10.802.072 </w:t>
      </w:r>
      <w:r w:rsidR="00AC7EAD" w:rsidRPr="00E05F46">
        <w:rPr>
          <w:spacing w:val="-2"/>
          <w:lang w:val="fr-FR"/>
        </w:rPr>
        <w:t>triệu</w:t>
      </w:r>
      <w:r w:rsidR="009C3A16" w:rsidRPr="00E05F46">
        <w:rPr>
          <w:spacing w:val="-2"/>
          <w:lang w:val="fr-FR"/>
        </w:rPr>
        <w:t xml:space="preserve"> đồng, bằng </w:t>
      </w:r>
      <w:r w:rsidR="00147B72" w:rsidRPr="00E05F46">
        <w:rPr>
          <w:spacing w:val="-2"/>
          <w:lang w:val="fr-FR"/>
        </w:rPr>
        <w:t>10</w:t>
      </w:r>
      <w:r w:rsidR="000B7474" w:rsidRPr="00E05F46">
        <w:rPr>
          <w:spacing w:val="-2"/>
          <w:lang w:val="fr-FR"/>
        </w:rPr>
        <w:t>3</w:t>
      </w:r>
      <w:r w:rsidR="009C3A16" w:rsidRPr="00E05F46">
        <w:rPr>
          <w:spacing w:val="-2"/>
          <w:lang w:val="fr-FR"/>
        </w:rPr>
        <w:t>% dự toán giao (</w:t>
      </w:r>
      <w:r w:rsidR="007A7C07" w:rsidRPr="00E05F46">
        <w:rPr>
          <w:spacing w:val="-2"/>
          <w:lang w:val="fr-FR"/>
        </w:rPr>
        <w:t>gồm</w:t>
      </w:r>
      <w:r w:rsidR="009C3A16" w:rsidRPr="00E05F46">
        <w:rPr>
          <w:spacing w:val="-2"/>
          <w:lang w:val="fr-FR"/>
        </w:rPr>
        <w:t xml:space="preserve">: thu bổ sung cân đối </w:t>
      </w:r>
      <w:r w:rsidR="00647117" w:rsidRPr="00E05F46">
        <w:rPr>
          <w:spacing w:val="-2"/>
          <w:lang w:val="fr-FR"/>
        </w:rPr>
        <w:t xml:space="preserve"> 8.041.860</w:t>
      </w:r>
      <w:r w:rsidR="00147B72" w:rsidRPr="00E05F46">
        <w:rPr>
          <w:spacing w:val="-2"/>
          <w:lang w:val="fr-FR"/>
        </w:rPr>
        <w:t>/</w:t>
      </w:r>
      <w:r w:rsidR="00647117" w:rsidRPr="00E05F46">
        <w:rPr>
          <w:spacing w:val="-2"/>
          <w:lang w:val="fr-FR"/>
        </w:rPr>
        <w:t xml:space="preserve">8.041.860 triệu </w:t>
      </w:r>
      <w:r w:rsidR="009C3A16" w:rsidRPr="00E05F46">
        <w:rPr>
          <w:spacing w:val="-2"/>
          <w:lang w:val="fr-FR"/>
        </w:rPr>
        <w:t xml:space="preserve">đồng, bằng 100% dự toán giao; bổ sung có mục tiêu </w:t>
      </w:r>
      <w:r w:rsidR="00CD696E" w:rsidRPr="00E05F46">
        <w:rPr>
          <w:spacing w:val="-2"/>
          <w:lang w:val="fr-FR"/>
        </w:rPr>
        <w:t xml:space="preserve"> 3.049.652</w:t>
      </w:r>
      <w:r w:rsidR="009C3A16" w:rsidRPr="00E05F46">
        <w:rPr>
          <w:spacing w:val="-2"/>
          <w:lang w:val="fr-FR"/>
        </w:rPr>
        <w:t>/</w:t>
      </w:r>
      <w:r w:rsidR="00CD696E" w:rsidRPr="00E05F46">
        <w:rPr>
          <w:spacing w:val="-2"/>
          <w:lang w:val="fr-FR"/>
        </w:rPr>
        <w:t>2.760.212 triệu</w:t>
      </w:r>
      <w:r w:rsidR="009C3A16" w:rsidRPr="00E05F46">
        <w:rPr>
          <w:spacing w:val="-2"/>
          <w:lang w:val="fr-FR"/>
        </w:rPr>
        <w:t xml:space="preserve"> đồng, bằng </w:t>
      </w:r>
      <w:r w:rsidR="00911C9D" w:rsidRPr="00E05F46">
        <w:rPr>
          <w:spacing w:val="-2"/>
          <w:lang w:val="fr-FR"/>
        </w:rPr>
        <w:t>11</w:t>
      </w:r>
      <w:r w:rsidR="000B7474" w:rsidRPr="00E05F46">
        <w:rPr>
          <w:spacing w:val="-2"/>
          <w:lang w:val="fr-FR"/>
        </w:rPr>
        <w:t>0</w:t>
      </w:r>
      <w:r w:rsidR="009C3A16" w:rsidRPr="00E05F46">
        <w:rPr>
          <w:spacing w:val="-2"/>
          <w:lang w:val="fr-FR"/>
        </w:rPr>
        <w:t>% dự toán giao).</w:t>
      </w:r>
      <w:r w:rsidR="005C6632" w:rsidRPr="00E05F46">
        <w:rPr>
          <w:spacing w:val="-2"/>
          <w:lang w:val="fr-FR"/>
        </w:rPr>
        <w:t xml:space="preserve"> </w:t>
      </w:r>
      <w:r w:rsidR="00B2776E" w:rsidRPr="00E05F46">
        <w:rPr>
          <w:spacing w:val="-2"/>
          <w:lang w:val="fr-FR"/>
        </w:rPr>
        <w:t>Ngoài các khoản bổ sung có mục tiêu trong dự toán đầu năm, trong năm ngân sách trung ương bổ sung có mục tiêu thêm 347.959 triệu đồng cho địa phương</w:t>
      </w:r>
      <w:r w:rsidR="00B12A1C" w:rsidRPr="00E05F46">
        <w:rPr>
          <w:spacing w:val="-2"/>
          <w:lang w:val="fr-FR"/>
        </w:rPr>
        <w:t xml:space="preserve"> để thực hiện các chế độ, chính sách và triển khai các dự án đầu tư trên địa bàn</w:t>
      </w:r>
      <w:r w:rsidR="002B3E70" w:rsidRPr="00E05F46">
        <w:rPr>
          <w:spacing w:val="-2"/>
          <w:lang w:val="fr-FR"/>
        </w:rPr>
        <w:t xml:space="preserve"> theo đề xuất của tỉnh</w:t>
      </w:r>
      <w:r w:rsidR="002B3E70" w:rsidRPr="00E05F46">
        <w:rPr>
          <w:rStyle w:val="FootnoteReference"/>
          <w:spacing w:val="-2"/>
          <w:lang w:val="nl-NL"/>
        </w:rPr>
        <w:footnoteReference w:id="9"/>
      </w:r>
      <w:r w:rsidR="002B3E70" w:rsidRPr="00E05F46">
        <w:rPr>
          <w:spacing w:val="-2"/>
          <w:lang w:val="fr-FR"/>
        </w:rPr>
        <w:t>.</w:t>
      </w:r>
      <w:r w:rsidR="0021422F" w:rsidRPr="00E05F46">
        <w:rPr>
          <w:b/>
          <w:lang w:val="fr-FR"/>
        </w:rPr>
        <w:br w:type="page"/>
      </w:r>
    </w:p>
    <w:p w14:paraId="46B24296" w14:textId="422EE041" w:rsidR="009511E8" w:rsidRPr="00E05F46" w:rsidRDefault="009511E8" w:rsidP="00AB40F2">
      <w:pPr>
        <w:spacing w:before="60" w:after="60"/>
        <w:ind w:firstLine="720"/>
        <w:jc w:val="both"/>
        <w:rPr>
          <w:lang w:val="fr-FR"/>
        </w:rPr>
      </w:pPr>
      <w:r w:rsidRPr="00E05F46">
        <w:rPr>
          <w:b/>
          <w:lang w:val="fr-FR"/>
        </w:rPr>
        <w:lastRenderedPageBreak/>
        <w:t>II</w:t>
      </w:r>
      <w:r w:rsidRPr="00E05F46">
        <w:rPr>
          <w:b/>
          <w:bCs/>
          <w:lang w:val="fr-FR"/>
        </w:rPr>
        <w:t xml:space="preserve">. Về chi ngân sách </w:t>
      </w:r>
      <w:r w:rsidRPr="00E05F46">
        <w:rPr>
          <w:i/>
          <w:iCs/>
          <w:lang w:val="fr-FR"/>
        </w:rPr>
        <w:t>(Có biểu số liệu chi tiết kèm theo)</w:t>
      </w:r>
    </w:p>
    <w:p w14:paraId="5C207768" w14:textId="59D4E350" w:rsidR="003E5629" w:rsidRPr="00E05F46" w:rsidRDefault="003E5629" w:rsidP="00AB40F2">
      <w:pPr>
        <w:spacing w:before="60" w:after="60"/>
        <w:ind w:firstLine="720"/>
        <w:jc w:val="both"/>
        <w:rPr>
          <w:spacing w:val="-2"/>
          <w:lang w:val="fr-FR"/>
        </w:rPr>
      </w:pPr>
      <w:r w:rsidRPr="00E05F46">
        <w:rPr>
          <w:spacing w:val="-2"/>
          <w:lang w:val="fr-FR"/>
        </w:rPr>
        <w:t xml:space="preserve">Tổng số quyết toán chi ngân sách địa phương năm 2024 là </w:t>
      </w:r>
      <w:r w:rsidR="00266BCA" w:rsidRPr="00E05F46">
        <w:rPr>
          <w:spacing w:val="-2"/>
          <w:lang w:val="fr-FR"/>
        </w:rPr>
        <w:t xml:space="preserve"> 45.678.477 triệu </w:t>
      </w:r>
      <w:r w:rsidRPr="00E05F46">
        <w:rPr>
          <w:spacing w:val="-2"/>
          <w:lang w:val="fr-FR"/>
        </w:rPr>
        <w:t>đồng, loại trừ chi chuyển nguồn năm sau (</w:t>
      </w:r>
      <w:r w:rsidR="00266BCA" w:rsidRPr="00E05F46">
        <w:rPr>
          <w:spacing w:val="-2"/>
          <w:lang w:val="fr-FR"/>
        </w:rPr>
        <w:t>11.152.402 triệu</w:t>
      </w:r>
      <w:r w:rsidRPr="00E05F46">
        <w:rPr>
          <w:spacing w:val="-2"/>
          <w:lang w:val="fr-FR"/>
        </w:rPr>
        <w:t xml:space="preserve"> đồng), chi chuyển giao giữa các cấp ngân sách (</w:t>
      </w:r>
      <w:r w:rsidR="00266BCA" w:rsidRPr="00E05F46">
        <w:rPr>
          <w:spacing w:val="-2"/>
          <w:lang w:val="fr-FR"/>
        </w:rPr>
        <w:t xml:space="preserve">12.766.852 triệu </w:t>
      </w:r>
      <w:r w:rsidRPr="00E05F46">
        <w:rPr>
          <w:spacing w:val="-2"/>
          <w:lang w:val="fr-FR"/>
        </w:rPr>
        <w:t xml:space="preserve">đồng) thì số chi ngân sách địa phương còn lại là </w:t>
      </w:r>
      <w:r w:rsidR="00E32CC4" w:rsidRPr="00E05F46">
        <w:rPr>
          <w:spacing w:val="-2"/>
          <w:lang w:val="fr-FR"/>
        </w:rPr>
        <w:t>21.759.224</w:t>
      </w:r>
      <w:r w:rsidRPr="00E05F46">
        <w:rPr>
          <w:spacing w:val="-2"/>
          <w:lang w:val="fr-FR"/>
        </w:rPr>
        <w:t>/</w:t>
      </w:r>
      <w:r w:rsidR="00E32CC4" w:rsidRPr="00E05F46">
        <w:rPr>
          <w:spacing w:val="-2"/>
          <w:lang w:val="fr-FR"/>
        </w:rPr>
        <w:t>20.277.144 triệu</w:t>
      </w:r>
      <w:r w:rsidRPr="00E05F46">
        <w:rPr>
          <w:spacing w:val="-2"/>
          <w:lang w:val="fr-FR"/>
        </w:rPr>
        <w:t xml:space="preserve"> đồng, bằng 10</w:t>
      </w:r>
      <w:r w:rsidR="00EF7C7C" w:rsidRPr="00E05F46">
        <w:rPr>
          <w:spacing w:val="-2"/>
          <w:lang w:val="fr-FR"/>
        </w:rPr>
        <w:t>7</w:t>
      </w:r>
      <w:r w:rsidRPr="00E05F46">
        <w:rPr>
          <w:spacing w:val="-2"/>
          <w:lang w:val="fr-FR"/>
        </w:rPr>
        <w:t>% dự toán HĐND tỉnh giao</w:t>
      </w:r>
      <w:r w:rsidR="000B03D8" w:rsidRPr="00E05F46">
        <w:rPr>
          <w:spacing w:val="-2"/>
          <w:lang w:val="fr-FR"/>
        </w:rPr>
        <w:t>, tăng 9% so với cùng kỳ</w:t>
      </w:r>
      <w:r w:rsidRPr="00E05F46">
        <w:rPr>
          <w:spacing w:val="-2"/>
          <w:lang w:val="fr-FR"/>
        </w:rPr>
        <w:t>; chi đầu tư phát triển và một số lĩnh vực chi thường xuyên đạt và vượt dự toán được giao do ngân sách Trung ương bổ sung có mục tiêu; một phần chuyển nguồn năm trước sang; cụ thể:</w:t>
      </w:r>
    </w:p>
    <w:p w14:paraId="0E311A69" w14:textId="77777777" w:rsidR="009511E8" w:rsidRPr="00E05F46" w:rsidRDefault="009511E8" w:rsidP="00AB40F2">
      <w:pPr>
        <w:spacing w:before="60" w:after="60"/>
        <w:ind w:firstLine="720"/>
        <w:jc w:val="both"/>
        <w:rPr>
          <w:b/>
          <w:bCs/>
          <w:iCs/>
          <w:lang w:val="fr-FR"/>
        </w:rPr>
      </w:pPr>
      <w:r w:rsidRPr="00E05F46">
        <w:rPr>
          <w:b/>
          <w:bCs/>
          <w:iCs/>
          <w:lang w:val="fr-FR"/>
        </w:rPr>
        <w:t>1. Chi đầu tư</w:t>
      </w:r>
      <w:r w:rsidRPr="00E05F46">
        <w:rPr>
          <w:b/>
          <w:bCs/>
          <w:iCs/>
          <w:lang w:val="fr-FR"/>
        </w:rPr>
        <w:softHyphen/>
        <w:t xml:space="preserve"> phát triển:</w:t>
      </w:r>
    </w:p>
    <w:p w14:paraId="0CCEE718" w14:textId="7724E0C1" w:rsidR="009511E8" w:rsidRPr="00E05F46" w:rsidRDefault="009511E8" w:rsidP="00AB40F2">
      <w:pPr>
        <w:spacing w:before="60" w:after="60"/>
        <w:ind w:firstLine="720"/>
        <w:jc w:val="both"/>
        <w:rPr>
          <w:lang w:val="fr-FR"/>
        </w:rPr>
      </w:pPr>
      <w:r w:rsidRPr="00E05F46">
        <w:rPr>
          <w:lang w:val="fr-FR"/>
        </w:rPr>
        <w:t xml:space="preserve">Số quyết toán </w:t>
      </w:r>
      <w:r w:rsidR="005A5EB3" w:rsidRPr="00E05F46">
        <w:rPr>
          <w:lang w:val="fr-FR"/>
        </w:rPr>
        <w:t>9.114.400</w:t>
      </w:r>
      <w:r w:rsidR="00D954B5" w:rsidRPr="00E05F46">
        <w:rPr>
          <w:lang w:val="fr-FR"/>
        </w:rPr>
        <w:t>/</w:t>
      </w:r>
      <w:r w:rsidR="005A5EB3" w:rsidRPr="00E05F46">
        <w:rPr>
          <w:lang w:val="fr-FR"/>
        </w:rPr>
        <w:t>5.522.969 triệu</w:t>
      </w:r>
      <w:r w:rsidRPr="00E05F46">
        <w:rPr>
          <w:lang w:val="fr-FR"/>
        </w:rPr>
        <w:t xml:space="preserve"> đồng, bằng </w:t>
      </w:r>
      <w:r w:rsidR="00D954B5" w:rsidRPr="00E05F46">
        <w:rPr>
          <w:lang w:val="fr-FR"/>
        </w:rPr>
        <w:t>1</w:t>
      </w:r>
      <w:r w:rsidR="000E1634" w:rsidRPr="00E05F46">
        <w:rPr>
          <w:lang w:val="fr-FR"/>
        </w:rPr>
        <w:t>6</w:t>
      </w:r>
      <w:r w:rsidR="00D954B5" w:rsidRPr="00E05F46">
        <w:rPr>
          <w:lang w:val="fr-FR"/>
        </w:rPr>
        <w:t>5</w:t>
      </w:r>
      <w:r w:rsidRPr="00E05F46">
        <w:rPr>
          <w:lang w:val="fr-FR"/>
        </w:rPr>
        <w:t>% dự toán HĐND tỉnh giao</w:t>
      </w:r>
      <w:r w:rsidR="000E1634" w:rsidRPr="00E05F46">
        <w:rPr>
          <w:lang w:val="fr-FR"/>
        </w:rPr>
        <w:t>, bằng 98% so với cùng kỳ</w:t>
      </w:r>
      <w:r w:rsidRPr="00E05F46">
        <w:rPr>
          <w:lang w:val="fr-FR"/>
        </w:rPr>
        <w:t xml:space="preserve">. </w:t>
      </w:r>
      <w:r w:rsidR="0013059C" w:rsidRPr="00E05F46">
        <w:rPr>
          <w:lang w:val="fr-FR"/>
        </w:rPr>
        <w:t>Số quyết toán c</w:t>
      </w:r>
      <w:r w:rsidRPr="00E05F46">
        <w:rPr>
          <w:lang w:val="fr-FR"/>
        </w:rPr>
        <w:t xml:space="preserve">hi đầu tư </w:t>
      </w:r>
      <w:r w:rsidR="0013059C" w:rsidRPr="00E05F46">
        <w:rPr>
          <w:lang w:val="fr-FR"/>
        </w:rPr>
        <w:t>phát triển đã bao gồm</w:t>
      </w:r>
      <w:r w:rsidRPr="00E05F46">
        <w:rPr>
          <w:lang w:val="fr-FR"/>
        </w:rPr>
        <w:t xml:space="preserve"> nguồn năm trước chuyển sang, thu hồi dư tạm ứng, nguồn vốn hỗ trợ có mục tiêu của ngân sách Trung ương và nguồn tăng thu, tiết kiệm chi </w:t>
      </w:r>
      <w:r w:rsidR="002F431B" w:rsidRPr="00E05F46">
        <w:rPr>
          <w:lang w:val="fr-FR"/>
        </w:rPr>
        <w:t xml:space="preserve">từ </w:t>
      </w:r>
      <w:r w:rsidRPr="00E05F46">
        <w:rPr>
          <w:lang w:val="fr-FR"/>
        </w:rPr>
        <w:t>dự toán các nhiệm vụ chi thường xuyên của ngân sách tỉnh.</w:t>
      </w:r>
    </w:p>
    <w:p w14:paraId="4F3055EE" w14:textId="5A703955" w:rsidR="00B0448B" w:rsidRPr="00E05F46" w:rsidRDefault="00B0448B" w:rsidP="00AB40F2">
      <w:pPr>
        <w:spacing w:before="60" w:after="60"/>
        <w:ind w:firstLine="720"/>
        <w:jc w:val="both"/>
        <w:rPr>
          <w:spacing w:val="-2"/>
          <w:lang w:val="fr-FR"/>
        </w:rPr>
      </w:pPr>
      <w:r w:rsidRPr="00E05F46">
        <w:rPr>
          <w:spacing w:val="-2"/>
          <w:lang w:val="fr-FR"/>
        </w:rPr>
        <w:t xml:space="preserve">Trong năm 2024, UBND tỉnh đã xây dựng và trình cấp có thẩm quyền quyết định phương án sử dụng nguồn tăng thu, tiết kiệm chi các năm trước theo quy định; sau khi dành nguồn thực hiện cải cách tiền lương và các nhiệm vụ ưu tiên khác theo quy định tại Điều 59 Luật Ngân sách nhà nước thì nguồn vốn tăng thu, tiết kiệm chi để triển khai các dự án do cấp tỉnh quản lý gắn với các mục tiêu trọng tâm, trọng điểm và cấp thiết trên địa bàn là </w:t>
      </w:r>
      <w:r w:rsidR="0076538F" w:rsidRPr="00E05F46">
        <w:rPr>
          <w:spacing w:val="-2"/>
          <w:lang w:val="fr-FR"/>
        </w:rPr>
        <w:t>2.123</w:t>
      </w:r>
      <w:r w:rsidR="00737ED9" w:rsidRPr="00E05F46">
        <w:rPr>
          <w:spacing w:val="-2"/>
          <w:lang w:val="fr-FR"/>
        </w:rPr>
        <w:t>.000</w:t>
      </w:r>
      <w:r w:rsidRPr="00E05F46">
        <w:rPr>
          <w:spacing w:val="-2"/>
          <w:lang w:val="fr-FR"/>
        </w:rPr>
        <w:t xml:space="preserve"> </w:t>
      </w:r>
      <w:r w:rsidR="00737ED9" w:rsidRPr="00E05F46">
        <w:rPr>
          <w:spacing w:val="-2"/>
          <w:lang w:val="fr-FR"/>
        </w:rPr>
        <w:t>triệu</w:t>
      </w:r>
      <w:r w:rsidRPr="00E05F46">
        <w:rPr>
          <w:spacing w:val="-2"/>
          <w:lang w:val="fr-FR"/>
        </w:rPr>
        <w:t xml:space="preserve"> đồng; </w:t>
      </w:r>
      <w:r w:rsidR="0076538F" w:rsidRPr="00E05F46">
        <w:rPr>
          <w:spacing w:val="-2"/>
          <w:lang w:val="fr-FR"/>
        </w:rPr>
        <w:t>trong năm</w:t>
      </w:r>
      <w:r w:rsidRPr="00E05F46">
        <w:rPr>
          <w:spacing w:val="-2"/>
          <w:lang w:val="fr-FR"/>
        </w:rPr>
        <w:t xml:space="preserve"> bổ sung cho các dự án đảm bảo thủ tục, điều kiện theo quy định là </w:t>
      </w:r>
      <w:r w:rsidR="002D385A" w:rsidRPr="00E05F46">
        <w:rPr>
          <w:spacing w:val="-2"/>
          <w:lang w:val="fr-FR"/>
        </w:rPr>
        <w:t>2.002</w:t>
      </w:r>
      <w:r w:rsidR="00737ED9" w:rsidRPr="00E05F46">
        <w:rPr>
          <w:spacing w:val="-2"/>
          <w:lang w:val="fr-FR"/>
        </w:rPr>
        <w:t>.000</w:t>
      </w:r>
      <w:r w:rsidRPr="00E05F46">
        <w:rPr>
          <w:spacing w:val="-2"/>
          <w:lang w:val="fr-FR"/>
        </w:rPr>
        <w:t xml:space="preserve"> </w:t>
      </w:r>
      <w:r w:rsidR="00737ED9" w:rsidRPr="00E05F46">
        <w:rPr>
          <w:spacing w:val="-2"/>
          <w:lang w:val="fr-FR"/>
        </w:rPr>
        <w:t>triệu</w:t>
      </w:r>
      <w:r w:rsidRPr="00E05F46">
        <w:rPr>
          <w:spacing w:val="-2"/>
          <w:lang w:val="fr-FR"/>
        </w:rPr>
        <w:t xml:space="preserve"> đồng</w:t>
      </w:r>
      <w:r w:rsidR="005D72BD" w:rsidRPr="00E05F46">
        <w:rPr>
          <w:spacing w:val="-2"/>
          <w:lang w:val="fr-FR"/>
        </w:rPr>
        <w:t>.</w:t>
      </w:r>
    </w:p>
    <w:p w14:paraId="788438FD" w14:textId="77777777" w:rsidR="009511E8" w:rsidRPr="00E05F46" w:rsidRDefault="009511E8" w:rsidP="00AB40F2">
      <w:pPr>
        <w:spacing w:before="60" w:after="60"/>
        <w:ind w:firstLine="720"/>
        <w:jc w:val="both"/>
        <w:rPr>
          <w:b/>
          <w:bCs/>
          <w:iCs/>
          <w:lang w:val="fr-FR"/>
        </w:rPr>
      </w:pPr>
      <w:r w:rsidRPr="00E05F46">
        <w:rPr>
          <w:b/>
          <w:lang w:val="fr-FR"/>
        </w:rPr>
        <w:t>2</w:t>
      </w:r>
      <w:r w:rsidRPr="00E05F46">
        <w:rPr>
          <w:b/>
          <w:bCs/>
          <w:iCs/>
          <w:lang w:val="fr-FR"/>
        </w:rPr>
        <w:t>. Chi th</w:t>
      </w:r>
      <w:r w:rsidRPr="00E05F46">
        <w:rPr>
          <w:b/>
          <w:bCs/>
          <w:iCs/>
          <w:lang w:val="fr-FR"/>
        </w:rPr>
        <w:softHyphen/>
        <w:t>ường xuyên:</w:t>
      </w:r>
    </w:p>
    <w:p w14:paraId="65D988EE" w14:textId="14D11838" w:rsidR="00542E27" w:rsidRPr="00E05F46" w:rsidRDefault="00542E27" w:rsidP="00AB40F2">
      <w:pPr>
        <w:spacing w:before="60" w:after="60"/>
        <w:ind w:firstLine="720"/>
        <w:jc w:val="both"/>
        <w:rPr>
          <w:lang w:val="fr-FR"/>
        </w:rPr>
      </w:pPr>
      <w:r w:rsidRPr="00E05F46">
        <w:rPr>
          <w:lang w:val="fr-FR"/>
        </w:rPr>
        <w:t xml:space="preserve">Số quyết toán </w:t>
      </w:r>
      <w:r w:rsidR="001D5677" w:rsidRPr="00E05F46">
        <w:rPr>
          <w:lang w:val="fr-FR"/>
        </w:rPr>
        <w:t>12.532.408</w:t>
      </w:r>
      <w:r w:rsidRPr="00E05F46">
        <w:rPr>
          <w:lang w:val="fr-FR"/>
        </w:rPr>
        <w:t>/</w:t>
      </w:r>
      <w:r w:rsidR="001D5677" w:rsidRPr="00E05F46">
        <w:rPr>
          <w:lang w:val="fr-FR"/>
        </w:rPr>
        <w:t>14.367.693 triệu</w:t>
      </w:r>
      <w:r w:rsidRPr="00E05F46">
        <w:rPr>
          <w:lang w:val="fr-FR"/>
        </w:rPr>
        <w:t xml:space="preserve"> đồng, bằng 87% dự toán HĐND tỉnh giao</w:t>
      </w:r>
      <w:r w:rsidR="00CC0C86" w:rsidRPr="00E05F46">
        <w:rPr>
          <w:lang w:val="fr-FR"/>
        </w:rPr>
        <w:t xml:space="preserve">, tăng 21% so với cùng kỳ ; </w:t>
      </w:r>
      <w:r w:rsidRPr="00E05F46">
        <w:rPr>
          <w:lang w:val="fr-FR"/>
        </w:rPr>
        <w:t>cơ bản đã đáp ứng được các nhiệm vụ về hoạt động sự nghiệp trên địa bàn, hoạt động của hệ thống các cơ quan Đảng, chính quyền, tổ chức chính trị, các hội, đoàn thể, nhiệm vụ quốc phòng an ninh, một số nhiệm vụ cấp thiết khác đối với các đơn vị, các địa phương và thực hiện các chính sách phát triển kinh tế - xã hội của tỉnh.</w:t>
      </w:r>
    </w:p>
    <w:p w14:paraId="0C951F49" w14:textId="0ED73BC7" w:rsidR="00E1323A" w:rsidRPr="00E05F46" w:rsidRDefault="00E1323A" w:rsidP="00AB40F2">
      <w:pPr>
        <w:spacing w:before="60" w:after="60"/>
        <w:ind w:firstLine="720"/>
        <w:jc w:val="both"/>
        <w:rPr>
          <w:lang w:val="fr-FR"/>
        </w:rPr>
      </w:pPr>
      <w:r w:rsidRPr="00E05F46">
        <w:rPr>
          <w:lang w:val="fr-FR"/>
        </w:rPr>
        <w:t>Nguyên nhân chi thường xuyên chưa đảm bảo dự toán HĐND tỉnh giao đầu năm là do một số nhiệm vụ chi triển khai còn chậm chưa đảm bảo tiến độ theo kế hoạch; một số khoản chi phát sinh trong quý IV/202</w:t>
      </w:r>
      <w:r w:rsidR="00CC0C86" w:rsidRPr="00E05F46">
        <w:rPr>
          <w:lang w:val="fr-FR"/>
        </w:rPr>
        <w:t>4</w:t>
      </w:r>
      <w:r w:rsidRPr="00E05F46">
        <w:rPr>
          <w:lang w:val="fr-FR"/>
        </w:rPr>
        <w:t xml:space="preserve"> phải chuyển nguồn sang năm 202</w:t>
      </w:r>
      <w:r w:rsidR="00CC0C86" w:rsidRPr="00E05F46">
        <w:rPr>
          <w:lang w:val="fr-FR"/>
        </w:rPr>
        <w:t xml:space="preserve">5 </w:t>
      </w:r>
      <w:r w:rsidRPr="00E05F46">
        <w:rPr>
          <w:lang w:val="fr-FR"/>
        </w:rPr>
        <w:t>thực hiện; ngoài ra, việc triệt để tiết kiệm các khoản chi thường xuyên để dành nguồn bố trí chi đầu tư và được quyết toán vào chi đầu tư phát triển cũng làm giảm số thực hiện chi thường xuyên so với dự toán giao đầu năm.</w:t>
      </w:r>
    </w:p>
    <w:p w14:paraId="28B0F57B" w14:textId="0E3651B4" w:rsidR="008C0227" w:rsidRPr="00E05F46" w:rsidRDefault="008C0227" w:rsidP="00AB40F2">
      <w:pPr>
        <w:spacing w:before="60" w:after="60"/>
        <w:ind w:firstLine="720"/>
        <w:jc w:val="both"/>
        <w:rPr>
          <w:lang w:val="fr-FR"/>
        </w:rPr>
      </w:pPr>
      <w:r w:rsidRPr="00E05F46">
        <w:rPr>
          <w:lang w:val="fr-FR"/>
        </w:rPr>
        <w:t>Một số lĩnh vực cụ thể như sau:</w:t>
      </w:r>
    </w:p>
    <w:p w14:paraId="5568E332" w14:textId="27C7B09B" w:rsidR="0022641E" w:rsidRPr="00A6593A" w:rsidRDefault="0022641E" w:rsidP="00AB40F2">
      <w:pPr>
        <w:spacing w:before="60"/>
        <w:ind w:firstLine="720"/>
        <w:jc w:val="both"/>
        <w:rPr>
          <w:lang w:val="fr-FR"/>
        </w:rPr>
      </w:pPr>
      <w:r w:rsidRPr="00A6593A">
        <w:rPr>
          <w:lang w:val="fr-FR"/>
        </w:rPr>
        <w:t xml:space="preserve">+ Chi các hoạt động của cơ quan quản lý Nhà nước, Đảng, Đoàn thể đạt </w:t>
      </w:r>
      <w:r w:rsidR="00B3122C" w:rsidRPr="00A6593A">
        <w:rPr>
          <w:lang w:val="fr-FR"/>
        </w:rPr>
        <w:t xml:space="preserve">  3.208.906</w:t>
      </w:r>
      <w:r w:rsidR="001D505D" w:rsidRPr="00A6593A">
        <w:rPr>
          <w:lang w:val="fr-FR"/>
        </w:rPr>
        <w:t>/</w:t>
      </w:r>
      <w:r w:rsidR="00B3122C" w:rsidRPr="00A6593A">
        <w:rPr>
          <w:lang w:val="fr-FR"/>
        </w:rPr>
        <w:t xml:space="preserve">3.266.140 triệu </w:t>
      </w:r>
      <w:r w:rsidRPr="00A6593A">
        <w:rPr>
          <w:lang w:val="fr-FR"/>
        </w:rPr>
        <w:t xml:space="preserve">đồng, bằng </w:t>
      </w:r>
      <w:r w:rsidR="001D505D" w:rsidRPr="00A6593A">
        <w:rPr>
          <w:lang w:val="fr-FR"/>
        </w:rPr>
        <w:t>98</w:t>
      </w:r>
      <w:r w:rsidRPr="00A6593A">
        <w:rPr>
          <w:lang w:val="fr-FR"/>
        </w:rPr>
        <w:t xml:space="preserve">% dự toán HĐND tỉnh giao; đã </w:t>
      </w:r>
      <w:r w:rsidR="007B20B2" w:rsidRPr="00A6593A">
        <w:rPr>
          <w:lang w:val="fr-FR"/>
        </w:rPr>
        <w:t xml:space="preserve">cơ bản </w:t>
      </w:r>
      <w:r w:rsidRPr="00A6593A">
        <w:rPr>
          <w:lang w:val="fr-FR"/>
        </w:rPr>
        <w:t>đảm bảo các nhiệm vụ theo dự toán, các nhiệm vụ đột xuất, phát sinh như: Hội nghị, sơ tổng kết, khen thưởng, lễ kỷ niệm, hỗ trợ các ban, hội, mua sắm, sửa chữa tài sản thiết bị làm việc và thực hiện các nhiệm vụ khác.</w:t>
      </w:r>
    </w:p>
    <w:p w14:paraId="33E0D79F" w14:textId="0B3B7E3F" w:rsidR="0022641E" w:rsidRPr="00A6593A" w:rsidRDefault="0022641E" w:rsidP="00AB40F2">
      <w:pPr>
        <w:spacing w:before="60"/>
        <w:ind w:firstLine="720"/>
        <w:jc w:val="both"/>
        <w:rPr>
          <w:lang w:val="fr-FR"/>
        </w:rPr>
      </w:pPr>
      <w:r w:rsidRPr="00A6593A">
        <w:rPr>
          <w:lang w:val="fr-FR"/>
        </w:rPr>
        <w:t xml:space="preserve">- Chi quốc phòng, an ninh đạt </w:t>
      </w:r>
      <w:r w:rsidR="005B3F3F" w:rsidRPr="00A6593A">
        <w:rPr>
          <w:lang w:val="fr-FR"/>
        </w:rPr>
        <w:t>595.330</w:t>
      </w:r>
      <w:r w:rsidR="007B20B2" w:rsidRPr="00A6593A">
        <w:rPr>
          <w:lang w:val="fr-FR"/>
        </w:rPr>
        <w:t>/</w:t>
      </w:r>
      <w:r w:rsidR="005B3F3F" w:rsidRPr="00A6593A">
        <w:rPr>
          <w:lang w:val="fr-FR"/>
        </w:rPr>
        <w:t xml:space="preserve">458.651 triệu </w:t>
      </w:r>
      <w:r w:rsidRPr="00A6593A">
        <w:rPr>
          <w:lang w:val="fr-FR"/>
        </w:rPr>
        <w:t>đồng, bằng 13</w:t>
      </w:r>
      <w:r w:rsidR="00B0448B" w:rsidRPr="00A6593A">
        <w:rPr>
          <w:lang w:val="fr-FR"/>
        </w:rPr>
        <w:t>0</w:t>
      </w:r>
      <w:r w:rsidRPr="00A6593A">
        <w:rPr>
          <w:lang w:val="fr-FR"/>
        </w:rPr>
        <w:t xml:space="preserve">% dự toán HĐND tỉnh giao. </w:t>
      </w:r>
      <w:r w:rsidR="009A1C0A" w:rsidRPr="00A6593A">
        <w:rPr>
          <w:lang w:val="fr-FR"/>
        </w:rPr>
        <w:t xml:space="preserve">Lĩnh vực chi này thực hiện vượt dự toán do trong năm </w:t>
      </w:r>
      <w:r w:rsidR="00241362" w:rsidRPr="00A6593A">
        <w:rPr>
          <w:lang w:val="fr-FR"/>
        </w:rPr>
        <w:t>bổ sung kinh phí</w:t>
      </w:r>
      <w:r w:rsidR="009A1C0A" w:rsidRPr="00A6593A">
        <w:rPr>
          <w:lang w:val="fr-FR"/>
        </w:rPr>
        <w:t xml:space="preserve"> khá lớn để thực hiện các nhiệm vụ: an ninh trật tự, giữ vững biên </w:t>
      </w:r>
      <w:r w:rsidR="009A1C0A" w:rsidRPr="00A6593A">
        <w:rPr>
          <w:lang w:val="fr-FR"/>
        </w:rPr>
        <w:lastRenderedPageBreak/>
        <w:t>giới chủ quyền và nhất là thực hiện nhiệm vụ diễn tập khu vực phòng thủ cấp huyện, diễn tập phòng cháy chữa cháy quy mô cấp tỉnh; tổ chức các cuộc làm việc với các Bộ, Quân khu; mua sắm trang phục cho lực lượng tham gia bảo vệ an ninh trật tự ở cơ sở; tổ chức hội thi tổ liên gia an toàn phòng cháy chữa cháy; mua sắm trang thiết bị theo Đề án 06 và các nhiệm vụ cấp thiết khác.</w:t>
      </w:r>
    </w:p>
    <w:p w14:paraId="53BCBC29" w14:textId="0466DAB5" w:rsidR="0022641E" w:rsidRPr="00A6593A" w:rsidRDefault="0022641E" w:rsidP="00AB40F2">
      <w:pPr>
        <w:spacing w:before="60"/>
        <w:ind w:firstLine="720"/>
        <w:jc w:val="both"/>
        <w:rPr>
          <w:spacing w:val="2"/>
          <w:lang w:val="fr-FR"/>
        </w:rPr>
      </w:pPr>
      <w:r w:rsidRPr="00A6593A">
        <w:rPr>
          <w:spacing w:val="2"/>
          <w:lang w:val="fr-FR"/>
        </w:rPr>
        <w:t>- Chi sự nghiệp giáo dục, đào tạo và dạy nghề</w:t>
      </w:r>
      <w:r w:rsidRPr="00A6593A">
        <w:rPr>
          <w:spacing w:val="2"/>
          <w:lang w:val="nl-NL"/>
        </w:rPr>
        <w:t xml:space="preserve"> </w:t>
      </w:r>
      <w:r w:rsidRPr="00A6593A">
        <w:rPr>
          <w:spacing w:val="2"/>
          <w:lang w:val="fr-FR"/>
        </w:rPr>
        <w:t xml:space="preserve">đạt </w:t>
      </w:r>
      <w:r w:rsidR="00C40C8E" w:rsidRPr="00A6593A">
        <w:rPr>
          <w:spacing w:val="2"/>
          <w:lang w:val="fr-FR"/>
        </w:rPr>
        <w:t>5.079.491</w:t>
      </w:r>
      <w:r w:rsidR="009A1C0A" w:rsidRPr="00A6593A">
        <w:rPr>
          <w:spacing w:val="2"/>
          <w:lang w:val="fr-FR"/>
        </w:rPr>
        <w:t>/</w:t>
      </w:r>
      <w:r w:rsidR="00C40C8E" w:rsidRPr="00A6593A">
        <w:rPr>
          <w:spacing w:val="2"/>
          <w:lang w:val="fr-FR"/>
        </w:rPr>
        <w:t>4.967.007 triệu</w:t>
      </w:r>
      <w:r w:rsidRPr="00A6593A">
        <w:rPr>
          <w:spacing w:val="2"/>
          <w:lang w:val="fr-FR"/>
        </w:rPr>
        <w:t xml:space="preserve"> đồng, bằng </w:t>
      </w:r>
      <w:r w:rsidR="004240AD" w:rsidRPr="00A6593A">
        <w:rPr>
          <w:spacing w:val="2"/>
          <w:lang w:val="fr-FR"/>
        </w:rPr>
        <w:t>102</w:t>
      </w:r>
      <w:r w:rsidRPr="00A6593A">
        <w:rPr>
          <w:spacing w:val="2"/>
          <w:lang w:val="fr-FR"/>
        </w:rPr>
        <w:t>% dự toán HĐND tỉnh giao</w:t>
      </w:r>
      <w:r w:rsidR="004240AD" w:rsidRPr="00A6593A">
        <w:rPr>
          <w:spacing w:val="2"/>
          <w:lang w:val="fr-FR"/>
        </w:rPr>
        <w:t>; cơ bản đ</w:t>
      </w:r>
      <w:r w:rsidR="00EB2D48" w:rsidRPr="00A6593A">
        <w:rPr>
          <w:spacing w:val="2"/>
          <w:lang w:val="fr-FR"/>
        </w:rPr>
        <w:t>ảm bảo các nhiệm vụ chi phục vụ dạy và học</w:t>
      </w:r>
      <w:r w:rsidR="00F17244" w:rsidRPr="00A6593A">
        <w:rPr>
          <w:spacing w:val="2"/>
          <w:lang w:val="fr-FR"/>
        </w:rPr>
        <w:t xml:space="preserve">; kết quả thực hiện vượt dự toán giao </w:t>
      </w:r>
      <w:r w:rsidR="00E657BE" w:rsidRPr="00A6593A">
        <w:rPr>
          <w:spacing w:val="2"/>
          <w:lang w:val="fr-FR"/>
        </w:rPr>
        <w:t>do số thực hiện bao gồm cả kinh phí năm 2023 chuyển sang năm 2024 thực hiện</w:t>
      </w:r>
    </w:p>
    <w:p w14:paraId="1D3C146E" w14:textId="03EDF52E" w:rsidR="00222D01" w:rsidRPr="00A6593A" w:rsidRDefault="0022641E" w:rsidP="00AB40F2">
      <w:pPr>
        <w:spacing w:before="60"/>
        <w:ind w:firstLine="720"/>
        <w:jc w:val="both"/>
        <w:rPr>
          <w:lang w:val="fr-FR"/>
        </w:rPr>
      </w:pPr>
      <w:r w:rsidRPr="00A6593A">
        <w:rPr>
          <w:lang w:val="fr-FR"/>
        </w:rPr>
        <w:t>- Chi sự nghiệp y tế, dân số và gia đình</w:t>
      </w:r>
      <w:r w:rsidRPr="00A6593A">
        <w:rPr>
          <w:lang w:val="nl-NL"/>
        </w:rPr>
        <w:t xml:space="preserve"> </w:t>
      </w:r>
      <w:r w:rsidRPr="00A6593A">
        <w:rPr>
          <w:lang w:val="fr-FR"/>
        </w:rPr>
        <w:t xml:space="preserve">đạt </w:t>
      </w:r>
      <w:r w:rsidR="006809EC" w:rsidRPr="00A6593A">
        <w:rPr>
          <w:lang w:val="fr-FR"/>
        </w:rPr>
        <w:t>1.229.203</w:t>
      </w:r>
      <w:r w:rsidR="00222D01" w:rsidRPr="00A6593A">
        <w:rPr>
          <w:lang w:val="fr-FR"/>
        </w:rPr>
        <w:t>/</w:t>
      </w:r>
      <w:r w:rsidR="006809EC" w:rsidRPr="00A6593A">
        <w:rPr>
          <w:lang w:val="fr-FR"/>
        </w:rPr>
        <w:t xml:space="preserve">1.314.926 triệu </w:t>
      </w:r>
      <w:r w:rsidRPr="00A6593A">
        <w:rPr>
          <w:lang w:val="fr-FR"/>
        </w:rPr>
        <w:t xml:space="preserve">đồng, bằng </w:t>
      </w:r>
      <w:r w:rsidR="00B75D5B" w:rsidRPr="00A6593A">
        <w:rPr>
          <w:lang w:val="fr-FR"/>
        </w:rPr>
        <w:t>93</w:t>
      </w:r>
      <w:r w:rsidRPr="00A6593A">
        <w:rPr>
          <w:lang w:val="fr-FR"/>
        </w:rPr>
        <w:t>% dự toán HĐND tỉnh giao</w:t>
      </w:r>
      <w:r w:rsidR="00B75D5B" w:rsidRPr="00A6593A">
        <w:rPr>
          <w:lang w:val="fr-FR"/>
        </w:rPr>
        <w:t xml:space="preserve">. </w:t>
      </w:r>
      <w:r w:rsidR="006D6E49" w:rsidRPr="00A6593A">
        <w:rPr>
          <w:lang w:val="fr-FR"/>
        </w:rPr>
        <w:t>Nguyên nhân chưa đạt dự toán giao do</w:t>
      </w:r>
      <w:r w:rsidRPr="00A6593A">
        <w:rPr>
          <w:lang w:val="fr-FR"/>
        </w:rPr>
        <w:t xml:space="preserve"> </w:t>
      </w:r>
      <w:r w:rsidR="00222D01" w:rsidRPr="00A6593A">
        <w:rPr>
          <w:lang w:val="fr-FR"/>
        </w:rPr>
        <w:t>nguồn vốn tăng cường cơ sở vật chất cơ sở y tế gắn với đề án chính sách của tỉnh phân bổ muộn</w:t>
      </w:r>
      <w:r w:rsidR="00D9095D" w:rsidRPr="00A6593A">
        <w:rPr>
          <w:lang w:val="fr-FR"/>
        </w:rPr>
        <w:t>,</w:t>
      </w:r>
      <w:r w:rsidR="00222D01" w:rsidRPr="00A6593A">
        <w:rPr>
          <w:lang w:val="fr-FR"/>
        </w:rPr>
        <w:t xml:space="preserve"> một phần nguồn vốn chuyển sang năm sau thực hiện.</w:t>
      </w:r>
    </w:p>
    <w:p w14:paraId="05BE4593" w14:textId="4969FBFA" w:rsidR="005A32B2" w:rsidRPr="00A6593A" w:rsidRDefault="005A32B2" w:rsidP="00AB40F2">
      <w:pPr>
        <w:spacing w:before="60"/>
        <w:ind w:firstLine="720"/>
        <w:jc w:val="both"/>
        <w:rPr>
          <w:lang w:val="fr-FR"/>
        </w:rPr>
      </w:pPr>
      <w:r w:rsidRPr="00A6593A">
        <w:rPr>
          <w:lang w:val="fr-FR"/>
        </w:rPr>
        <w:t xml:space="preserve">- Chi sự nghiệp khoa học công nghệ đạt </w:t>
      </w:r>
      <w:r w:rsidR="00B51D5C" w:rsidRPr="00A6593A">
        <w:rPr>
          <w:lang w:val="fr-FR"/>
        </w:rPr>
        <w:t>33.117</w:t>
      </w:r>
      <w:r w:rsidRPr="00A6593A">
        <w:rPr>
          <w:lang w:val="fr-FR"/>
        </w:rPr>
        <w:t>/</w:t>
      </w:r>
      <w:r w:rsidR="00B51D5C" w:rsidRPr="00A6593A">
        <w:rPr>
          <w:lang w:val="fr-FR"/>
        </w:rPr>
        <w:t>50.620</w:t>
      </w:r>
      <w:r w:rsidRPr="00A6593A">
        <w:rPr>
          <w:lang w:val="fr-FR"/>
        </w:rPr>
        <w:t xml:space="preserve"> </w:t>
      </w:r>
      <w:r w:rsidR="00B51D5C" w:rsidRPr="00A6593A">
        <w:rPr>
          <w:lang w:val="fr-FR"/>
        </w:rPr>
        <w:t>triệu</w:t>
      </w:r>
      <w:r w:rsidRPr="00A6593A">
        <w:rPr>
          <w:lang w:val="fr-FR"/>
        </w:rPr>
        <w:t xml:space="preserve"> đồng, bằng 65% dự toán HĐND tỉnh giao; nguyên nhân chưa đạt dự toán giao do: trong năm </w:t>
      </w:r>
      <w:r w:rsidR="00867E50" w:rsidRPr="00A6593A">
        <w:rPr>
          <w:lang w:val="fr-FR"/>
        </w:rPr>
        <w:t>Quỹ phát triển khoa học công nghệ đề nghị không bổ sung vốn điều lệ (3</w:t>
      </w:r>
      <w:r w:rsidR="008A467A" w:rsidRPr="00A6593A">
        <w:rPr>
          <w:lang w:val="fr-FR"/>
        </w:rPr>
        <w:t>.000</w:t>
      </w:r>
      <w:r w:rsidR="00867E50" w:rsidRPr="00A6593A">
        <w:rPr>
          <w:lang w:val="fr-FR"/>
        </w:rPr>
        <w:t xml:space="preserve"> </w:t>
      </w:r>
      <w:r w:rsidR="008A467A" w:rsidRPr="00A6593A">
        <w:rPr>
          <w:lang w:val="fr-FR"/>
        </w:rPr>
        <w:t>triệu</w:t>
      </w:r>
      <w:r w:rsidR="00867E50" w:rsidRPr="00A6593A">
        <w:rPr>
          <w:lang w:val="fr-FR"/>
        </w:rPr>
        <w:t xml:space="preserve"> đồng) do không phát sinh hoạt động cho vay; chính sách phát triển khoa học công nghệ </w:t>
      </w:r>
      <w:r w:rsidR="00BC1802" w:rsidRPr="00A6593A">
        <w:rPr>
          <w:lang w:val="fr-FR"/>
        </w:rPr>
        <w:t xml:space="preserve">chỉ giải ngân </w:t>
      </w:r>
      <w:r w:rsidR="00E3187D" w:rsidRPr="00A6593A">
        <w:rPr>
          <w:lang w:val="fr-FR"/>
        </w:rPr>
        <w:t>6</w:t>
      </w:r>
      <w:r w:rsidR="00F6471F" w:rsidRPr="00A6593A">
        <w:rPr>
          <w:lang w:val="fr-FR"/>
        </w:rPr>
        <w:t>.044</w:t>
      </w:r>
      <w:r w:rsidR="00BC1802" w:rsidRPr="00A6593A">
        <w:rPr>
          <w:lang w:val="fr-FR"/>
        </w:rPr>
        <w:t>/15</w:t>
      </w:r>
      <w:r w:rsidR="00F6471F" w:rsidRPr="00A6593A">
        <w:rPr>
          <w:lang w:val="fr-FR"/>
        </w:rPr>
        <w:t>.000</w:t>
      </w:r>
      <w:r w:rsidR="00BC1802" w:rsidRPr="00A6593A">
        <w:rPr>
          <w:lang w:val="fr-FR"/>
        </w:rPr>
        <w:t xml:space="preserve"> </w:t>
      </w:r>
      <w:r w:rsidR="00F6471F" w:rsidRPr="00A6593A">
        <w:rPr>
          <w:lang w:val="fr-FR"/>
        </w:rPr>
        <w:t>triệu</w:t>
      </w:r>
      <w:r w:rsidR="00BC1802" w:rsidRPr="00A6593A">
        <w:rPr>
          <w:lang w:val="fr-FR"/>
        </w:rPr>
        <w:t xml:space="preserve"> đồng được bố trí, đạt </w:t>
      </w:r>
      <w:r w:rsidR="00E3187D" w:rsidRPr="00A6593A">
        <w:rPr>
          <w:lang w:val="fr-FR"/>
        </w:rPr>
        <w:t>40</w:t>
      </w:r>
      <w:r w:rsidR="00BC1802" w:rsidRPr="00A6593A">
        <w:rPr>
          <w:lang w:val="fr-FR"/>
        </w:rPr>
        <w:t>% dự toán.</w:t>
      </w:r>
    </w:p>
    <w:p w14:paraId="206515F1" w14:textId="71E6397B" w:rsidR="0022641E" w:rsidRPr="00A6593A" w:rsidRDefault="0022641E" w:rsidP="00AB40F2">
      <w:pPr>
        <w:spacing w:before="60"/>
        <w:ind w:firstLine="720"/>
        <w:jc w:val="both"/>
        <w:rPr>
          <w:lang w:val="fr-FR"/>
        </w:rPr>
      </w:pPr>
      <w:r w:rsidRPr="00A6593A">
        <w:rPr>
          <w:lang w:val="fr-FR"/>
        </w:rPr>
        <w:t xml:space="preserve">- Chi đảm bảo xã hội đạt </w:t>
      </w:r>
      <w:r w:rsidR="00F6471F" w:rsidRPr="00A6593A">
        <w:rPr>
          <w:lang w:val="fr-FR"/>
        </w:rPr>
        <w:t>789.610</w:t>
      </w:r>
      <w:r w:rsidR="00060768" w:rsidRPr="00A6593A">
        <w:rPr>
          <w:lang w:val="fr-FR"/>
        </w:rPr>
        <w:t>/</w:t>
      </w:r>
      <w:r w:rsidR="00F6471F" w:rsidRPr="00A6593A">
        <w:rPr>
          <w:lang w:val="fr-FR"/>
        </w:rPr>
        <w:t xml:space="preserve">720.071 triệu </w:t>
      </w:r>
      <w:r w:rsidRPr="00A6593A">
        <w:rPr>
          <w:lang w:val="fr-FR"/>
        </w:rPr>
        <w:t xml:space="preserve">đồng, bằng </w:t>
      </w:r>
      <w:r w:rsidR="00060768" w:rsidRPr="00A6593A">
        <w:rPr>
          <w:lang w:val="fr-FR"/>
        </w:rPr>
        <w:t>110</w:t>
      </w:r>
      <w:r w:rsidRPr="00A6593A">
        <w:rPr>
          <w:lang w:val="fr-FR"/>
        </w:rPr>
        <w:t xml:space="preserve">% dự toán HĐND tỉnh giao; </w:t>
      </w:r>
      <w:r w:rsidR="00341AFE" w:rsidRPr="00A6593A">
        <w:rPr>
          <w:lang w:val="fr-FR"/>
        </w:rPr>
        <w:t>đảm bảo các nhiệm vụ chi an sinh xã hội, các chính sách của tỉnh cho các đối tượng yếu thế trên địa bàn.</w:t>
      </w:r>
    </w:p>
    <w:p w14:paraId="610774F2" w14:textId="70A6525E" w:rsidR="0022641E" w:rsidRPr="00A6593A" w:rsidRDefault="0022641E" w:rsidP="00AB40F2">
      <w:pPr>
        <w:spacing w:before="60"/>
        <w:ind w:firstLine="720"/>
        <w:jc w:val="both"/>
        <w:rPr>
          <w:lang w:val="fr-FR"/>
        </w:rPr>
      </w:pPr>
      <w:r w:rsidRPr="00A6593A">
        <w:rPr>
          <w:lang w:val="fr-FR"/>
        </w:rPr>
        <w:t xml:space="preserve">- Chi sự nghiệp kinh tế đạt </w:t>
      </w:r>
      <w:r w:rsidR="00893B99" w:rsidRPr="00A6593A">
        <w:rPr>
          <w:lang w:val="fr-FR"/>
        </w:rPr>
        <w:t>1.058</w:t>
      </w:r>
      <w:r w:rsidR="00982B89" w:rsidRPr="00A6593A">
        <w:rPr>
          <w:lang w:val="fr-FR"/>
        </w:rPr>
        <w:t>.065</w:t>
      </w:r>
      <w:r w:rsidR="00893B99" w:rsidRPr="00A6593A">
        <w:rPr>
          <w:lang w:val="fr-FR"/>
        </w:rPr>
        <w:t>/2.886</w:t>
      </w:r>
      <w:r w:rsidR="00982B89" w:rsidRPr="00A6593A">
        <w:rPr>
          <w:lang w:val="fr-FR"/>
        </w:rPr>
        <w:t>.090</w:t>
      </w:r>
      <w:r w:rsidRPr="00A6593A">
        <w:rPr>
          <w:lang w:val="fr-FR"/>
        </w:rPr>
        <w:t xml:space="preserve"> t</w:t>
      </w:r>
      <w:r w:rsidR="00982B89" w:rsidRPr="00A6593A">
        <w:rPr>
          <w:lang w:val="fr-FR"/>
        </w:rPr>
        <w:t>riệu</w:t>
      </w:r>
      <w:r w:rsidRPr="00A6593A">
        <w:rPr>
          <w:lang w:val="fr-FR"/>
        </w:rPr>
        <w:t xml:space="preserve"> đồng, bằng </w:t>
      </w:r>
      <w:r w:rsidR="00A13B27" w:rsidRPr="00A6593A">
        <w:rPr>
          <w:lang w:val="fr-FR"/>
        </w:rPr>
        <w:t>3</w:t>
      </w:r>
      <w:r w:rsidR="00893B99" w:rsidRPr="00A6593A">
        <w:rPr>
          <w:lang w:val="fr-FR"/>
        </w:rPr>
        <w:t>7</w:t>
      </w:r>
      <w:r w:rsidRPr="00A6593A">
        <w:rPr>
          <w:lang w:val="fr-FR"/>
        </w:rPr>
        <w:t>% dự toán HĐND tỉnh giao</w:t>
      </w:r>
      <w:r w:rsidR="00A13B27" w:rsidRPr="00A6593A">
        <w:rPr>
          <w:lang w:val="fr-FR"/>
        </w:rPr>
        <w:t>;</w:t>
      </w:r>
      <w:r w:rsidRPr="00A6593A">
        <w:rPr>
          <w:lang w:val="fr-FR"/>
        </w:rPr>
        <w:t xml:space="preserve"> chi sự nghiệp kinh tế chưa đạt dự toán giao là do </w:t>
      </w:r>
      <w:r w:rsidR="004B3971" w:rsidRPr="00A6593A">
        <w:rPr>
          <w:lang w:val="fr-FR"/>
        </w:rPr>
        <w:t>một số nhiệm vụ, đề án, chính sách của tỉnh chưa có đối tượng hấp thu hoặc đối tượng hấp thu ít; triển khai chưa kịp thời, đến hết năm các đơn vị mới tổ chức kiểm tra nghiệm thu, xác định khối lượng thực hiện để làm cơ sở đề xuất hỗ trợ nguồn kinh phí nên ảnh hưởng tỷ lệ giải ngân so với dự toán được giao;</w:t>
      </w:r>
      <w:r w:rsidR="0008374C" w:rsidRPr="00A6593A">
        <w:rPr>
          <w:lang w:val="fr-FR"/>
        </w:rPr>
        <w:t xml:space="preserve"> bên cạnh đó, một số nội dung dự toán chi sự nghiệp kinh tế nhưng được quyết toán ở các sự nghiệp khác, như: </w:t>
      </w:r>
      <w:r w:rsidR="00DB110F" w:rsidRPr="00A6593A">
        <w:rPr>
          <w:lang w:val="fr-FR"/>
        </w:rPr>
        <w:t>c</w:t>
      </w:r>
      <w:r w:rsidR="00DE19C6" w:rsidRPr="00A6593A">
        <w:rPr>
          <w:lang w:val="fr-FR"/>
        </w:rPr>
        <w:t xml:space="preserve">hính sách hỗ trợ xi măng, </w:t>
      </w:r>
      <w:r w:rsidR="00A03056" w:rsidRPr="00A6593A">
        <w:rPr>
          <w:lang w:val="fr-FR"/>
        </w:rPr>
        <w:t>kinh phí bảo trì đường bộ….</w:t>
      </w:r>
    </w:p>
    <w:p w14:paraId="761E632B" w14:textId="77777777" w:rsidR="0022641E" w:rsidRPr="00A6593A" w:rsidRDefault="0022641E" w:rsidP="00AB40F2">
      <w:pPr>
        <w:spacing w:before="60" w:after="60"/>
        <w:ind w:firstLine="720"/>
        <w:jc w:val="both"/>
        <w:rPr>
          <w:lang w:val="fr-FR"/>
        </w:rPr>
      </w:pPr>
      <w:r w:rsidRPr="00A6593A">
        <w:rPr>
          <w:lang w:val="fr-FR"/>
        </w:rPr>
        <w:t>- Đối với các lĩnh vực chi sự nghiệp văn hóa, thể thao, du lịch; sự nghiệp khoa học công nghệ</w:t>
      </w:r>
      <w:r w:rsidRPr="00A6593A">
        <w:rPr>
          <w:lang w:val="nl-NL"/>
        </w:rPr>
        <w:t xml:space="preserve"> và các lĩnh vực khác cơ bản thực hiện theo dự toán</w:t>
      </w:r>
      <w:r w:rsidRPr="00A6593A">
        <w:rPr>
          <w:lang w:val="fr-FR"/>
        </w:rPr>
        <w:t>.</w:t>
      </w:r>
    </w:p>
    <w:p w14:paraId="09095BDF" w14:textId="431658C7" w:rsidR="002E5078" w:rsidRPr="00E05F46" w:rsidRDefault="00897DE0" w:rsidP="00AB40F2">
      <w:pPr>
        <w:spacing w:before="60" w:after="60"/>
        <w:ind w:firstLine="720"/>
        <w:jc w:val="both"/>
        <w:rPr>
          <w:b/>
          <w:lang w:val="fr-FR"/>
        </w:rPr>
      </w:pPr>
      <w:r w:rsidRPr="00E05F46">
        <w:rPr>
          <w:b/>
          <w:iCs/>
          <w:lang w:val="fr-FR"/>
        </w:rPr>
        <w:t>3.</w:t>
      </w:r>
      <w:r w:rsidR="002E5078" w:rsidRPr="00E05F46">
        <w:rPr>
          <w:b/>
          <w:lang w:val="fr-FR"/>
        </w:rPr>
        <w:t xml:space="preserve"> Chi chuyển nguồn:</w:t>
      </w:r>
    </w:p>
    <w:p w14:paraId="2623C6FE" w14:textId="054600DC" w:rsidR="00671613" w:rsidRPr="00E05F46" w:rsidRDefault="00671613" w:rsidP="00AB40F2">
      <w:pPr>
        <w:widowControl w:val="0"/>
        <w:spacing w:before="60" w:after="60"/>
        <w:ind w:firstLine="567"/>
        <w:jc w:val="both"/>
        <w:rPr>
          <w:spacing w:val="-2"/>
          <w:lang w:val="fr-FR"/>
        </w:rPr>
      </w:pPr>
      <w:r w:rsidRPr="00E05F46">
        <w:rPr>
          <w:spacing w:val="-2"/>
          <w:lang w:val="fr-FR"/>
        </w:rPr>
        <w:t xml:space="preserve">Tổng chi chuyển nguồn năm 2024 sang năm 2025 của toàn tỉnh là </w:t>
      </w:r>
      <w:r w:rsidR="00EC1477" w:rsidRPr="00E05F46">
        <w:rPr>
          <w:spacing w:val="-2"/>
          <w:lang w:val="fr-FR"/>
        </w:rPr>
        <w:t>11.152.402</w:t>
      </w:r>
      <w:r w:rsidRPr="00E05F46">
        <w:rPr>
          <w:spacing w:val="-2"/>
          <w:lang w:val="fr-FR"/>
        </w:rPr>
        <w:t xml:space="preserve"> </w:t>
      </w:r>
      <w:r w:rsidR="00EC1477" w:rsidRPr="00E05F46">
        <w:rPr>
          <w:spacing w:val="-2"/>
          <w:lang w:val="fr-FR"/>
        </w:rPr>
        <w:t xml:space="preserve">triệu </w:t>
      </w:r>
      <w:r w:rsidRPr="00E05F46">
        <w:rPr>
          <w:spacing w:val="-2"/>
          <w:lang w:val="fr-FR"/>
        </w:rPr>
        <w:t>đồng</w:t>
      </w:r>
      <w:r w:rsidRPr="00E05F46">
        <w:rPr>
          <w:rStyle w:val="FootnoteReference"/>
          <w:spacing w:val="-2"/>
          <w:lang w:val="nl-NL"/>
        </w:rPr>
        <w:footnoteReference w:id="10"/>
      </w:r>
      <w:r w:rsidRPr="00E05F46">
        <w:rPr>
          <w:spacing w:val="-2"/>
          <w:lang w:val="fr-FR"/>
        </w:rPr>
        <w:t>,</w:t>
      </w:r>
      <w:r w:rsidR="00581B8A" w:rsidRPr="00E05F46">
        <w:rPr>
          <w:spacing w:val="-2"/>
          <w:lang w:val="fr-FR"/>
        </w:rPr>
        <w:t xml:space="preserve"> giảm 9% so với cùng kỳ;</w:t>
      </w:r>
      <w:r w:rsidRPr="00E05F46">
        <w:rPr>
          <w:spacing w:val="-2"/>
          <w:lang w:val="fr-FR"/>
        </w:rPr>
        <w:t xml:space="preserve"> trong đó: (i) </w:t>
      </w:r>
      <w:r w:rsidR="00DB110F" w:rsidRPr="00E05F46">
        <w:rPr>
          <w:spacing w:val="-2"/>
          <w:lang w:val="fr-FR"/>
        </w:rPr>
        <w:t>c</w:t>
      </w:r>
      <w:r w:rsidRPr="00E05F46">
        <w:rPr>
          <w:spacing w:val="-2"/>
          <w:lang w:val="fr-FR"/>
        </w:rPr>
        <w:t xml:space="preserve">hi đầu tư phát triển thực hiện chuyển sang năm sau theo quy định của Luật đầu tư công số tiền </w:t>
      </w:r>
      <w:r w:rsidR="00892D5D" w:rsidRPr="00E05F46">
        <w:rPr>
          <w:spacing w:val="-2"/>
          <w:lang w:val="fr-FR"/>
        </w:rPr>
        <w:t>4.313.297</w:t>
      </w:r>
      <w:r w:rsidRPr="00E05F46">
        <w:rPr>
          <w:spacing w:val="-2"/>
          <w:lang w:val="fr-FR"/>
        </w:rPr>
        <w:t xml:space="preserve"> </w:t>
      </w:r>
      <w:r w:rsidR="00892D5D" w:rsidRPr="00E05F46">
        <w:rPr>
          <w:spacing w:val="-2"/>
          <w:lang w:val="fr-FR"/>
        </w:rPr>
        <w:t>triệu</w:t>
      </w:r>
      <w:r w:rsidRPr="00E05F46">
        <w:rPr>
          <w:spacing w:val="-2"/>
          <w:lang w:val="fr-FR"/>
        </w:rPr>
        <w:t xml:space="preserve"> đồng; (ii) </w:t>
      </w:r>
      <w:r w:rsidR="00DB110F" w:rsidRPr="00E05F46">
        <w:rPr>
          <w:spacing w:val="-2"/>
          <w:lang w:val="fr-FR"/>
        </w:rPr>
        <w:t>c</w:t>
      </w:r>
      <w:r w:rsidRPr="00E05F46">
        <w:rPr>
          <w:spacing w:val="-2"/>
          <w:lang w:val="fr-FR"/>
        </w:rPr>
        <w:t xml:space="preserve">hi mua sắm trang thiết bị đã đầy đủ hồ sơ, hợp đồng mua sắm trang thiết bị số tiền </w:t>
      </w:r>
      <w:r w:rsidR="00A102F4" w:rsidRPr="00E05F46">
        <w:rPr>
          <w:spacing w:val="-2"/>
          <w:lang w:val="fr-FR"/>
        </w:rPr>
        <w:t>7.699</w:t>
      </w:r>
      <w:r w:rsidRPr="00E05F46">
        <w:rPr>
          <w:spacing w:val="-2"/>
          <w:lang w:val="fr-FR"/>
        </w:rPr>
        <w:t xml:space="preserve"> t</w:t>
      </w:r>
      <w:r w:rsidR="00A102F4" w:rsidRPr="00E05F46">
        <w:rPr>
          <w:spacing w:val="-2"/>
          <w:lang w:val="fr-FR"/>
        </w:rPr>
        <w:t>riệu</w:t>
      </w:r>
      <w:r w:rsidRPr="00E05F46">
        <w:rPr>
          <w:spacing w:val="-2"/>
          <w:lang w:val="fr-FR"/>
        </w:rPr>
        <w:t xml:space="preserve"> đồng; (iii) </w:t>
      </w:r>
      <w:r w:rsidR="00DB110F" w:rsidRPr="00E05F46">
        <w:rPr>
          <w:spacing w:val="-2"/>
          <w:lang w:val="fr-FR"/>
        </w:rPr>
        <w:t>n</w:t>
      </w:r>
      <w:r w:rsidRPr="00E05F46">
        <w:rPr>
          <w:spacing w:val="-2"/>
          <w:lang w:val="fr-FR"/>
        </w:rPr>
        <w:t xml:space="preserve">guồn thực hiện chính sách tiền lương, phụ cấp, trợ cấp và các khoản tính theo tiền lương cơ sở, bảo trợ xã hội số tiền </w:t>
      </w:r>
      <w:r w:rsidR="00A102F4" w:rsidRPr="00E05F46">
        <w:rPr>
          <w:spacing w:val="-2"/>
          <w:lang w:val="fr-FR"/>
        </w:rPr>
        <w:t xml:space="preserve">2.333.974 </w:t>
      </w:r>
      <w:r w:rsidR="003943F3" w:rsidRPr="00E05F46">
        <w:rPr>
          <w:spacing w:val="-2"/>
          <w:lang w:val="fr-FR"/>
        </w:rPr>
        <w:t xml:space="preserve">triệu </w:t>
      </w:r>
      <w:r w:rsidRPr="00E05F46">
        <w:rPr>
          <w:spacing w:val="-2"/>
          <w:lang w:val="fr-FR"/>
        </w:rPr>
        <w:t xml:space="preserve">đồng; (iv) </w:t>
      </w:r>
      <w:r w:rsidR="00DB110F" w:rsidRPr="00E05F46">
        <w:rPr>
          <w:spacing w:val="-2"/>
          <w:lang w:val="fr-FR"/>
        </w:rPr>
        <w:t>k</w:t>
      </w:r>
      <w:r w:rsidRPr="00E05F46">
        <w:rPr>
          <w:spacing w:val="-2"/>
          <w:lang w:val="fr-FR"/>
        </w:rPr>
        <w:t xml:space="preserve">inh phí được giao tự chủ của các đơn vị sự nghiệp công lập và các cơ quan nhà nước số tiền </w:t>
      </w:r>
      <w:r w:rsidR="003943F3" w:rsidRPr="00E05F46">
        <w:rPr>
          <w:spacing w:val="-2"/>
          <w:lang w:val="fr-FR"/>
        </w:rPr>
        <w:t xml:space="preserve">20.234 triệu </w:t>
      </w:r>
      <w:r w:rsidRPr="00E05F46">
        <w:rPr>
          <w:spacing w:val="-2"/>
          <w:lang w:val="fr-FR"/>
        </w:rPr>
        <w:t xml:space="preserve">đồng; (v) </w:t>
      </w:r>
      <w:r w:rsidR="00DB110F" w:rsidRPr="00E05F46">
        <w:rPr>
          <w:spacing w:val="-2"/>
          <w:lang w:val="fr-FR"/>
        </w:rPr>
        <w:t>c</w:t>
      </w:r>
      <w:r w:rsidRPr="00E05F46">
        <w:rPr>
          <w:spacing w:val="-2"/>
          <w:lang w:val="fr-FR"/>
        </w:rPr>
        <w:t>ác khoản dự toán được cấp có thẩm quyền bổ sung sau ngày 30/9/202</w:t>
      </w:r>
      <w:r w:rsidR="009450BB" w:rsidRPr="00E05F46">
        <w:rPr>
          <w:spacing w:val="-2"/>
          <w:lang w:val="fr-FR"/>
        </w:rPr>
        <w:t>4</w:t>
      </w:r>
      <w:r w:rsidRPr="00E05F46">
        <w:rPr>
          <w:spacing w:val="-2"/>
          <w:lang w:val="fr-FR"/>
        </w:rPr>
        <w:t xml:space="preserve"> số tiền </w:t>
      </w:r>
      <w:r w:rsidR="00463F81" w:rsidRPr="00E05F46">
        <w:rPr>
          <w:spacing w:val="-2"/>
          <w:lang w:val="fr-FR"/>
        </w:rPr>
        <w:t xml:space="preserve">1.045.734 triệu </w:t>
      </w:r>
      <w:r w:rsidRPr="00E05F46">
        <w:rPr>
          <w:spacing w:val="-2"/>
          <w:lang w:val="fr-FR"/>
        </w:rPr>
        <w:t xml:space="preserve">đồng; (vi) </w:t>
      </w:r>
      <w:r w:rsidR="00DB110F" w:rsidRPr="00E05F46">
        <w:rPr>
          <w:spacing w:val="-2"/>
          <w:lang w:val="fr-FR"/>
        </w:rPr>
        <w:t>k</w:t>
      </w:r>
      <w:r w:rsidRPr="00E05F46">
        <w:rPr>
          <w:spacing w:val="-2"/>
          <w:lang w:val="fr-FR"/>
        </w:rPr>
        <w:t xml:space="preserve">inh phí </w:t>
      </w:r>
      <w:r w:rsidRPr="00E05F46">
        <w:rPr>
          <w:spacing w:val="-2"/>
          <w:lang w:val="fr-FR"/>
        </w:rPr>
        <w:lastRenderedPageBreak/>
        <w:t xml:space="preserve">nghiên cứu khoa học bố trí trong thời gian thực hiện các đề tài, dự án nghiên cứu khoa học được cấp có thẩm quyền quyết định số tiền </w:t>
      </w:r>
      <w:r w:rsidR="00BE6790" w:rsidRPr="00E05F46">
        <w:rPr>
          <w:spacing w:val="-2"/>
          <w:lang w:val="fr-FR"/>
        </w:rPr>
        <w:t xml:space="preserve">54.314 triệu </w:t>
      </w:r>
      <w:r w:rsidRPr="00E05F46">
        <w:rPr>
          <w:spacing w:val="-2"/>
          <w:lang w:val="fr-FR"/>
        </w:rPr>
        <w:t xml:space="preserve">đồng; (vii) </w:t>
      </w:r>
      <w:r w:rsidR="00DB110F" w:rsidRPr="00E05F46">
        <w:rPr>
          <w:spacing w:val="-2"/>
          <w:lang w:val="fr-FR"/>
        </w:rPr>
        <w:t>c</w:t>
      </w:r>
      <w:r w:rsidRPr="00E05F46">
        <w:rPr>
          <w:spacing w:val="-2"/>
          <w:lang w:val="fr-FR"/>
        </w:rPr>
        <w:t xml:space="preserve">ác khoản tăng thu, tiết kiệm chi được sử dụng được cấp có thẩm quyền quyết định cho phép sử dụng vào năm sau số tiền </w:t>
      </w:r>
      <w:r w:rsidR="00BE6790" w:rsidRPr="00E05F46">
        <w:rPr>
          <w:spacing w:val="-2"/>
          <w:lang w:val="fr-FR"/>
        </w:rPr>
        <w:t>3.256.564 triệu</w:t>
      </w:r>
      <w:r w:rsidRPr="00E05F46">
        <w:rPr>
          <w:spacing w:val="-2"/>
          <w:lang w:val="fr-FR"/>
        </w:rPr>
        <w:t xml:space="preserve"> đồng; (viii) </w:t>
      </w:r>
      <w:r w:rsidR="00DB110F" w:rsidRPr="00E05F46">
        <w:rPr>
          <w:spacing w:val="-2"/>
          <w:lang w:val="fr-FR"/>
        </w:rPr>
        <w:t>c</w:t>
      </w:r>
      <w:r w:rsidRPr="00E05F46">
        <w:rPr>
          <w:spacing w:val="-2"/>
          <w:lang w:val="fr-FR"/>
        </w:rPr>
        <w:t xml:space="preserve">huyển nguồn kinh phí khác số tiền </w:t>
      </w:r>
      <w:r w:rsidR="00270890" w:rsidRPr="00E05F46">
        <w:rPr>
          <w:spacing w:val="-2"/>
          <w:lang w:val="fr-FR"/>
        </w:rPr>
        <w:t>120</w:t>
      </w:r>
      <w:r w:rsidR="00BE6790" w:rsidRPr="00E05F46">
        <w:rPr>
          <w:spacing w:val="-2"/>
          <w:lang w:val="fr-FR"/>
        </w:rPr>
        <w:t>.585</w:t>
      </w:r>
      <w:r w:rsidRPr="00E05F46">
        <w:rPr>
          <w:spacing w:val="-2"/>
          <w:lang w:val="fr-FR"/>
        </w:rPr>
        <w:t xml:space="preserve"> t</w:t>
      </w:r>
      <w:r w:rsidR="00BE6790" w:rsidRPr="00E05F46">
        <w:rPr>
          <w:spacing w:val="-2"/>
          <w:lang w:val="fr-FR"/>
        </w:rPr>
        <w:t>riệu</w:t>
      </w:r>
      <w:r w:rsidRPr="00E05F46">
        <w:rPr>
          <w:spacing w:val="-2"/>
          <w:lang w:val="fr-FR"/>
        </w:rPr>
        <w:t xml:space="preserve"> đồng</w:t>
      </w:r>
      <w:r w:rsidR="00393E3C" w:rsidRPr="00E05F46">
        <w:rPr>
          <w:rStyle w:val="FootnoteReference"/>
          <w:spacing w:val="-2"/>
          <w:lang w:val="nl-NL"/>
        </w:rPr>
        <w:footnoteReference w:id="11"/>
      </w:r>
      <w:r w:rsidR="00393E3C" w:rsidRPr="00E05F46">
        <w:rPr>
          <w:spacing w:val="-2"/>
          <w:lang w:val="fr-FR"/>
        </w:rPr>
        <w:t>.</w:t>
      </w:r>
    </w:p>
    <w:p w14:paraId="59BB1AA5" w14:textId="7E286872" w:rsidR="00A66647" w:rsidRPr="00E05F46" w:rsidRDefault="00A66647" w:rsidP="00AB40F2">
      <w:pPr>
        <w:tabs>
          <w:tab w:val="left" w:pos="3094"/>
        </w:tabs>
        <w:spacing w:before="60" w:after="60"/>
        <w:ind w:firstLine="720"/>
        <w:jc w:val="both"/>
        <w:rPr>
          <w:b/>
          <w:bCs/>
          <w:spacing w:val="-2"/>
          <w:lang w:val="fr-FR"/>
        </w:rPr>
      </w:pPr>
      <w:r w:rsidRPr="00E05F46">
        <w:rPr>
          <w:b/>
          <w:bCs/>
          <w:spacing w:val="-2"/>
          <w:lang w:val="fr-FR"/>
        </w:rPr>
        <w:t>4. Chi nộp trả ngân sách cấp trên:</w:t>
      </w:r>
    </w:p>
    <w:p w14:paraId="380BF3A6" w14:textId="774B7C1E" w:rsidR="00875022" w:rsidRPr="00E05F46" w:rsidRDefault="00875022" w:rsidP="00AB40F2">
      <w:pPr>
        <w:spacing w:before="60" w:after="60"/>
        <w:ind w:firstLine="720"/>
        <w:jc w:val="both"/>
        <w:rPr>
          <w:lang w:val="fr-FR"/>
        </w:rPr>
      </w:pPr>
      <w:r w:rsidRPr="00E05F46">
        <w:rPr>
          <w:lang w:val="fr-FR"/>
        </w:rPr>
        <w:t>Số nộp trả ngân sách cấp trên năm 202</w:t>
      </w:r>
      <w:r w:rsidR="00496EC0" w:rsidRPr="00E05F46">
        <w:rPr>
          <w:lang w:val="fr-FR"/>
        </w:rPr>
        <w:t>4</w:t>
      </w:r>
      <w:r w:rsidRPr="00E05F46">
        <w:rPr>
          <w:lang w:val="fr-FR"/>
        </w:rPr>
        <w:t xml:space="preserve"> là </w:t>
      </w:r>
      <w:r w:rsidR="003474B2" w:rsidRPr="00E05F46">
        <w:rPr>
          <w:lang w:val="fr-FR"/>
        </w:rPr>
        <w:t xml:space="preserve">107.121 triệu </w:t>
      </w:r>
      <w:r w:rsidRPr="00E05F46">
        <w:rPr>
          <w:lang w:val="fr-FR"/>
        </w:rPr>
        <w:t xml:space="preserve">đồng, trong đó nộp trả ngân sách Trung ương </w:t>
      </w:r>
      <w:r w:rsidR="00353B85" w:rsidRPr="00E05F46">
        <w:rPr>
          <w:lang w:val="fr-FR"/>
        </w:rPr>
        <w:t>7</w:t>
      </w:r>
      <w:r w:rsidR="003474B2" w:rsidRPr="00E05F46">
        <w:rPr>
          <w:lang w:val="fr-FR"/>
        </w:rPr>
        <w:t>.127</w:t>
      </w:r>
      <w:r w:rsidR="008E3AD9" w:rsidRPr="00E05F46">
        <w:rPr>
          <w:lang w:val="fr-FR"/>
        </w:rPr>
        <w:t xml:space="preserve"> </w:t>
      </w:r>
      <w:r w:rsidR="003474B2" w:rsidRPr="00E05F46">
        <w:rPr>
          <w:lang w:val="fr-FR"/>
        </w:rPr>
        <w:t>triệu</w:t>
      </w:r>
      <w:r w:rsidR="008E3AD9" w:rsidRPr="00E05F46">
        <w:rPr>
          <w:lang w:val="fr-FR"/>
        </w:rPr>
        <w:t xml:space="preserve"> đồng (</w:t>
      </w:r>
      <w:r w:rsidR="00C11486" w:rsidRPr="00E05F46">
        <w:rPr>
          <w:lang w:val="fr-FR"/>
        </w:rPr>
        <w:t xml:space="preserve">nộp trả </w:t>
      </w:r>
      <w:r w:rsidR="00074651" w:rsidRPr="00E05F46">
        <w:rPr>
          <w:lang w:val="fr-FR"/>
        </w:rPr>
        <w:t xml:space="preserve">kinh phí ngân sách trung ương hỗ trợ khắc phục hậu quả thiên tai các năm </w:t>
      </w:r>
      <w:r w:rsidR="009C6E23" w:rsidRPr="00E05F46">
        <w:rPr>
          <w:lang w:val="fr-FR"/>
        </w:rPr>
        <w:t>2018,</w:t>
      </w:r>
      <w:r w:rsidR="00C11486" w:rsidRPr="00E05F46">
        <w:rPr>
          <w:lang w:val="fr-FR"/>
        </w:rPr>
        <w:t xml:space="preserve"> </w:t>
      </w:r>
      <w:r w:rsidR="009C6E23" w:rsidRPr="00E05F46">
        <w:rPr>
          <w:lang w:val="fr-FR"/>
        </w:rPr>
        <w:t xml:space="preserve">2019, 2021, 2022 </w:t>
      </w:r>
      <w:r w:rsidR="00C11486" w:rsidRPr="00E05F46">
        <w:rPr>
          <w:lang w:val="fr-FR"/>
        </w:rPr>
        <w:t>theo yêu cầu của Bộ Tài chính</w:t>
      </w:r>
      <w:r w:rsidR="00D5294B" w:rsidRPr="00E05F46">
        <w:rPr>
          <w:rStyle w:val="FootnoteReference"/>
          <w:spacing w:val="-2"/>
          <w:lang w:val="nl-NL"/>
        </w:rPr>
        <w:footnoteReference w:id="12"/>
      </w:r>
      <w:r w:rsidR="008E3AD9" w:rsidRPr="00E05F46">
        <w:rPr>
          <w:lang w:val="fr-FR"/>
        </w:rPr>
        <w:t>)</w:t>
      </w:r>
      <w:r w:rsidR="00353B85" w:rsidRPr="00E05F46">
        <w:rPr>
          <w:lang w:val="fr-FR"/>
        </w:rPr>
        <w:t>.</w:t>
      </w:r>
    </w:p>
    <w:p w14:paraId="6C425199" w14:textId="69B29716" w:rsidR="00BD40FF" w:rsidRPr="00E05F46" w:rsidRDefault="00F91DE7" w:rsidP="00AB40F2">
      <w:pPr>
        <w:spacing w:before="60" w:after="60"/>
        <w:ind w:firstLine="720"/>
        <w:jc w:val="both"/>
        <w:rPr>
          <w:b/>
          <w:bCs/>
          <w:spacing w:val="-2"/>
          <w:lang w:val="fr-FR"/>
        </w:rPr>
      </w:pPr>
      <w:r w:rsidRPr="00E05F46">
        <w:rPr>
          <w:b/>
          <w:bCs/>
          <w:spacing w:val="-2"/>
          <w:lang w:val="fr-FR"/>
        </w:rPr>
        <w:t>III. Về kết quả thực hiện các cơ chế, chính sách do tỉnh ban hành:</w:t>
      </w:r>
    </w:p>
    <w:p w14:paraId="15684F54" w14:textId="621DDC78" w:rsidR="005658EF" w:rsidRPr="00E05F46" w:rsidRDefault="005658EF" w:rsidP="00AB40F2">
      <w:pPr>
        <w:spacing w:after="60"/>
        <w:ind w:firstLine="567"/>
        <w:jc w:val="both"/>
        <w:rPr>
          <w:spacing w:val="-2"/>
          <w:lang w:val="fr-FR"/>
        </w:rPr>
      </w:pPr>
      <w:r w:rsidRPr="00E05F46">
        <w:rPr>
          <w:spacing w:val="-2"/>
          <w:lang w:val="fr-FR"/>
        </w:rPr>
        <w:t>Năm 2024, UBND tỉnh tiếp tục chỉ đạo thực hiện Kết luận số 23-KL/TU ngày 21/6/2021 của Tỉnh uỷ về kết quả thực hiện các cơ chế, chính sách giai đoạn 2017 2020, phương hướng xây dựng cơ chế, chính sách của tỉnh trong giai đoạn 2021</w:t>
      </w:r>
      <w:r w:rsidR="009915D1" w:rsidRPr="00E05F46">
        <w:rPr>
          <w:spacing w:val="-2"/>
          <w:lang w:val="fr-FR"/>
        </w:rPr>
        <w:t xml:space="preserve"> - </w:t>
      </w:r>
      <w:r w:rsidRPr="00E05F46">
        <w:rPr>
          <w:spacing w:val="-2"/>
          <w:lang w:val="fr-FR"/>
        </w:rPr>
        <w:t>2025; Kế hoạch số 260/KH-UBND ngày 21/7/2021 của UBND tỉnh về xây dựng cơ chế, chính sách tỉnh giai đoạn 2021-2025, theo đó trong năm 2024 có 0</w:t>
      </w:r>
      <w:r w:rsidR="00D07DF8" w:rsidRPr="00E05F46">
        <w:rPr>
          <w:spacing w:val="-2"/>
          <w:lang w:val="fr-FR"/>
        </w:rPr>
        <w:t>4</w:t>
      </w:r>
      <w:r w:rsidRPr="00E05F46">
        <w:rPr>
          <w:spacing w:val="-2"/>
          <w:lang w:val="fr-FR"/>
        </w:rPr>
        <w:t xml:space="preserve"> chính sách đã ban hành (gồm:</w:t>
      </w:r>
      <w:r w:rsidR="009915D1" w:rsidRPr="00E05F46">
        <w:rPr>
          <w:spacing w:val="-2"/>
          <w:lang w:val="fr-FR"/>
        </w:rPr>
        <w:t xml:space="preserve"> </w:t>
      </w:r>
      <w:r w:rsidRPr="00E05F46">
        <w:rPr>
          <w:spacing w:val="-2"/>
          <w:lang w:val="fr-FR"/>
        </w:rPr>
        <w:t>02 chính sách mới</w:t>
      </w:r>
      <w:r w:rsidR="00104B2D" w:rsidRPr="00E05F46">
        <w:rPr>
          <w:rStyle w:val="FootnoteReference"/>
          <w:spacing w:val="-2"/>
          <w:lang w:val="nl-NL"/>
        </w:rPr>
        <w:footnoteReference w:id="13"/>
      </w:r>
      <w:r w:rsidRPr="00E05F46">
        <w:rPr>
          <w:spacing w:val="-2"/>
          <w:lang w:val="fr-FR"/>
        </w:rPr>
        <w:t>; 0</w:t>
      </w:r>
      <w:r w:rsidR="00D07DF8" w:rsidRPr="00E05F46">
        <w:rPr>
          <w:spacing w:val="-2"/>
          <w:lang w:val="fr-FR"/>
        </w:rPr>
        <w:t>2</w:t>
      </w:r>
      <w:r w:rsidRPr="00E05F46">
        <w:rPr>
          <w:spacing w:val="-2"/>
          <w:lang w:val="fr-FR"/>
        </w:rPr>
        <w:t xml:space="preserve"> chính sách sửa đổi, bổ sung</w:t>
      </w:r>
      <w:r w:rsidR="00104B2D" w:rsidRPr="00E05F46">
        <w:rPr>
          <w:rStyle w:val="FootnoteReference"/>
          <w:spacing w:val="-2"/>
          <w:lang w:val="nl-NL"/>
        </w:rPr>
        <w:footnoteReference w:id="14"/>
      </w:r>
      <w:r w:rsidRPr="00E05F46">
        <w:rPr>
          <w:spacing w:val="-2"/>
          <w:lang w:val="fr-FR"/>
        </w:rPr>
        <w:t>). Ngay từ đầu năm, UBND tỉnh đã có Văn bản số 1678/UBND TH</w:t>
      </w:r>
      <w:r w:rsidRPr="00E05F46">
        <w:rPr>
          <w:spacing w:val="-2"/>
          <w:vertAlign w:val="subscript"/>
          <w:lang w:val="fr-FR"/>
        </w:rPr>
        <w:t>1</w:t>
      </w:r>
      <w:r w:rsidRPr="00E05F46">
        <w:rPr>
          <w:spacing w:val="-2"/>
          <w:lang w:val="fr-FR"/>
        </w:rPr>
        <w:t xml:space="preserve"> ngày 29/3/2024 chỉ đạo các sở, ban, ngành và địa phương đẩy nhanh tiến độ phân bổ kinh phí thực hiện các cơ chế chính sách của tỉnh; theo đó trên cơ sở báo cáo, đề xuất của các sở, ngành, đơn vị, UBND tỉnh đã thực hiện phân bổ cụ thể các đề án, chính sách đảm bảo phù hợp với khả năng cân đối ngân sách để triển khai thực hiện; </w:t>
      </w:r>
      <w:r w:rsidR="00D07DF8" w:rsidRPr="00E05F46">
        <w:rPr>
          <w:spacing w:val="-2"/>
          <w:lang w:val="fr-FR"/>
        </w:rPr>
        <w:t>trong năm</w:t>
      </w:r>
      <w:r w:rsidRPr="00E05F46">
        <w:rPr>
          <w:spacing w:val="-2"/>
          <w:lang w:val="fr-FR"/>
        </w:rPr>
        <w:t xml:space="preserve">, toàn tỉnh đã phân bổ </w:t>
      </w:r>
      <w:r w:rsidR="008C12EC" w:rsidRPr="00E05F46">
        <w:rPr>
          <w:spacing w:val="-2"/>
          <w:lang w:val="fr-FR"/>
        </w:rPr>
        <w:t>1.282.147</w:t>
      </w:r>
      <w:r w:rsidRPr="00E05F46">
        <w:rPr>
          <w:spacing w:val="-2"/>
          <w:lang w:val="fr-FR"/>
        </w:rPr>
        <w:t>/</w:t>
      </w:r>
      <w:r w:rsidR="008C12EC" w:rsidRPr="00E05F46">
        <w:rPr>
          <w:spacing w:val="-2"/>
          <w:lang w:val="fr-FR"/>
        </w:rPr>
        <w:t>1.671.007 triệu</w:t>
      </w:r>
      <w:r w:rsidRPr="00E05F46">
        <w:rPr>
          <w:spacing w:val="-2"/>
          <w:lang w:val="fr-FR"/>
        </w:rPr>
        <w:t xml:space="preserve"> đồng (đạt </w:t>
      </w:r>
      <w:r w:rsidR="00D07DF8" w:rsidRPr="00E05F46">
        <w:rPr>
          <w:spacing w:val="-2"/>
          <w:lang w:val="fr-FR"/>
        </w:rPr>
        <w:t>77</w:t>
      </w:r>
      <w:r w:rsidRPr="00E05F46">
        <w:rPr>
          <w:spacing w:val="-2"/>
          <w:lang w:val="fr-FR"/>
        </w:rPr>
        <w:t>% so với dự toán giao) để triển khai thực hiện 4</w:t>
      </w:r>
      <w:r w:rsidR="00D07DF8" w:rsidRPr="00E05F46">
        <w:rPr>
          <w:spacing w:val="-2"/>
          <w:lang w:val="fr-FR"/>
        </w:rPr>
        <w:t>5</w:t>
      </w:r>
      <w:r w:rsidRPr="00E05F46">
        <w:rPr>
          <w:spacing w:val="-2"/>
          <w:lang w:val="fr-FR"/>
        </w:rPr>
        <w:t xml:space="preserve"> đề án, cơ chế, chính sách</w:t>
      </w:r>
      <w:r w:rsidR="009314AE" w:rsidRPr="00E05F46">
        <w:rPr>
          <w:spacing w:val="-2"/>
          <w:lang w:val="fr-FR"/>
        </w:rPr>
        <w:t xml:space="preserve">; trong đó giải ngân </w:t>
      </w:r>
      <w:r w:rsidR="008C12EC" w:rsidRPr="00E05F46">
        <w:rPr>
          <w:spacing w:val="-2"/>
          <w:lang w:val="fr-FR"/>
        </w:rPr>
        <w:t>920.921</w:t>
      </w:r>
      <w:r w:rsidR="009314AE" w:rsidRPr="00E05F46">
        <w:rPr>
          <w:spacing w:val="-2"/>
          <w:lang w:val="fr-FR"/>
        </w:rPr>
        <w:t xml:space="preserve"> </w:t>
      </w:r>
      <w:r w:rsidR="008C12EC" w:rsidRPr="00E05F46">
        <w:rPr>
          <w:spacing w:val="-2"/>
          <w:lang w:val="fr-FR"/>
        </w:rPr>
        <w:t>triệu</w:t>
      </w:r>
      <w:r w:rsidR="009314AE" w:rsidRPr="00E05F46">
        <w:rPr>
          <w:spacing w:val="-2"/>
          <w:lang w:val="fr-FR"/>
        </w:rPr>
        <w:t xml:space="preserve"> đồng, bằng 55% dự toán giao và bằng 72% kinh phí phân bổ.</w:t>
      </w:r>
    </w:p>
    <w:p w14:paraId="41E47CD0" w14:textId="77777777" w:rsidR="00704F95" w:rsidRPr="00E05F46" w:rsidRDefault="00704F95">
      <w:pPr>
        <w:spacing w:before="120" w:after="120"/>
        <w:ind w:firstLine="720"/>
        <w:jc w:val="both"/>
        <w:rPr>
          <w:b/>
          <w:lang w:val="fr-FR"/>
        </w:rPr>
      </w:pPr>
      <w:r w:rsidRPr="00E05F46">
        <w:rPr>
          <w:b/>
          <w:lang w:val="fr-FR"/>
        </w:rPr>
        <w:br w:type="page"/>
      </w:r>
    </w:p>
    <w:p w14:paraId="37967A61" w14:textId="10B31976" w:rsidR="002D2DF7" w:rsidRPr="00E05F46" w:rsidRDefault="002D2DF7" w:rsidP="00AB40F2">
      <w:pPr>
        <w:spacing w:before="60" w:after="60"/>
        <w:ind w:firstLine="720"/>
        <w:jc w:val="both"/>
        <w:rPr>
          <w:b/>
          <w:lang w:val="fr-FR"/>
        </w:rPr>
      </w:pPr>
      <w:r w:rsidRPr="00E05F46">
        <w:rPr>
          <w:b/>
          <w:lang w:val="fr-FR"/>
        </w:rPr>
        <w:lastRenderedPageBreak/>
        <w:t>IV. Nguồn cải cách tiền lương</w:t>
      </w:r>
      <w:r w:rsidR="0018000C" w:rsidRPr="00E05F46">
        <w:rPr>
          <w:b/>
          <w:lang w:val="fr-FR"/>
        </w:rPr>
        <w:t>:</w:t>
      </w:r>
    </w:p>
    <w:p w14:paraId="1DDECCA3" w14:textId="77777777" w:rsidR="00644675" w:rsidRPr="00E05F46" w:rsidRDefault="00644675" w:rsidP="00AB40F2">
      <w:pPr>
        <w:spacing w:before="120" w:after="120"/>
        <w:ind w:firstLine="720"/>
        <w:jc w:val="both"/>
        <w:rPr>
          <w:spacing w:val="-2"/>
          <w:lang w:val="fr-FR"/>
        </w:rPr>
      </w:pPr>
      <w:r w:rsidRPr="00E05F46">
        <w:rPr>
          <w:spacing w:val="-2"/>
          <w:lang w:val="fr-FR"/>
        </w:rPr>
        <w:t>Thực hiện các Nghị định của Chính phủ: số 73/2024/NĐ-CP ngày 30/6/2024 về việc quy định mức lương cơ sở và chế độ tiền thưởng đối với cán bộ, công chức, viên chức và lực lượng vũ trang; số 75/2024/NĐ-CP ngày 30/6/2024 về điều chỉnh lương hưu, trợ cấp bảo hiểm xã hội và trợ cấp hàng tháng; Thông tư số 62/2024/TT-BTC ngày 20/8/2024 của Bộ Tài chính về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  Năm 2024, địa phương đã chủ động sử dụng nguồn để cải cách tiền lương (viết tắt là CCTL), cụ thể:</w:t>
      </w:r>
    </w:p>
    <w:p w14:paraId="075D56B2" w14:textId="5712E967" w:rsidR="00644675" w:rsidRPr="00E05F46" w:rsidRDefault="00644675" w:rsidP="00AB40F2">
      <w:pPr>
        <w:spacing w:before="120" w:after="120"/>
        <w:ind w:firstLine="720"/>
        <w:jc w:val="both"/>
        <w:rPr>
          <w:spacing w:val="-2"/>
          <w:lang w:val="fr-FR"/>
        </w:rPr>
      </w:pPr>
      <w:r w:rsidRPr="00E05F46">
        <w:rPr>
          <w:spacing w:val="-2"/>
          <w:lang w:val="fr-FR"/>
        </w:rPr>
        <w:t xml:space="preserve">- Tổng nguồn ngân sách địa phương thực hiện CCTL năm 2024 là: </w:t>
      </w:r>
      <w:r w:rsidR="00BF679F" w:rsidRPr="00E05F46">
        <w:rPr>
          <w:spacing w:val="-2"/>
          <w:lang w:val="fr-FR"/>
        </w:rPr>
        <w:t>3.07</w:t>
      </w:r>
      <w:r w:rsidR="00B94F07" w:rsidRPr="00E05F46">
        <w:rPr>
          <w:spacing w:val="-2"/>
          <w:lang w:val="fr-FR"/>
        </w:rPr>
        <w:t>7.850</w:t>
      </w:r>
      <w:r w:rsidRPr="00E05F46">
        <w:rPr>
          <w:spacing w:val="-2"/>
          <w:lang w:val="fr-FR"/>
        </w:rPr>
        <w:t xml:space="preserve"> </w:t>
      </w:r>
      <w:r w:rsidR="00B94F07" w:rsidRPr="00E05F46">
        <w:rPr>
          <w:spacing w:val="-2"/>
          <w:lang w:val="fr-FR"/>
        </w:rPr>
        <w:t>triệu</w:t>
      </w:r>
      <w:r w:rsidRPr="00E05F46">
        <w:rPr>
          <w:spacing w:val="-2"/>
          <w:lang w:val="fr-FR"/>
        </w:rPr>
        <w:t xml:space="preserve"> đồng; trong đó: nguồn CCTL năm 2023 chưa sử dụng hết chuyển sang năm 2024 thực hiện: 1.408</w:t>
      </w:r>
      <w:r w:rsidR="00786CCE" w:rsidRPr="00E05F46">
        <w:rPr>
          <w:spacing w:val="-2"/>
          <w:lang w:val="fr-FR"/>
        </w:rPr>
        <w:t>.306</w:t>
      </w:r>
      <w:r w:rsidRPr="00E05F46">
        <w:rPr>
          <w:spacing w:val="-2"/>
          <w:lang w:val="fr-FR"/>
        </w:rPr>
        <w:t xml:space="preserve"> </w:t>
      </w:r>
      <w:r w:rsidR="00786CCE" w:rsidRPr="00E05F46">
        <w:rPr>
          <w:spacing w:val="-2"/>
          <w:lang w:val="fr-FR"/>
        </w:rPr>
        <w:t>triệu</w:t>
      </w:r>
      <w:r w:rsidRPr="00E05F46">
        <w:rPr>
          <w:spacing w:val="-2"/>
          <w:lang w:val="fr-FR"/>
        </w:rPr>
        <w:t xml:space="preserve"> đồng; 70% tăng thu NSĐP thực hiện năm 2023 so với dự toán Thủ tướng chính phủ giao: 1.423</w:t>
      </w:r>
      <w:r w:rsidR="00786CCE" w:rsidRPr="00E05F46">
        <w:rPr>
          <w:spacing w:val="-2"/>
          <w:lang w:val="fr-FR"/>
        </w:rPr>
        <w:t>.192</w:t>
      </w:r>
      <w:r w:rsidR="00BF679F" w:rsidRPr="00E05F46">
        <w:rPr>
          <w:spacing w:val="-2"/>
          <w:lang w:val="fr-FR"/>
        </w:rPr>
        <w:t xml:space="preserve"> t</w:t>
      </w:r>
      <w:r w:rsidR="00786CCE" w:rsidRPr="00E05F46">
        <w:rPr>
          <w:spacing w:val="-2"/>
          <w:lang w:val="fr-FR"/>
        </w:rPr>
        <w:t>riệu</w:t>
      </w:r>
      <w:r w:rsidRPr="00E05F46">
        <w:rPr>
          <w:spacing w:val="-2"/>
          <w:lang w:val="fr-FR"/>
        </w:rPr>
        <w:t xml:space="preserve"> đồng; tiết kiệm 10% dự toán chi thường xuyên năm 2024: </w:t>
      </w:r>
      <w:r w:rsidR="00786CCE" w:rsidRPr="00E05F46">
        <w:rPr>
          <w:spacing w:val="-2"/>
          <w:lang w:val="fr-FR"/>
        </w:rPr>
        <w:t>233.853</w:t>
      </w:r>
      <w:r w:rsidR="00BF679F" w:rsidRPr="00E05F46">
        <w:rPr>
          <w:spacing w:val="-2"/>
          <w:lang w:val="fr-FR"/>
        </w:rPr>
        <w:t xml:space="preserve"> </w:t>
      </w:r>
      <w:r w:rsidR="00786CCE" w:rsidRPr="00E05F46">
        <w:rPr>
          <w:spacing w:val="-2"/>
          <w:lang w:val="fr-FR"/>
        </w:rPr>
        <w:t>triệu</w:t>
      </w:r>
      <w:r w:rsidRPr="00E05F46">
        <w:rPr>
          <w:spacing w:val="-2"/>
          <w:lang w:val="fr-FR"/>
        </w:rPr>
        <w:t xml:space="preserve"> đồng; nguồn thu sự nghiệp giành tạo nguồn CCTL năm 202</w:t>
      </w:r>
      <w:r w:rsidR="00BF679F" w:rsidRPr="00E05F46">
        <w:rPr>
          <w:spacing w:val="-2"/>
          <w:lang w:val="fr-FR"/>
        </w:rPr>
        <w:t>4</w:t>
      </w:r>
      <w:r w:rsidRPr="00E05F46">
        <w:rPr>
          <w:spacing w:val="-2"/>
          <w:lang w:val="fr-FR"/>
        </w:rPr>
        <w:t xml:space="preserve">: </w:t>
      </w:r>
      <w:r w:rsidR="00786CCE" w:rsidRPr="00E05F46">
        <w:rPr>
          <w:spacing w:val="-2"/>
          <w:lang w:val="fr-FR"/>
        </w:rPr>
        <w:t>10.709</w:t>
      </w:r>
      <w:r w:rsidR="00BF679F" w:rsidRPr="00E05F46">
        <w:rPr>
          <w:spacing w:val="-2"/>
          <w:lang w:val="fr-FR"/>
        </w:rPr>
        <w:t xml:space="preserve"> </w:t>
      </w:r>
      <w:r w:rsidR="00786CCE" w:rsidRPr="00E05F46">
        <w:rPr>
          <w:spacing w:val="-2"/>
          <w:lang w:val="fr-FR"/>
        </w:rPr>
        <w:t>triệu</w:t>
      </w:r>
      <w:r w:rsidR="00BF679F" w:rsidRPr="00E05F46">
        <w:rPr>
          <w:spacing w:val="-2"/>
          <w:lang w:val="fr-FR"/>
        </w:rPr>
        <w:t xml:space="preserve"> đồng</w:t>
      </w:r>
      <w:r w:rsidRPr="00E05F46">
        <w:rPr>
          <w:spacing w:val="-2"/>
          <w:lang w:val="fr-FR"/>
        </w:rPr>
        <w:t xml:space="preserve">; 50% phần NSNN giảm chi hỗ trợ hoạt động thường xuyên trong lĩnh vực hành chính: </w:t>
      </w:r>
      <w:r w:rsidR="00786CCE" w:rsidRPr="00E05F46">
        <w:rPr>
          <w:spacing w:val="-2"/>
          <w:lang w:val="fr-FR"/>
        </w:rPr>
        <w:t>1.790</w:t>
      </w:r>
      <w:r w:rsidR="00BF679F" w:rsidRPr="00E05F46">
        <w:rPr>
          <w:spacing w:val="-2"/>
          <w:lang w:val="fr-FR"/>
        </w:rPr>
        <w:t xml:space="preserve"> t</w:t>
      </w:r>
      <w:r w:rsidR="00786CCE" w:rsidRPr="00E05F46">
        <w:rPr>
          <w:spacing w:val="-2"/>
          <w:lang w:val="fr-FR"/>
        </w:rPr>
        <w:t>riệu</w:t>
      </w:r>
      <w:r w:rsidR="00BF679F" w:rsidRPr="00E05F46">
        <w:rPr>
          <w:spacing w:val="-2"/>
          <w:lang w:val="fr-FR"/>
        </w:rPr>
        <w:t xml:space="preserve"> đồng</w:t>
      </w:r>
      <w:r w:rsidRPr="00E05F46">
        <w:rPr>
          <w:spacing w:val="-2"/>
          <w:lang w:val="fr-FR"/>
        </w:rPr>
        <w:t>.</w:t>
      </w:r>
    </w:p>
    <w:p w14:paraId="22D39719" w14:textId="128005A2" w:rsidR="00644675" w:rsidRPr="00E05F46" w:rsidRDefault="00644675" w:rsidP="00AB40F2">
      <w:pPr>
        <w:spacing w:before="120" w:after="120"/>
        <w:ind w:firstLine="720"/>
        <w:jc w:val="both"/>
        <w:rPr>
          <w:spacing w:val="-2"/>
          <w:lang w:val="fr-FR"/>
        </w:rPr>
      </w:pPr>
      <w:r w:rsidRPr="00E05F46">
        <w:rPr>
          <w:spacing w:val="-2"/>
          <w:lang w:val="fr-FR"/>
        </w:rPr>
        <w:t>- Tổng kinh phí thực hiện CCTL năm 2024 theo m</w:t>
      </w:r>
      <w:r w:rsidR="005B4CE2" w:rsidRPr="00E05F46">
        <w:rPr>
          <w:spacing w:val="-2"/>
          <w:lang w:val="fr-FR"/>
        </w:rPr>
        <w:t>ứ</w:t>
      </w:r>
      <w:r w:rsidRPr="00E05F46">
        <w:rPr>
          <w:spacing w:val="-2"/>
          <w:lang w:val="fr-FR"/>
        </w:rPr>
        <w:t xml:space="preserve">c lương cơ sở 2,34 trđ/tháng: </w:t>
      </w:r>
      <w:r w:rsidR="005D058C" w:rsidRPr="00E05F46">
        <w:rPr>
          <w:spacing w:val="-2"/>
          <w:lang w:val="fr-FR"/>
        </w:rPr>
        <w:t>2.26</w:t>
      </w:r>
      <w:r w:rsidR="00CB3E78" w:rsidRPr="00E05F46">
        <w:rPr>
          <w:spacing w:val="-2"/>
          <w:lang w:val="fr-FR"/>
        </w:rPr>
        <w:t>8.619</w:t>
      </w:r>
      <w:r w:rsidRPr="00E05F46">
        <w:rPr>
          <w:spacing w:val="-2"/>
          <w:lang w:val="fr-FR"/>
        </w:rPr>
        <w:t xml:space="preserve"> </w:t>
      </w:r>
      <w:r w:rsidR="005D058C" w:rsidRPr="00E05F46">
        <w:rPr>
          <w:spacing w:val="-2"/>
          <w:lang w:val="fr-FR"/>
        </w:rPr>
        <w:t>t</w:t>
      </w:r>
      <w:r w:rsidR="00CB3E78" w:rsidRPr="00E05F46">
        <w:rPr>
          <w:spacing w:val="-2"/>
          <w:lang w:val="fr-FR"/>
        </w:rPr>
        <w:t>riệu</w:t>
      </w:r>
      <w:r w:rsidRPr="00E05F46">
        <w:rPr>
          <w:spacing w:val="-2"/>
          <w:lang w:val="fr-FR"/>
        </w:rPr>
        <w:t xml:space="preserve"> đồng</w:t>
      </w:r>
    </w:p>
    <w:p w14:paraId="79D90D14" w14:textId="6DBD6BB0" w:rsidR="006F336C" w:rsidRPr="00E05F46" w:rsidRDefault="00644675" w:rsidP="00AB40F2">
      <w:pPr>
        <w:spacing w:before="120" w:after="120"/>
        <w:ind w:firstLine="720"/>
        <w:jc w:val="both"/>
        <w:rPr>
          <w:spacing w:val="-2"/>
          <w:lang w:val="fr-FR"/>
        </w:rPr>
      </w:pPr>
      <w:r w:rsidRPr="00E05F46">
        <w:rPr>
          <w:spacing w:val="-2"/>
          <w:lang w:val="fr-FR"/>
        </w:rPr>
        <w:t>Nguồn kinh phí NSĐP thực hiện đến hết năm 2024 còn dư chuyển sang năm 2025 thực hiện là: 809</w:t>
      </w:r>
      <w:r w:rsidR="00D5202C" w:rsidRPr="00E05F46">
        <w:rPr>
          <w:spacing w:val="-2"/>
          <w:lang w:val="fr-FR"/>
        </w:rPr>
        <w:t>.231</w:t>
      </w:r>
      <w:r w:rsidR="005D058C" w:rsidRPr="00E05F46">
        <w:rPr>
          <w:spacing w:val="-2"/>
          <w:lang w:val="fr-FR"/>
        </w:rPr>
        <w:t xml:space="preserve"> t</w:t>
      </w:r>
      <w:r w:rsidR="00D5202C" w:rsidRPr="00E05F46">
        <w:rPr>
          <w:spacing w:val="-2"/>
          <w:lang w:val="fr-FR"/>
        </w:rPr>
        <w:t>riệu</w:t>
      </w:r>
      <w:r w:rsidRPr="00E05F46">
        <w:rPr>
          <w:spacing w:val="-2"/>
          <w:lang w:val="fr-FR"/>
        </w:rPr>
        <w:t xml:space="preserve"> đồng.</w:t>
      </w:r>
    </w:p>
    <w:p w14:paraId="0A01C318" w14:textId="00A61D0E" w:rsidR="006F336C" w:rsidRPr="00A6593A" w:rsidRDefault="006F336C">
      <w:pPr>
        <w:spacing w:before="120" w:after="120"/>
        <w:ind w:firstLine="720"/>
        <w:jc w:val="both"/>
        <w:rPr>
          <w:b/>
          <w:bCs/>
          <w:lang w:val="fr-FR"/>
        </w:rPr>
      </w:pPr>
      <w:r w:rsidRPr="00A6593A">
        <w:rPr>
          <w:b/>
          <w:bCs/>
          <w:lang w:val="fr-FR"/>
        </w:rPr>
        <w:t>V. Quỹ dự trữ tài chính:</w:t>
      </w:r>
    </w:p>
    <w:p w14:paraId="0F4C3E90" w14:textId="77777777" w:rsidR="00073265" w:rsidRPr="00A6593A" w:rsidRDefault="00073265">
      <w:pPr>
        <w:spacing w:before="120" w:after="120"/>
        <w:ind w:firstLine="720"/>
        <w:jc w:val="both"/>
        <w:rPr>
          <w:lang w:val="fr-FR"/>
        </w:rPr>
      </w:pPr>
      <w:r w:rsidRPr="00A6593A">
        <w:rPr>
          <w:lang w:val="fr-FR"/>
        </w:rPr>
        <w:t xml:space="preserve">- </w:t>
      </w:r>
      <w:r w:rsidR="002D3404" w:rsidRPr="00A6593A">
        <w:rPr>
          <w:lang w:val="fr-FR"/>
        </w:rPr>
        <w:t xml:space="preserve">Số dư quỹ năm 2023 chuyển sang là 357.643 triệu đồng; </w:t>
      </w:r>
    </w:p>
    <w:p w14:paraId="4B54B5B0" w14:textId="77777777" w:rsidR="00073265" w:rsidRPr="00A6593A" w:rsidRDefault="00073265" w:rsidP="00073265">
      <w:pPr>
        <w:spacing w:before="120" w:after="120"/>
        <w:ind w:firstLine="720"/>
        <w:jc w:val="both"/>
        <w:rPr>
          <w:lang w:val="fr-FR"/>
        </w:rPr>
      </w:pPr>
      <w:r w:rsidRPr="00A6593A">
        <w:rPr>
          <w:lang w:val="fr-FR"/>
        </w:rPr>
        <w:t>- Phát sinh trong năm:</w:t>
      </w:r>
      <w:r w:rsidR="002D3404" w:rsidRPr="00A6593A">
        <w:rPr>
          <w:lang w:val="fr-FR"/>
        </w:rPr>
        <w:t xml:space="preserve"> </w:t>
      </w:r>
      <w:r w:rsidR="00B9736D" w:rsidRPr="00A6593A">
        <w:rPr>
          <w:lang w:val="fr-FR"/>
        </w:rPr>
        <w:t>31.269 triệu đồng</w:t>
      </w:r>
      <w:r w:rsidRPr="00A6593A">
        <w:rPr>
          <w:lang w:val="fr-FR"/>
        </w:rPr>
        <w:t>,</w:t>
      </w:r>
      <w:r w:rsidR="00B9736D" w:rsidRPr="00A6593A">
        <w:rPr>
          <w:lang w:val="fr-FR"/>
        </w:rPr>
        <w:t xml:space="preserve"> gồm: </w:t>
      </w:r>
    </w:p>
    <w:p w14:paraId="5915C3A9" w14:textId="26F63104" w:rsidR="00073265" w:rsidRPr="00A6593A" w:rsidRDefault="00073265" w:rsidP="00073265">
      <w:pPr>
        <w:spacing w:before="120" w:after="120"/>
        <w:ind w:firstLine="720"/>
        <w:jc w:val="both"/>
        <w:rPr>
          <w:lang w:val="fr-FR"/>
        </w:rPr>
      </w:pPr>
      <w:r w:rsidRPr="00A6593A">
        <w:rPr>
          <w:lang w:val="fr-FR"/>
        </w:rPr>
        <w:t>+</w:t>
      </w:r>
      <w:r w:rsidR="00B9736D" w:rsidRPr="00A6593A">
        <w:rPr>
          <w:lang w:val="fr-FR"/>
        </w:rPr>
        <w:t xml:space="preserve"> Bổ sung từ nguồn kết dư </w:t>
      </w:r>
      <w:r w:rsidR="00B150A3">
        <w:rPr>
          <w:lang w:val="fr-FR"/>
        </w:rPr>
        <w:t>ngân sách tỉnh</w:t>
      </w:r>
      <w:r w:rsidR="00B9736D" w:rsidRPr="00A6593A">
        <w:rPr>
          <w:lang w:val="fr-FR"/>
        </w:rPr>
        <w:t xml:space="preserve"> năm 2022:</w:t>
      </w:r>
      <w:r w:rsidR="00B01705" w:rsidRPr="00A6593A">
        <w:rPr>
          <w:lang w:val="fr-FR"/>
        </w:rPr>
        <w:t xml:space="preserve"> 28.224 triệu đồng; </w:t>
      </w:r>
    </w:p>
    <w:p w14:paraId="428412BB" w14:textId="77777777" w:rsidR="00073265" w:rsidRPr="00A6593A" w:rsidRDefault="00073265" w:rsidP="00073265">
      <w:pPr>
        <w:spacing w:before="120" w:after="120"/>
        <w:ind w:firstLine="720"/>
        <w:jc w:val="both"/>
        <w:rPr>
          <w:lang w:val="fr-FR"/>
        </w:rPr>
      </w:pPr>
      <w:r w:rsidRPr="00A6593A">
        <w:rPr>
          <w:lang w:val="fr-FR"/>
        </w:rPr>
        <w:t>+</w:t>
      </w:r>
      <w:r w:rsidR="00B01705" w:rsidRPr="00A6593A">
        <w:rPr>
          <w:lang w:val="fr-FR"/>
        </w:rPr>
        <w:t xml:space="preserve"> Bổ sung từ nguồn</w:t>
      </w:r>
      <w:r w:rsidRPr="00A6593A">
        <w:rPr>
          <w:lang w:val="fr-FR"/>
        </w:rPr>
        <w:t xml:space="preserve"> bố trí trong dự toán năm 2024: 1.340 triệu đồng; </w:t>
      </w:r>
    </w:p>
    <w:p w14:paraId="12B34C34" w14:textId="3FE0F994" w:rsidR="007E63F8" w:rsidRPr="00A6593A" w:rsidRDefault="00073265" w:rsidP="00073265">
      <w:pPr>
        <w:spacing w:before="120" w:after="120"/>
        <w:ind w:firstLine="720"/>
        <w:jc w:val="both"/>
        <w:rPr>
          <w:lang w:val="fr-FR"/>
        </w:rPr>
      </w:pPr>
      <w:r w:rsidRPr="00A6593A">
        <w:rPr>
          <w:lang w:val="fr-FR"/>
        </w:rPr>
        <w:t>+ Tiền lãi không kỳ hạn</w:t>
      </w:r>
      <w:r w:rsidR="00693901" w:rsidRPr="00A6593A">
        <w:rPr>
          <w:lang w:val="fr-FR"/>
        </w:rPr>
        <w:t xml:space="preserve"> (</w:t>
      </w:r>
      <w:r w:rsidR="00915A6F">
        <w:rPr>
          <w:lang w:val="fr-FR"/>
        </w:rPr>
        <w:t>tài khoản</w:t>
      </w:r>
      <w:r w:rsidR="00693901" w:rsidRPr="00A6593A">
        <w:rPr>
          <w:lang w:val="fr-FR"/>
        </w:rPr>
        <w:t xml:space="preserve"> mở tại KBNN)</w:t>
      </w:r>
      <w:r w:rsidRPr="00A6593A">
        <w:rPr>
          <w:lang w:val="fr-FR"/>
        </w:rPr>
        <w:t>: 1.705 triệu đồng.</w:t>
      </w:r>
    </w:p>
    <w:p w14:paraId="16D9340E" w14:textId="34FA049C" w:rsidR="006F336C" w:rsidRPr="00A6593A" w:rsidRDefault="007E63F8" w:rsidP="00DB2B29">
      <w:pPr>
        <w:spacing w:before="120" w:after="120"/>
        <w:ind w:firstLine="720"/>
        <w:jc w:val="both"/>
        <w:rPr>
          <w:lang w:val="fr-FR"/>
        </w:rPr>
      </w:pPr>
      <w:r w:rsidRPr="00A6593A">
        <w:rPr>
          <w:lang w:val="fr-FR"/>
        </w:rPr>
        <w:t xml:space="preserve">Trong năm, UBND tỉnh đã </w:t>
      </w:r>
      <w:r w:rsidR="00DB2B29" w:rsidRPr="00A6593A">
        <w:rPr>
          <w:lang w:val="fr-FR"/>
        </w:rPr>
        <w:t>trích Quỹ dự trữ tài chính số tiền 40.000 triệu đồng cấp ứng cho UBND thị xã Kỳ Anh để chi trả kinh phí bồi thường, giải phóng mặt bằng các Dự án trên địa bàn</w:t>
      </w:r>
      <w:r w:rsidR="00AD2BB1" w:rsidRPr="00A6593A">
        <w:rPr>
          <w:lang w:val="fr-FR"/>
        </w:rPr>
        <w:t xml:space="preserve"> (Quyết định số 397/QĐ-UBND ngày 02/02/2024)</w:t>
      </w:r>
      <w:r w:rsidR="00DB2B29" w:rsidRPr="00A6593A">
        <w:rPr>
          <w:lang w:val="fr-FR"/>
        </w:rPr>
        <w:t>; UBND thị xã Kỳ Anh đã hoàn trả quỹ dự trữ tài chính trong năm 2024</w:t>
      </w:r>
      <w:r w:rsidR="00367FEB" w:rsidRPr="00A6593A">
        <w:rPr>
          <w:lang w:val="fr-FR"/>
        </w:rPr>
        <w:t xml:space="preserve"> theo quy định</w:t>
      </w:r>
      <w:r w:rsidR="00D83F83" w:rsidRPr="00A6593A">
        <w:rPr>
          <w:lang w:val="fr-FR"/>
        </w:rPr>
        <w:t>.</w:t>
      </w:r>
    </w:p>
    <w:p w14:paraId="392E5C31" w14:textId="36885145" w:rsidR="006F336C" w:rsidRPr="00E05F46" w:rsidRDefault="00B0648E" w:rsidP="00AB40F2">
      <w:pPr>
        <w:spacing w:before="120" w:after="120"/>
        <w:ind w:firstLine="720"/>
        <w:jc w:val="both"/>
        <w:rPr>
          <w:spacing w:val="-2"/>
          <w:lang w:val="fr-FR"/>
        </w:rPr>
      </w:pPr>
      <w:r w:rsidRPr="00E05F46">
        <w:rPr>
          <w:spacing w:val="-2"/>
          <w:lang w:val="fr-FR"/>
        </w:rPr>
        <w:t>- Số dư quỹ đến ngày 31/12/2024 là 388.912 triệu đồng.</w:t>
      </w:r>
    </w:p>
    <w:p w14:paraId="26A29DD5" w14:textId="40B5921C" w:rsidR="00F24001" w:rsidRPr="00A6593A" w:rsidRDefault="00F24001" w:rsidP="00AB40F2">
      <w:pPr>
        <w:spacing w:before="120" w:after="120"/>
        <w:ind w:firstLine="720"/>
        <w:jc w:val="both"/>
        <w:rPr>
          <w:b/>
          <w:bCs/>
          <w:spacing w:val="-2"/>
          <w:lang w:val="fr-FR"/>
        </w:rPr>
      </w:pPr>
      <w:r w:rsidRPr="00A6593A">
        <w:rPr>
          <w:b/>
          <w:bCs/>
          <w:spacing w:val="-2"/>
          <w:lang w:val="fr-FR"/>
        </w:rPr>
        <w:t>VI. Dự phòng ngân sách cấp tỉnh:</w:t>
      </w:r>
    </w:p>
    <w:p w14:paraId="3021B4EC" w14:textId="3D53FA1E" w:rsidR="00F24001" w:rsidRPr="00E05F46" w:rsidRDefault="009D4D0B" w:rsidP="00AB40F2">
      <w:pPr>
        <w:spacing w:before="120" w:after="120"/>
        <w:ind w:firstLine="720"/>
        <w:jc w:val="both"/>
        <w:rPr>
          <w:spacing w:val="-2"/>
          <w:lang w:val="fr-FR"/>
        </w:rPr>
      </w:pPr>
      <w:r w:rsidRPr="00E05F46">
        <w:rPr>
          <w:spacing w:val="-2"/>
          <w:lang w:val="fr-FR"/>
        </w:rPr>
        <w:t xml:space="preserve">Dự phòng ngân sách cấp tỉnh năm 2024 bố trí </w:t>
      </w:r>
      <w:r w:rsidR="004D04FC" w:rsidRPr="00E05F46">
        <w:rPr>
          <w:spacing w:val="-2"/>
          <w:lang w:val="fr-FR"/>
        </w:rPr>
        <w:t xml:space="preserve">214.372 triệu đồng; trong năm sử dụng </w:t>
      </w:r>
      <w:r w:rsidR="00F736C3" w:rsidRPr="00E05F46">
        <w:rPr>
          <w:spacing w:val="-2"/>
          <w:lang w:val="fr-FR"/>
        </w:rPr>
        <w:t>165.540 triệu đồng cho các nội dung:</w:t>
      </w:r>
    </w:p>
    <w:p w14:paraId="2C564F37" w14:textId="6F425C00" w:rsidR="00F736C3" w:rsidRPr="00E05F46" w:rsidRDefault="00F736C3" w:rsidP="00AB40F2">
      <w:pPr>
        <w:spacing w:before="120" w:after="120"/>
        <w:ind w:firstLine="720"/>
        <w:jc w:val="both"/>
        <w:rPr>
          <w:spacing w:val="-2"/>
          <w:lang w:val="fr-FR"/>
        </w:rPr>
      </w:pPr>
      <w:r w:rsidRPr="00E05F46">
        <w:rPr>
          <w:spacing w:val="-2"/>
          <w:lang w:val="fr-FR"/>
        </w:rPr>
        <w:t xml:space="preserve">- Kinh phí </w:t>
      </w:r>
      <w:r w:rsidR="001C0E82" w:rsidRPr="00E05F46">
        <w:rPr>
          <w:spacing w:val="-2"/>
          <w:lang w:val="fr-FR"/>
        </w:rPr>
        <w:t>phòng chống dịch bệnh, tiêu hủy gia súc: 48.29</w:t>
      </w:r>
      <w:r w:rsidR="00936EA5" w:rsidRPr="00E05F46">
        <w:rPr>
          <w:spacing w:val="-2"/>
          <w:lang w:val="fr-FR"/>
        </w:rPr>
        <w:t>2</w:t>
      </w:r>
      <w:r w:rsidR="001C0E82" w:rsidRPr="00E05F46">
        <w:rPr>
          <w:spacing w:val="-2"/>
          <w:lang w:val="fr-FR"/>
        </w:rPr>
        <w:t xml:space="preserve"> triệu đồng.</w:t>
      </w:r>
    </w:p>
    <w:p w14:paraId="6919CCD2" w14:textId="33E48E09" w:rsidR="001C0E82" w:rsidRPr="00E05F46" w:rsidRDefault="001C0E82" w:rsidP="00AB40F2">
      <w:pPr>
        <w:spacing w:before="120" w:after="120"/>
        <w:ind w:firstLine="720"/>
        <w:jc w:val="both"/>
        <w:rPr>
          <w:spacing w:val="-2"/>
          <w:lang w:val="fr-FR"/>
        </w:rPr>
      </w:pPr>
      <w:r w:rsidRPr="00E05F46">
        <w:rPr>
          <w:spacing w:val="-2"/>
          <w:lang w:val="fr-FR"/>
        </w:rPr>
        <w:t xml:space="preserve">- Mua sắm vật tư phòng chống lụt bão: </w:t>
      </w:r>
      <w:r w:rsidR="004D028A" w:rsidRPr="00E05F46">
        <w:rPr>
          <w:spacing w:val="-2"/>
          <w:lang w:val="fr-FR"/>
        </w:rPr>
        <w:t>1.006 triệu đồng.</w:t>
      </w:r>
    </w:p>
    <w:p w14:paraId="6229C0B7" w14:textId="5121DF10" w:rsidR="004D028A" w:rsidRPr="00A6593A" w:rsidRDefault="004D028A" w:rsidP="00AB40F2">
      <w:pPr>
        <w:spacing w:before="120" w:after="120"/>
        <w:ind w:firstLine="720"/>
        <w:jc w:val="both"/>
        <w:rPr>
          <w:spacing w:val="-4"/>
          <w:lang w:val="fr-FR"/>
        </w:rPr>
      </w:pPr>
      <w:r w:rsidRPr="00A6593A">
        <w:rPr>
          <w:spacing w:val="-4"/>
          <w:lang w:val="fr-FR"/>
        </w:rPr>
        <w:lastRenderedPageBreak/>
        <w:t>- Hỗ trợ các địa phương phía bắc khắc phục hậu quả thiên tai: 2.600 triệu đồng.</w:t>
      </w:r>
    </w:p>
    <w:p w14:paraId="1B773D56" w14:textId="6FC8BD33" w:rsidR="004D028A" w:rsidRPr="00E05F46" w:rsidRDefault="004D028A" w:rsidP="00AB40F2">
      <w:pPr>
        <w:spacing w:before="120" w:after="120"/>
        <w:ind w:firstLine="720"/>
        <w:jc w:val="both"/>
        <w:rPr>
          <w:spacing w:val="-2"/>
          <w:lang w:val="fr-FR"/>
        </w:rPr>
      </w:pPr>
      <w:r w:rsidRPr="00E05F46">
        <w:rPr>
          <w:spacing w:val="-2"/>
          <w:lang w:val="fr-FR"/>
        </w:rPr>
        <w:t xml:space="preserve">- </w:t>
      </w:r>
      <w:r w:rsidR="00CB5C68" w:rsidRPr="00E05F46">
        <w:rPr>
          <w:spacing w:val="-2"/>
          <w:lang w:val="fr-FR"/>
        </w:rPr>
        <w:t>Bố trí kinh phí diễn tập phòng thủ cấp huyện: 9.700 triệu đồng.</w:t>
      </w:r>
    </w:p>
    <w:p w14:paraId="030F3A8D" w14:textId="41B0F9F6" w:rsidR="00CB5C68" w:rsidRPr="00E05F46" w:rsidRDefault="00CB5C68" w:rsidP="00AB40F2">
      <w:pPr>
        <w:spacing w:before="120" w:after="120"/>
        <w:ind w:firstLine="720"/>
        <w:jc w:val="both"/>
        <w:rPr>
          <w:spacing w:val="-2"/>
          <w:lang w:val="fr-FR"/>
        </w:rPr>
      </w:pPr>
      <w:r w:rsidRPr="00E05F46">
        <w:rPr>
          <w:spacing w:val="-2"/>
          <w:lang w:val="fr-FR"/>
        </w:rPr>
        <w:t xml:space="preserve">- Mua sắm trang phục cho lực lượng tham gia bảo vệ </w:t>
      </w:r>
      <w:r w:rsidR="006B312B">
        <w:rPr>
          <w:spacing w:val="-2"/>
          <w:lang w:val="fr-FR"/>
        </w:rPr>
        <w:t>an ninh trật tự</w:t>
      </w:r>
      <w:r w:rsidRPr="00E05F46">
        <w:rPr>
          <w:spacing w:val="-2"/>
          <w:lang w:val="fr-FR"/>
        </w:rPr>
        <w:t xml:space="preserve"> ở cơ sở</w:t>
      </w:r>
      <w:r w:rsidR="009A41A1" w:rsidRPr="00E05F46">
        <w:rPr>
          <w:spacing w:val="-2"/>
          <w:lang w:val="fr-FR"/>
        </w:rPr>
        <w:t xml:space="preserve"> theo Nghị quyết số 129/2024/NQ-HĐND</w:t>
      </w:r>
      <w:r w:rsidRPr="00E05F46">
        <w:rPr>
          <w:spacing w:val="-2"/>
          <w:lang w:val="fr-FR"/>
        </w:rPr>
        <w:t xml:space="preserve"> (do chưa được bố trí trong dự toán đầu năm)</w:t>
      </w:r>
      <w:r w:rsidR="009A41A1" w:rsidRPr="00E05F46">
        <w:rPr>
          <w:spacing w:val="-2"/>
          <w:lang w:val="fr-FR"/>
        </w:rPr>
        <w:t>: 22.342 triệu đồng.</w:t>
      </w:r>
    </w:p>
    <w:p w14:paraId="7AC5FA82" w14:textId="481D44B5" w:rsidR="009A41A1" w:rsidRPr="00E05F46" w:rsidRDefault="009A41A1" w:rsidP="00AB40F2">
      <w:pPr>
        <w:spacing w:before="120" w:after="120"/>
        <w:ind w:firstLine="720"/>
        <w:jc w:val="both"/>
        <w:rPr>
          <w:spacing w:val="-2"/>
          <w:lang w:val="fr-FR"/>
        </w:rPr>
      </w:pPr>
      <w:r w:rsidRPr="00E05F46">
        <w:rPr>
          <w:spacing w:val="-2"/>
          <w:lang w:val="fr-FR"/>
        </w:rPr>
        <w:t xml:space="preserve">- </w:t>
      </w:r>
      <w:r w:rsidR="006B7DB3" w:rsidRPr="00E05F46">
        <w:rPr>
          <w:spacing w:val="-2"/>
          <w:lang w:val="fr-FR"/>
        </w:rPr>
        <w:t>Bố trí các nhiệm vụ phát sinh nhưng chưa được bố trí trong dự toán đầu năm: 81.600 triệu đồng.</w:t>
      </w:r>
    </w:p>
    <w:p w14:paraId="5F622839" w14:textId="77777777" w:rsidR="00A6593A" w:rsidRDefault="00A6593A">
      <w:pPr>
        <w:spacing w:before="120" w:after="120"/>
        <w:ind w:firstLine="720"/>
        <w:jc w:val="both"/>
        <w:rPr>
          <w:b/>
          <w:lang w:val="fr-FR"/>
        </w:rPr>
      </w:pPr>
      <w:r>
        <w:rPr>
          <w:b/>
          <w:lang w:val="fr-FR"/>
        </w:rPr>
        <w:br w:type="page"/>
      </w:r>
    </w:p>
    <w:p w14:paraId="4ACC68BE" w14:textId="70754EEF" w:rsidR="007F37AE" w:rsidRPr="00E05F46" w:rsidRDefault="000F727C" w:rsidP="00AB40F2">
      <w:pPr>
        <w:spacing w:before="60" w:after="60"/>
        <w:jc w:val="center"/>
        <w:rPr>
          <w:b/>
          <w:lang w:val="fr-FR"/>
        </w:rPr>
      </w:pPr>
      <w:r w:rsidRPr="00E05F46">
        <w:rPr>
          <w:b/>
          <w:lang w:val="fr-FR"/>
        </w:rPr>
        <w:lastRenderedPageBreak/>
        <w:t>PHẦN THỨ BA</w:t>
      </w:r>
    </w:p>
    <w:p w14:paraId="76F323C5" w14:textId="58713647" w:rsidR="007F37AE" w:rsidRPr="00E05F46" w:rsidRDefault="007F37AE" w:rsidP="00AB40F2">
      <w:pPr>
        <w:spacing w:before="60" w:after="60"/>
        <w:jc w:val="center"/>
        <w:rPr>
          <w:b/>
          <w:sz w:val="26"/>
          <w:szCs w:val="26"/>
          <w:lang w:val="fr-FR"/>
        </w:rPr>
      </w:pPr>
      <w:r w:rsidRPr="00E05F46">
        <w:rPr>
          <w:b/>
          <w:sz w:val="26"/>
          <w:szCs w:val="26"/>
          <w:lang w:val="fr-FR"/>
        </w:rPr>
        <w:t>TÌNH HÌNH THỰC HIỆN CÁC KIẾN NGHỊ CỦA KIỂM TOÁN NHÀ NƯỚC</w:t>
      </w:r>
    </w:p>
    <w:p w14:paraId="24D3F41B" w14:textId="624BB202" w:rsidR="007F37AE" w:rsidRPr="00E05F46" w:rsidRDefault="007F37AE" w:rsidP="00AB40F2">
      <w:pPr>
        <w:spacing w:before="60" w:after="60"/>
        <w:ind w:firstLine="720"/>
        <w:jc w:val="both"/>
        <w:rPr>
          <w:lang w:val="fr-FR"/>
        </w:rPr>
      </w:pPr>
    </w:p>
    <w:p w14:paraId="5FEF1A88" w14:textId="77777777" w:rsidR="00AB4769" w:rsidRPr="00E05F46" w:rsidRDefault="00AB4769" w:rsidP="00AB4769">
      <w:pPr>
        <w:spacing w:before="60" w:after="60"/>
        <w:ind w:firstLine="720"/>
        <w:jc w:val="both"/>
        <w:rPr>
          <w:lang w:val="fr-FR"/>
        </w:rPr>
      </w:pPr>
      <w:r w:rsidRPr="00E05F46">
        <w:rPr>
          <w:lang w:val="fr-FR"/>
        </w:rPr>
        <w:t>Thực hiện Văn bản số 157/KTNN-TH ngày 14/10/2024 của Kiểm toán Nhà nước về Báo cáo kiểm toán ngân sách địa phương năm 2023; UBND tỉnh đã ban hành Văn bản số 7704/UBND-TH</w:t>
      </w:r>
      <w:r w:rsidRPr="00E05F46">
        <w:rPr>
          <w:vertAlign w:val="subscript"/>
          <w:lang w:val="fr-FR"/>
        </w:rPr>
        <w:t>1</w:t>
      </w:r>
      <w:r w:rsidRPr="00E05F46">
        <w:rPr>
          <w:lang w:val="fr-FR"/>
        </w:rPr>
        <w:t xml:space="preserve"> ngày 16/12/2024 yêu cầu các địa phương, đơn vị khẩn trương thực hiện các kiến nghị, kết luận của Kiểm toán Nhà nước về báo cáo quyết toán NSĐP năm 2023, kiến nghị chuyên đề việc quản lý sử dụng kinh phí thực hiện các chính sách ưu đãi người có công và kiến nghị còn tồn đọng từ năm 2022 trở về trước; kết quả thực hiện như sau:</w:t>
      </w:r>
    </w:p>
    <w:p w14:paraId="72D9C020" w14:textId="33A7A140" w:rsidR="00AB4769" w:rsidRPr="00E05F46" w:rsidRDefault="00AB4769" w:rsidP="00AB4769">
      <w:pPr>
        <w:spacing w:before="60" w:after="60"/>
        <w:ind w:firstLine="720"/>
        <w:jc w:val="both"/>
        <w:rPr>
          <w:lang w:val="fr-FR"/>
        </w:rPr>
      </w:pPr>
      <w:r w:rsidRPr="00E05F46">
        <w:rPr>
          <w:b/>
          <w:bCs/>
          <w:lang w:val="fr-FR"/>
        </w:rPr>
        <w:t>1. Tổng số kiến nghị thu hồi, giảm chi ngân sách</w:t>
      </w:r>
      <w:r w:rsidRPr="00E05F46">
        <w:rPr>
          <w:lang w:val="fr-FR"/>
        </w:rPr>
        <w:t xml:space="preserve"> là 502</w:t>
      </w:r>
      <w:r w:rsidR="00BE472B" w:rsidRPr="00E05F46">
        <w:rPr>
          <w:lang w:val="fr-FR"/>
        </w:rPr>
        <w:t>.</w:t>
      </w:r>
      <w:r w:rsidRPr="00E05F46">
        <w:rPr>
          <w:lang w:val="fr-FR"/>
        </w:rPr>
        <w:t>72</w:t>
      </w:r>
      <w:r w:rsidR="001D1281" w:rsidRPr="00E05F46">
        <w:rPr>
          <w:lang w:val="fr-FR"/>
        </w:rPr>
        <w:t>8 t</w:t>
      </w:r>
      <w:r w:rsidR="00BE472B" w:rsidRPr="00E05F46">
        <w:rPr>
          <w:lang w:val="fr-FR"/>
        </w:rPr>
        <w:t>riệu</w:t>
      </w:r>
      <w:r w:rsidRPr="00E05F46">
        <w:rPr>
          <w:lang w:val="fr-FR"/>
        </w:rPr>
        <w:t xml:space="preserve"> đồng; đã thực hiện </w:t>
      </w:r>
      <w:r w:rsidR="00BE472B" w:rsidRPr="00E05F46">
        <w:rPr>
          <w:lang w:val="fr-FR"/>
        </w:rPr>
        <w:t>502.728 triệu đồng</w:t>
      </w:r>
      <w:r w:rsidRPr="00E05F46">
        <w:rPr>
          <w:lang w:val="fr-FR"/>
        </w:rPr>
        <w:t xml:space="preserve">, đạt 100% số kiến nghị; cụ thể: </w:t>
      </w:r>
    </w:p>
    <w:p w14:paraId="26AC7AF8" w14:textId="37CC473B" w:rsidR="00AB4769" w:rsidRPr="00E05F46" w:rsidRDefault="00AB4769" w:rsidP="00AB4769">
      <w:pPr>
        <w:spacing w:before="60" w:after="60"/>
        <w:ind w:firstLine="720"/>
        <w:jc w:val="both"/>
        <w:rPr>
          <w:spacing w:val="-2"/>
          <w:lang w:val="fr-FR"/>
        </w:rPr>
      </w:pPr>
      <w:r w:rsidRPr="00E05F46">
        <w:rPr>
          <w:spacing w:val="-2"/>
          <w:lang w:val="fr-FR"/>
        </w:rPr>
        <w:t>- Thu hồi kinh phí thừa nộp ngân sách Trung ương: Tổng số kiến nghị là 375</w:t>
      </w:r>
      <w:r w:rsidR="00BE472B" w:rsidRPr="00E05F46">
        <w:rPr>
          <w:spacing w:val="-2"/>
          <w:lang w:val="fr-FR"/>
        </w:rPr>
        <w:t>.</w:t>
      </w:r>
      <w:r w:rsidRPr="00E05F46">
        <w:rPr>
          <w:spacing w:val="-2"/>
          <w:lang w:val="fr-FR"/>
        </w:rPr>
        <w:t>42</w:t>
      </w:r>
      <w:r w:rsidR="001D1281" w:rsidRPr="00E05F46">
        <w:rPr>
          <w:spacing w:val="-2"/>
          <w:lang w:val="fr-FR"/>
        </w:rPr>
        <w:t xml:space="preserve">7 </w:t>
      </w:r>
      <w:r w:rsidR="00BE472B" w:rsidRPr="00E05F46">
        <w:rPr>
          <w:spacing w:val="-2"/>
          <w:lang w:val="fr-FR"/>
        </w:rPr>
        <w:t>triệu</w:t>
      </w:r>
      <w:r w:rsidR="001D1281" w:rsidRPr="00E05F46">
        <w:rPr>
          <w:spacing w:val="-2"/>
          <w:lang w:val="fr-FR"/>
        </w:rPr>
        <w:t xml:space="preserve"> </w:t>
      </w:r>
      <w:r w:rsidRPr="00E05F46">
        <w:rPr>
          <w:spacing w:val="-2"/>
          <w:lang w:val="fr-FR"/>
        </w:rPr>
        <w:t xml:space="preserve">đồng; đã thực hiện </w:t>
      </w:r>
      <w:r w:rsidR="00BE472B" w:rsidRPr="00E05F46">
        <w:rPr>
          <w:spacing w:val="-2"/>
          <w:lang w:val="fr-FR"/>
        </w:rPr>
        <w:t>375.427 triệu đồng</w:t>
      </w:r>
      <w:r w:rsidRPr="00E05F46">
        <w:rPr>
          <w:spacing w:val="-2"/>
          <w:lang w:val="fr-FR"/>
        </w:rPr>
        <w:t>, đạt 100% số kiến nghị.</w:t>
      </w:r>
    </w:p>
    <w:p w14:paraId="41F652F0" w14:textId="2C5195B8" w:rsidR="00AB4769" w:rsidRPr="00E05F46" w:rsidRDefault="00AB4769" w:rsidP="00AB4769">
      <w:pPr>
        <w:spacing w:before="60" w:after="60"/>
        <w:ind w:firstLine="720"/>
        <w:jc w:val="both"/>
        <w:rPr>
          <w:lang w:val="fr-FR"/>
        </w:rPr>
      </w:pPr>
      <w:r w:rsidRPr="00E05F46">
        <w:rPr>
          <w:lang w:val="fr-FR"/>
        </w:rPr>
        <w:t xml:space="preserve">- Thu hồi kinh phí thừa nộp ngân sách cấp tỉnh: Tổng số kiến nghị là </w:t>
      </w:r>
      <w:r w:rsidR="00BE472B" w:rsidRPr="00E05F46">
        <w:rPr>
          <w:lang w:val="fr-FR"/>
        </w:rPr>
        <w:t>39.463 triệu đồng</w:t>
      </w:r>
      <w:r w:rsidRPr="00E05F46">
        <w:rPr>
          <w:lang w:val="fr-FR"/>
        </w:rPr>
        <w:t xml:space="preserve">; đã thực hiện </w:t>
      </w:r>
      <w:r w:rsidR="001D1281" w:rsidRPr="00E05F46">
        <w:rPr>
          <w:lang w:val="fr-FR"/>
        </w:rPr>
        <w:t>39</w:t>
      </w:r>
      <w:r w:rsidR="00BE472B" w:rsidRPr="00E05F46">
        <w:rPr>
          <w:lang w:val="fr-FR"/>
        </w:rPr>
        <w:t>.</w:t>
      </w:r>
      <w:r w:rsidR="001D1281" w:rsidRPr="00E05F46">
        <w:rPr>
          <w:lang w:val="fr-FR"/>
        </w:rPr>
        <w:t xml:space="preserve">463 </w:t>
      </w:r>
      <w:r w:rsidR="00BE472B" w:rsidRPr="00E05F46">
        <w:rPr>
          <w:lang w:val="fr-FR"/>
        </w:rPr>
        <w:t>triệu</w:t>
      </w:r>
      <w:r w:rsidR="001D1281" w:rsidRPr="00E05F46">
        <w:rPr>
          <w:lang w:val="fr-FR"/>
        </w:rPr>
        <w:t xml:space="preserve"> đồng</w:t>
      </w:r>
      <w:r w:rsidRPr="00E05F46">
        <w:rPr>
          <w:lang w:val="fr-FR"/>
        </w:rPr>
        <w:t xml:space="preserve">, đạt 100% số kiến nghị.  </w:t>
      </w:r>
    </w:p>
    <w:p w14:paraId="21D888AC" w14:textId="79AC7453" w:rsidR="00AB4769" w:rsidRPr="00E05F46" w:rsidRDefault="00AB4769" w:rsidP="00AB4769">
      <w:pPr>
        <w:spacing w:before="60" w:after="60"/>
        <w:ind w:firstLine="720"/>
        <w:jc w:val="both"/>
        <w:rPr>
          <w:lang w:val="fr-FR"/>
        </w:rPr>
      </w:pPr>
      <w:r w:rsidRPr="00E05F46">
        <w:rPr>
          <w:lang w:val="fr-FR"/>
        </w:rPr>
        <w:t xml:space="preserve">- Nộp ngân sách tỉnh các khoản phải nộp nhưng chưa nộp: Tổng số kiến nghị là </w:t>
      </w:r>
      <w:r w:rsidR="00347004" w:rsidRPr="00E05F46">
        <w:rPr>
          <w:lang w:val="fr-FR"/>
        </w:rPr>
        <w:t>87.838 triệu đồng</w:t>
      </w:r>
      <w:r w:rsidRPr="00E05F46">
        <w:rPr>
          <w:lang w:val="fr-FR"/>
        </w:rPr>
        <w:t xml:space="preserve">; đã thực hiện </w:t>
      </w:r>
      <w:r w:rsidR="00453AD5" w:rsidRPr="00E05F46">
        <w:rPr>
          <w:lang w:val="fr-FR"/>
        </w:rPr>
        <w:t>87</w:t>
      </w:r>
      <w:r w:rsidR="00347004" w:rsidRPr="00E05F46">
        <w:rPr>
          <w:lang w:val="fr-FR"/>
        </w:rPr>
        <w:t>.</w:t>
      </w:r>
      <w:r w:rsidR="00453AD5" w:rsidRPr="00E05F46">
        <w:rPr>
          <w:lang w:val="fr-FR"/>
        </w:rPr>
        <w:t xml:space="preserve">838 </w:t>
      </w:r>
      <w:r w:rsidR="00347004" w:rsidRPr="00E05F46">
        <w:rPr>
          <w:lang w:val="fr-FR"/>
        </w:rPr>
        <w:t>triệu</w:t>
      </w:r>
      <w:r w:rsidR="00453AD5" w:rsidRPr="00E05F46">
        <w:rPr>
          <w:lang w:val="fr-FR"/>
        </w:rPr>
        <w:t xml:space="preserve"> đồng</w:t>
      </w:r>
      <w:r w:rsidRPr="00E05F46">
        <w:rPr>
          <w:lang w:val="fr-FR"/>
        </w:rPr>
        <w:t>, đạt 100% số kiến nghị.</w:t>
      </w:r>
    </w:p>
    <w:p w14:paraId="0AFFECE7" w14:textId="77777777" w:rsidR="00AB4769" w:rsidRPr="00E05F46" w:rsidRDefault="00AB4769" w:rsidP="00AB4769">
      <w:pPr>
        <w:spacing w:before="60" w:after="60"/>
        <w:ind w:firstLine="720"/>
        <w:jc w:val="both"/>
        <w:rPr>
          <w:b/>
          <w:bCs/>
          <w:lang w:val="fr-FR"/>
        </w:rPr>
      </w:pPr>
      <w:r w:rsidRPr="00E05F46">
        <w:rPr>
          <w:b/>
          <w:bCs/>
          <w:lang w:val="fr-FR"/>
        </w:rPr>
        <w:t>2. Về Chuyên đề quản lý, sử dụng kinh phí thực hiện các chính sách ưu đãi người có công trong giai đoạn 2021-2023 của tỉnh Hà Tĩnh:</w:t>
      </w:r>
    </w:p>
    <w:p w14:paraId="17301929" w14:textId="6DE05A95" w:rsidR="00AB4769" w:rsidRPr="00E05F46" w:rsidRDefault="00AB4769" w:rsidP="00AB4769">
      <w:pPr>
        <w:spacing w:before="60" w:after="60"/>
        <w:ind w:firstLine="720"/>
        <w:jc w:val="both"/>
        <w:rPr>
          <w:lang w:val="fr-FR"/>
        </w:rPr>
      </w:pPr>
      <w:r w:rsidRPr="00E05F46">
        <w:rPr>
          <w:lang w:val="fr-FR"/>
        </w:rPr>
        <w:t xml:space="preserve">- Đối với kiến nghị “Hủy dự toán năm 2023 còn dư chuyển sang năm 2024 là </w:t>
      </w:r>
      <w:r w:rsidR="001C0632" w:rsidRPr="00E05F46">
        <w:rPr>
          <w:lang w:val="fr-FR"/>
        </w:rPr>
        <w:t xml:space="preserve">604 triệu đồng </w:t>
      </w:r>
      <w:r w:rsidRPr="00E05F46">
        <w:rPr>
          <w:lang w:val="fr-FR"/>
        </w:rPr>
        <w:t xml:space="preserve">do hết nhiệm vụ chi”: </w:t>
      </w:r>
      <w:r w:rsidR="00DB110F" w:rsidRPr="00E05F46">
        <w:rPr>
          <w:lang w:val="fr-FR"/>
        </w:rPr>
        <w:t>đ</w:t>
      </w:r>
      <w:r w:rsidRPr="00E05F46">
        <w:rPr>
          <w:lang w:val="fr-FR"/>
        </w:rPr>
        <w:t xml:space="preserve">ến nay đã thực hiện </w:t>
      </w:r>
      <w:r w:rsidR="00AA6075" w:rsidRPr="00E05F46">
        <w:rPr>
          <w:lang w:val="fr-FR"/>
        </w:rPr>
        <w:t xml:space="preserve">604 </w:t>
      </w:r>
      <w:r w:rsidR="001C0632" w:rsidRPr="00E05F46">
        <w:rPr>
          <w:lang w:val="fr-FR"/>
        </w:rPr>
        <w:t>triệu</w:t>
      </w:r>
      <w:r w:rsidR="00AA6075" w:rsidRPr="00E05F46">
        <w:rPr>
          <w:lang w:val="fr-FR"/>
        </w:rPr>
        <w:t xml:space="preserve"> đồng</w:t>
      </w:r>
      <w:r w:rsidRPr="00E05F46">
        <w:rPr>
          <w:lang w:val="fr-FR"/>
        </w:rPr>
        <w:t>; đạt 100% số kiến nghị</w:t>
      </w:r>
    </w:p>
    <w:p w14:paraId="2B41F910" w14:textId="7F2C6315" w:rsidR="00AB4769" w:rsidRPr="00E05F46" w:rsidRDefault="00AB4769" w:rsidP="00AB4769">
      <w:pPr>
        <w:spacing w:before="60" w:after="60"/>
        <w:ind w:firstLine="720"/>
        <w:jc w:val="both"/>
        <w:rPr>
          <w:lang w:val="fr-FR"/>
        </w:rPr>
      </w:pPr>
      <w:r w:rsidRPr="00E05F46">
        <w:rPr>
          <w:lang w:val="fr-FR"/>
        </w:rPr>
        <w:t>- Đối với kiến nghị “Thu hồi nộp trả nguồn NSTW các khoản chi sai quy định 154</w:t>
      </w:r>
      <w:r w:rsidR="00817193" w:rsidRPr="00E05F46">
        <w:rPr>
          <w:lang w:val="fr-FR"/>
        </w:rPr>
        <w:t xml:space="preserve"> </w:t>
      </w:r>
      <w:r w:rsidR="00221396" w:rsidRPr="00E05F46">
        <w:rPr>
          <w:lang w:val="fr-FR"/>
        </w:rPr>
        <w:t>triệu</w:t>
      </w:r>
      <w:r w:rsidR="00817193" w:rsidRPr="00E05F46">
        <w:rPr>
          <w:lang w:val="fr-FR"/>
        </w:rPr>
        <w:t xml:space="preserve"> </w:t>
      </w:r>
      <w:r w:rsidRPr="00E05F46">
        <w:rPr>
          <w:lang w:val="fr-FR"/>
        </w:rPr>
        <w:t xml:space="preserve">đồng”: đến nay đã thực hiện </w:t>
      </w:r>
      <w:r w:rsidR="00817193" w:rsidRPr="00E05F46">
        <w:rPr>
          <w:lang w:val="fr-FR"/>
        </w:rPr>
        <w:t>154 t</w:t>
      </w:r>
      <w:r w:rsidR="00221396" w:rsidRPr="00E05F46">
        <w:rPr>
          <w:lang w:val="fr-FR"/>
        </w:rPr>
        <w:t>riệu</w:t>
      </w:r>
      <w:r w:rsidR="00817193" w:rsidRPr="00E05F46">
        <w:rPr>
          <w:lang w:val="fr-FR"/>
        </w:rPr>
        <w:t xml:space="preserve"> đồng</w:t>
      </w:r>
      <w:r w:rsidRPr="00E05F46">
        <w:rPr>
          <w:lang w:val="fr-FR"/>
        </w:rPr>
        <w:t>, đạt 100% số kiến nghị.</w:t>
      </w:r>
    </w:p>
    <w:p w14:paraId="1CFC9303" w14:textId="77777777" w:rsidR="00AB4769" w:rsidRPr="00E05F46" w:rsidRDefault="00AB4769" w:rsidP="00AB4769">
      <w:pPr>
        <w:spacing w:before="60" w:after="60"/>
        <w:ind w:firstLine="720"/>
        <w:jc w:val="both"/>
        <w:rPr>
          <w:b/>
          <w:bCs/>
          <w:lang w:val="fr-FR"/>
        </w:rPr>
      </w:pPr>
      <w:r w:rsidRPr="00E05F46">
        <w:rPr>
          <w:b/>
          <w:bCs/>
          <w:lang w:val="fr-FR"/>
        </w:rPr>
        <w:t>3. Về các kiến nghị chưa thực hiện:</w:t>
      </w:r>
    </w:p>
    <w:p w14:paraId="11A8B18E" w14:textId="212EDD46" w:rsidR="006501B4" w:rsidRPr="00E05F46" w:rsidRDefault="006501B4" w:rsidP="006501B4">
      <w:pPr>
        <w:ind w:firstLine="720"/>
        <w:jc w:val="both"/>
        <w:rPr>
          <w:bCs/>
          <w:iCs/>
          <w:spacing w:val="-2"/>
          <w:lang w:val="fr-FR"/>
        </w:rPr>
      </w:pPr>
      <w:r w:rsidRPr="00E05F46">
        <w:rPr>
          <w:bCs/>
          <w:iCs/>
          <w:spacing w:val="-2"/>
          <w:lang w:val="fr-FR"/>
        </w:rPr>
        <w:t>Trong thời gian qua, UBND tỉnh đã chỉ đạo quyết liệt các sở, ngành, địa phương, đơn vị có liên quan nghiêm túc triển khai thực hiện các kết luận, kiến nghị của Kiểm toán Nhà nước. Theo đó, giao Sở Tài chính chủ trì, phối hợp với Kho bạc Nhà nước và các cơ quan liên quan theo dõi, đôn đốc, tổng hợp kết quả thực hiện kiến nghị của KTNN hằng năm; các đơn vị, chủ đầu tư đã tích cực thực hiện các kiến nghị của kiểm toán Nhà nước</w:t>
      </w:r>
      <w:r w:rsidR="00164DE4" w:rsidRPr="00E05F46">
        <w:rPr>
          <w:bCs/>
          <w:iCs/>
          <w:spacing w:val="-2"/>
          <w:lang w:val="fr-FR"/>
        </w:rPr>
        <w:t>; qua đó, đã thực hiện 100% số kiến nghị năm 2024 (niên độ 2023) và 21% số kiến nghị tồn đọng năm 2023 (niên độ 2022) trở về trước</w:t>
      </w:r>
      <w:r w:rsidRPr="00E05F46">
        <w:rPr>
          <w:bCs/>
          <w:iCs/>
          <w:spacing w:val="-2"/>
          <w:lang w:val="fr-FR"/>
        </w:rPr>
        <w:t xml:space="preserve">Tuy </w:t>
      </w:r>
      <w:r w:rsidR="00164DE4" w:rsidRPr="00E05F46">
        <w:rPr>
          <w:bCs/>
          <w:iCs/>
          <w:spacing w:val="-2"/>
          <w:lang w:val="fr-FR"/>
        </w:rPr>
        <w:t>vậy</w:t>
      </w:r>
      <w:r w:rsidRPr="00E05F46">
        <w:rPr>
          <w:bCs/>
          <w:iCs/>
          <w:spacing w:val="-2"/>
          <w:lang w:val="fr-FR"/>
        </w:rPr>
        <w:t xml:space="preserve">, trong quá trình triển khai thực hiện các kiến nghị của Kiểm toán Nhà nước, vẫn còn một số khó khăn, vướng mắc như: </w:t>
      </w:r>
      <w:r w:rsidR="00DB110F" w:rsidRPr="00E05F46">
        <w:rPr>
          <w:bCs/>
          <w:iCs/>
          <w:spacing w:val="-2"/>
          <w:lang w:val="fr-FR"/>
        </w:rPr>
        <w:t>c</w:t>
      </w:r>
      <w:r w:rsidRPr="00E05F46">
        <w:rPr>
          <w:bCs/>
          <w:iCs/>
          <w:spacing w:val="-2"/>
          <w:lang w:val="fr-FR"/>
        </w:rPr>
        <w:t xml:space="preserve">ông tác thu hồi tạm ứng quá hạn gặp nhiều khó khăn do một số dự án đã hoàn thành, quyết toán nhiều năm, nhà thầu đã giải thể hoặc không còn khả năng thanh toán; </w:t>
      </w:r>
      <w:r w:rsidR="00DB110F" w:rsidRPr="00E05F46">
        <w:rPr>
          <w:bCs/>
          <w:iCs/>
          <w:spacing w:val="-2"/>
          <w:lang w:val="fr-FR"/>
        </w:rPr>
        <w:t>m</w:t>
      </w:r>
      <w:r w:rsidRPr="00E05F46">
        <w:rPr>
          <w:bCs/>
          <w:iCs/>
          <w:spacing w:val="-2"/>
          <w:lang w:val="fr-FR"/>
        </w:rPr>
        <w:t xml:space="preserve">ột số doanh nghiệp được kiến nghị truy thu, thu hồi nghĩa vụ ngân sách đã dừng hoạt động, giải thể hoặc bỏ địa chỉ kinh doanh, dẫn đến không thể thực hiện cưỡng chế thu hồi theo quy định; </w:t>
      </w:r>
      <w:r w:rsidR="00DB110F" w:rsidRPr="00E05F46">
        <w:rPr>
          <w:bCs/>
          <w:iCs/>
          <w:spacing w:val="-2"/>
          <w:lang w:val="fr-FR"/>
        </w:rPr>
        <w:t>v</w:t>
      </w:r>
      <w:r w:rsidRPr="00E05F46">
        <w:rPr>
          <w:bCs/>
          <w:iCs/>
          <w:spacing w:val="-2"/>
          <w:lang w:val="fr-FR"/>
        </w:rPr>
        <w:t>iệc phối hợp giữa các cơ quan, đơn vị có lúc còn chưa đồng bộ, đặc biệt là trong công tác đối chiếu, xác nhận số liệu và xác định đối tượng chịu trách nhiệm hoàn trả ngân sách.</w:t>
      </w:r>
    </w:p>
    <w:p w14:paraId="62F84C3E" w14:textId="15DE712E" w:rsidR="006F34D8" w:rsidRPr="00E05F46" w:rsidRDefault="00603E3F" w:rsidP="00AB40F2">
      <w:pPr>
        <w:ind w:firstLine="720"/>
        <w:jc w:val="both"/>
        <w:rPr>
          <w:bCs/>
          <w:iCs/>
          <w:spacing w:val="-2"/>
          <w:lang w:val="fr-FR"/>
        </w:rPr>
      </w:pPr>
      <w:r w:rsidRPr="00E05F46">
        <w:rPr>
          <w:bCs/>
          <w:iCs/>
          <w:spacing w:val="-2"/>
          <w:lang w:val="fr-FR"/>
        </w:rPr>
        <w:lastRenderedPageBreak/>
        <w:t xml:space="preserve">Đến thời điểm lập báo cáo </w:t>
      </w:r>
      <w:r w:rsidR="002E68A0" w:rsidRPr="00E05F46">
        <w:rPr>
          <w:bCs/>
          <w:iCs/>
          <w:spacing w:val="-2"/>
          <w:lang w:val="fr-FR"/>
        </w:rPr>
        <w:t>quyết toán</w:t>
      </w:r>
      <w:r w:rsidRPr="00E05F46">
        <w:rPr>
          <w:bCs/>
          <w:iCs/>
          <w:spacing w:val="-2"/>
          <w:lang w:val="fr-FR"/>
        </w:rPr>
        <w:t xml:space="preserve">, </w:t>
      </w:r>
      <w:r w:rsidR="009147BA" w:rsidRPr="00E05F46">
        <w:rPr>
          <w:bCs/>
          <w:iCs/>
          <w:spacing w:val="-2"/>
          <w:lang w:val="fr-FR"/>
        </w:rPr>
        <w:t xml:space="preserve">số liệu các kiến nghị </w:t>
      </w:r>
      <w:r w:rsidR="00644B86" w:rsidRPr="00E05F46">
        <w:rPr>
          <w:bCs/>
          <w:iCs/>
          <w:spacing w:val="-2"/>
          <w:lang w:val="fr-FR"/>
        </w:rPr>
        <w:t xml:space="preserve">của kiểm toán nhà nước </w:t>
      </w:r>
      <w:r w:rsidR="009147BA" w:rsidRPr="00E05F46">
        <w:rPr>
          <w:bCs/>
          <w:iCs/>
          <w:spacing w:val="-2"/>
          <w:lang w:val="fr-FR"/>
        </w:rPr>
        <w:t xml:space="preserve">đến nay chưa thực hiện của tỉnh là </w:t>
      </w:r>
      <w:r w:rsidR="002E68A0" w:rsidRPr="00E05F46">
        <w:rPr>
          <w:bCs/>
          <w:iCs/>
          <w:spacing w:val="-2"/>
          <w:lang w:val="fr-FR"/>
        </w:rPr>
        <w:t>74</w:t>
      </w:r>
      <w:r w:rsidR="001E0CD0" w:rsidRPr="00E05F46">
        <w:rPr>
          <w:bCs/>
          <w:iCs/>
          <w:spacing w:val="-2"/>
          <w:lang w:val="fr-FR"/>
        </w:rPr>
        <w:t>.</w:t>
      </w:r>
      <w:r w:rsidR="002E68A0" w:rsidRPr="00E05F46">
        <w:rPr>
          <w:bCs/>
          <w:iCs/>
          <w:spacing w:val="-2"/>
          <w:lang w:val="fr-FR"/>
        </w:rPr>
        <w:t>993</w:t>
      </w:r>
      <w:r w:rsidR="00C64420" w:rsidRPr="00E05F46">
        <w:rPr>
          <w:bCs/>
          <w:iCs/>
          <w:spacing w:val="-2"/>
          <w:lang w:val="fr-FR"/>
        </w:rPr>
        <w:t xml:space="preserve"> </w:t>
      </w:r>
      <w:r w:rsidR="001E0CD0" w:rsidRPr="00E05F46">
        <w:rPr>
          <w:bCs/>
          <w:iCs/>
          <w:spacing w:val="-2"/>
          <w:lang w:val="fr-FR"/>
        </w:rPr>
        <w:t>triệu</w:t>
      </w:r>
      <w:r w:rsidR="0016097E" w:rsidRPr="00E05F46">
        <w:rPr>
          <w:bCs/>
          <w:iCs/>
          <w:spacing w:val="-2"/>
          <w:lang w:val="fr-FR"/>
        </w:rPr>
        <w:t xml:space="preserve"> </w:t>
      </w:r>
      <w:r w:rsidR="009147BA" w:rsidRPr="00E05F46">
        <w:rPr>
          <w:bCs/>
          <w:iCs/>
          <w:spacing w:val="-2"/>
          <w:lang w:val="fr-FR"/>
        </w:rPr>
        <w:t>đồng, gồm:</w:t>
      </w:r>
    </w:p>
    <w:p w14:paraId="5D3139DC" w14:textId="4F9D7E64" w:rsidR="009147BA" w:rsidRPr="00E05F46" w:rsidRDefault="00AA208D" w:rsidP="00AA208D">
      <w:pPr>
        <w:ind w:firstLine="720"/>
        <w:jc w:val="both"/>
        <w:rPr>
          <w:bCs/>
          <w:iCs/>
          <w:spacing w:val="-2"/>
          <w:lang w:val="fr-FR"/>
        </w:rPr>
      </w:pPr>
      <w:r w:rsidRPr="00E05F46">
        <w:rPr>
          <w:bCs/>
          <w:iCs/>
          <w:spacing w:val="-2"/>
          <w:lang w:val="fr-FR"/>
        </w:rPr>
        <w:t xml:space="preserve">- Kiểm toán thường niên: </w:t>
      </w:r>
      <w:r w:rsidR="005712AC" w:rsidRPr="00E05F46">
        <w:rPr>
          <w:bCs/>
          <w:iCs/>
          <w:spacing w:val="-2"/>
          <w:lang w:val="fr-FR"/>
        </w:rPr>
        <w:t>49</w:t>
      </w:r>
      <w:r w:rsidR="00861799" w:rsidRPr="00E05F46">
        <w:rPr>
          <w:bCs/>
          <w:iCs/>
          <w:spacing w:val="-2"/>
          <w:lang w:val="fr-FR"/>
        </w:rPr>
        <w:t>.</w:t>
      </w:r>
      <w:r w:rsidR="005712AC" w:rsidRPr="00E05F46">
        <w:rPr>
          <w:bCs/>
          <w:iCs/>
          <w:spacing w:val="-2"/>
          <w:lang w:val="fr-FR"/>
        </w:rPr>
        <w:t>405</w:t>
      </w:r>
      <w:r w:rsidRPr="00E05F46">
        <w:rPr>
          <w:bCs/>
          <w:iCs/>
          <w:spacing w:val="-2"/>
          <w:lang w:val="fr-FR"/>
        </w:rPr>
        <w:t xml:space="preserve"> </w:t>
      </w:r>
      <w:r w:rsidR="00861799" w:rsidRPr="00E05F46">
        <w:rPr>
          <w:bCs/>
          <w:iCs/>
          <w:spacing w:val="-2"/>
          <w:lang w:val="fr-FR"/>
        </w:rPr>
        <w:t>triệu</w:t>
      </w:r>
      <w:r w:rsidRPr="00E05F46">
        <w:rPr>
          <w:bCs/>
          <w:iCs/>
          <w:spacing w:val="-2"/>
          <w:lang w:val="fr-FR"/>
        </w:rPr>
        <w:t xml:space="preserve"> đồng (</w:t>
      </w:r>
      <w:r w:rsidR="00DB110F" w:rsidRPr="00E05F46">
        <w:rPr>
          <w:bCs/>
          <w:iCs/>
          <w:spacing w:val="-2"/>
          <w:lang w:val="fr-FR"/>
        </w:rPr>
        <w:t>n</w:t>
      </w:r>
      <w:r w:rsidR="00446711" w:rsidRPr="00E05F46">
        <w:rPr>
          <w:bCs/>
          <w:iCs/>
          <w:spacing w:val="-2"/>
          <w:lang w:val="fr-FR"/>
        </w:rPr>
        <w:t xml:space="preserve">iên độ 2023: </w:t>
      </w:r>
      <w:r w:rsidR="00172AAE" w:rsidRPr="00E05F46">
        <w:rPr>
          <w:bCs/>
          <w:iCs/>
          <w:spacing w:val="-2"/>
          <w:lang w:val="fr-FR"/>
        </w:rPr>
        <w:t>36</w:t>
      </w:r>
      <w:r w:rsidR="00861799" w:rsidRPr="00E05F46">
        <w:rPr>
          <w:bCs/>
          <w:iCs/>
          <w:spacing w:val="-2"/>
          <w:lang w:val="fr-FR"/>
        </w:rPr>
        <w:t>.</w:t>
      </w:r>
      <w:r w:rsidR="00172AAE" w:rsidRPr="00E05F46">
        <w:rPr>
          <w:bCs/>
          <w:iCs/>
          <w:spacing w:val="-2"/>
          <w:lang w:val="fr-FR"/>
        </w:rPr>
        <w:t>428</w:t>
      </w:r>
      <w:r w:rsidR="00620696" w:rsidRPr="00E05F46">
        <w:rPr>
          <w:bCs/>
          <w:iCs/>
          <w:spacing w:val="-2"/>
          <w:lang w:val="fr-FR"/>
        </w:rPr>
        <w:t xml:space="preserve"> </w:t>
      </w:r>
      <w:r w:rsidR="00861799" w:rsidRPr="00E05F46">
        <w:rPr>
          <w:bCs/>
          <w:iCs/>
          <w:spacing w:val="-2"/>
          <w:lang w:val="fr-FR"/>
        </w:rPr>
        <w:t>triệu</w:t>
      </w:r>
      <w:r w:rsidR="00620696" w:rsidRPr="00E05F46">
        <w:rPr>
          <w:bCs/>
          <w:iCs/>
          <w:spacing w:val="-2"/>
          <w:lang w:val="fr-FR"/>
        </w:rPr>
        <w:t xml:space="preserve"> đồng</w:t>
      </w:r>
      <w:r w:rsidRPr="00E05F46">
        <w:rPr>
          <w:bCs/>
          <w:iCs/>
          <w:spacing w:val="-2"/>
          <w:lang w:val="fr-FR"/>
        </w:rPr>
        <w:t xml:space="preserve">; </w:t>
      </w:r>
      <w:r w:rsidR="00DB110F" w:rsidRPr="00E05F46">
        <w:rPr>
          <w:bCs/>
          <w:iCs/>
          <w:spacing w:val="-2"/>
          <w:lang w:val="fr-FR"/>
        </w:rPr>
        <w:t>n</w:t>
      </w:r>
      <w:r w:rsidR="00C64420" w:rsidRPr="00E05F46">
        <w:rPr>
          <w:bCs/>
          <w:iCs/>
          <w:spacing w:val="-2"/>
          <w:lang w:val="fr-FR"/>
        </w:rPr>
        <w:t>iên độ 2022: 1</w:t>
      </w:r>
      <w:r w:rsidR="00702EAA" w:rsidRPr="00E05F46">
        <w:rPr>
          <w:bCs/>
          <w:iCs/>
          <w:spacing w:val="-2"/>
          <w:lang w:val="fr-FR"/>
        </w:rPr>
        <w:t>.</w:t>
      </w:r>
      <w:r w:rsidR="00C64420" w:rsidRPr="00E05F46">
        <w:rPr>
          <w:bCs/>
          <w:iCs/>
          <w:spacing w:val="-2"/>
          <w:lang w:val="fr-FR"/>
        </w:rPr>
        <w:t>0</w:t>
      </w:r>
      <w:r w:rsidR="00172AAE" w:rsidRPr="00E05F46">
        <w:rPr>
          <w:bCs/>
          <w:iCs/>
          <w:spacing w:val="-2"/>
          <w:lang w:val="fr-FR"/>
        </w:rPr>
        <w:t>34</w:t>
      </w:r>
      <w:r w:rsidR="00C64420" w:rsidRPr="00E05F46">
        <w:rPr>
          <w:bCs/>
          <w:iCs/>
          <w:spacing w:val="-2"/>
          <w:lang w:val="fr-FR"/>
        </w:rPr>
        <w:t xml:space="preserve"> </w:t>
      </w:r>
      <w:r w:rsidR="00702EAA" w:rsidRPr="00E05F46">
        <w:rPr>
          <w:bCs/>
          <w:iCs/>
          <w:spacing w:val="-2"/>
          <w:lang w:val="fr-FR"/>
        </w:rPr>
        <w:t>triệu</w:t>
      </w:r>
      <w:r w:rsidR="00C64420" w:rsidRPr="00E05F46">
        <w:rPr>
          <w:bCs/>
          <w:iCs/>
          <w:spacing w:val="-2"/>
          <w:lang w:val="fr-FR"/>
        </w:rPr>
        <w:t xml:space="preserve"> đồng</w:t>
      </w:r>
      <w:r w:rsidRPr="00E05F46">
        <w:rPr>
          <w:bCs/>
          <w:iCs/>
          <w:spacing w:val="-2"/>
          <w:lang w:val="fr-FR"/>
        </w:rPr>
        <w:t xml:space="preserve">; </w:t>
      </w:r>
      <w:r w:rsidR="00DB110F" w:rsidRPr="00E05F46">
        <w:rPr>
          <w:bCs/>
          <w:iCs/>
          <w:spacing w:val="-2"/>
          <w:lang w:val="fr-FR"/>
        </w:rPr>
        <w:t>n</w:t>
      </w:r>
      <w:r w:rsidR="009147BA" w:rsidRPr="00E05F46">
        <w:rPr>
          <w:bCs/>
          <w:iCs/>
          <w:spacing w:val="-2"/>
          <w:lang w:val="fr-FR"/>
        </w:rPr>
        <w:t xml:space="preserve">iên độ 2021: </w:t>
      </w:r>
      <w:r w:rsidR="00172AAE" w:rsidRPr="00E05F46">
        <w:rPr>
          <w:bCs/>
          <w:iCs/>
          <w:spacing w:val="-2"/>
          <w:lang w:val="fr-FR"/>
        </w:rPr>
        <w:t>29</w:t>
      </w:r>
      <w:r w:rsidR="001C5948" w:rsidRPr="00E05F46">
        <w:rPr>
          <w:bCs/>
          <w:iCs/>
          <w:spacing w:val="-2"/>
          <w:lang w:val="fr-FR"/>
        </w:rPr>
        <w:t xml:space="preserve"> t</w:t>
      </w:r>
      <w:r w:rsidR="00702EAA" w:rsidRPr="00E05F46">
        <w:rPr>
          <w:bCs/>
          <w:iCs/>
          <w:spacing w:val="-2"/>
          <w:lang w:val="fr-FR"/>
        </w:rPr>
        <w:t>riệu</w:t>
      </w:r>
      <w:r w:rsidR="009C76B5" w:rsidRPr="00E05F46">
        <w:rPr>
          <w:bCs/>
          <w:iCs/>
          <w:spacing w:val="-2"/>
          <w:lang w:val="fr-FR"/>
        </w:rPr>
        <w:t xml:space="preserve"> </w:t>
      </w:r>
      <w:r w:rsidR="009147BA" w:rsidRPr="00E05F46">
        <w:rPr>
          <w:bCs/>
          <w:iCs/>
          <w:spacing w:val="-2"/>
          <w:lang w:val="fr-FR"/>
        </w:rPr>
        <w:t>đồng</w:t>
      </w:r>
      <w:r w:rsidRPr="00E05F46">
        <w:rPr>
          <w:bCs/>
          <w:iCs/>
          <w:spacing w:val="-2"/>
          <w:lang w:val="fr-FR"/>
        </w:rPr>
        <w:t xml:space="preserve"> ; </w:t>
      </w:r>
      <w:r w:rsidR="00DB110F" w:rsidRPr="00E05F46">
        <w:rPr>
          <w:bCs/>
          <w:iCs/>
          <w:spacing w:val="-2"/>
          <w:lang w:val="fr-FR"/>
        </w:rPr>
        <w:t>n</w:t>
      </w:r>
      <w:r w:rsidR="009147BA" w:rsidRPr="00E05F46">
        <w:rPr>
          <w:bCs/>
          <w:iCs/>
          <w:spacing w:val="-2"/>
          <w:lang w:val="fr-FR"/>
        </w:rPr>
        <w:t xml:space="preserve">iên độ 2020: </w:t>
      </w:r>
      <w:r w:rsidR="00CC7057" w:rsidRPr="00E05F46">
        <w:rPr>
          <w:bCs/>
          <w:iCs/>
          <w:spacing w:val="-2"/>
          <w:lang w:val="fr-FR"/>
        </w:rPr>
        <w:t>4</w:t>
      </w:r>
      <w:r w:rsidR="009C5270" w:rsidRPr="00E05F46">
        <w:rPr>
          <w:bCs/>
          <w:iCs/>
          <w:spacing w:val="-2"/>
          <w:lang w:val="fr-FR"/>
        </w:rPr>
        <w:t>.</w:t>
      </w:r>
      <w:r w:rsidR="00CC7057" w:rsidRPr="00E05F46">
        <w:rPr>
          <w:bCs/>
          <w:iCs/>
          <w:spacing w:val="-2"/>
          <w:lang w:val="fr-FR"/>
        </w:rPr>
        <w:t>961</w:t>
      </w:r>
      <w:r w:rsidR="00193D19" w:rsidRPr="00E05F46">
        <w:rPr>
          <w:bCs/>
          <w:iCs/>
          <w:spacing w:val="-2"/>
          <w:lang w:val="fr-FR"/>
        </w:rPr>
        <w:t xml:space="preserve"> t</w:t>
      </w:r>
      <w:r w:rsidR="009C5270" w:rsidRPr="00E05F46">
        <w:rPr>
          <w:bCs/>
          <w:iCs/>
          <w:spacing w:val="-2"/>
          <w:lang w:val="fr-FR"/>
        </w:rPr>
        <w:t>riệu</w:t>
      </w:r>
      <w:r w:rsidR="009C76B5" w:rsidRPr="00E05F46">
        <w:rPr>
          <w:bCs/>
          <w:iCs/>
          <w:spacing w:val="-2"/>
          <w:lang w:val="fr-FR"/>
        </w:rPr>
        <w:t xml:space="preserve"> </w:t>
      </w:r>
      <w:r w:rsidR="009147BA" w:rsidRPr="00E05F46">
        <w:rPr>
          <w:bCs/>
          <w:iCs/>
          <w:spacing w:val="-2"/>
          <w:lang w:val="fr-FR"/>
        </w:rPr>
        <w:t>đồng</w:t>
      </w:r>
      <w:r w:rsidRPr="00E05F46">
        <w:rPr>
          <w:bCs/>
          <w:iCs/>
          <w:spacing w:val="-2"/>
          <w:lang w:val="fr-FR"/>
        </w:rPr>
        <w:t xml:space="preserve">; </w:t>
      </w:r>
      <w:r w:rsidR="00DB110F" w:rsidRPr="00E05F46">
        <w:rPr>
          <w:bCs/>
          <w:iCs/>
          <w:spacing w:val="-2"/>
          <w:lang w:val="fr-FR"/>
        </w:rPr>
        <w:t>n</w:t>
      </w:r>
      <w:r w:rsidR="009147BA" w:rsidRPr="00E05F46">
        <w:rPr>
          <w:bCs/>
          <w:iCs/>
          <w:spacing w:val="-2"/>
          <w:lang w:val="fr-FR"/>
        </w:rPr>
        <w:t xml:space="preserve">iên độ 2018: </w:t>
      </w:r>
      <w:r w:rsidR="002C0E6B" w:rsidRPr="00E05F46">
        <w:rPr>
          <w:bCs/>
          <w:iCs/>
          <w:spacing w:val="-2"/>
          <w:lang w:val="fr-FR"/>
        </w:rPr>
        <w:t>292</w:t>
      </w:r>
      <w:r w:rsidR="00193D19" w:rsidRPr="00E05F46">
        <w:rPr>
          <w:bCs/>
          <w:iCs/>
          <w:spacing w:val="-2"/>
          <w:lang w:val="fr-FR"/>
        </w:rPr>
        <w:t xml:space="preserve"> t</w:t>
      </w:r>
      <w:r w:rsidR="004947A1" w:rsidRPr="00E05F46">
        <w:rPr>
          <w:bCs/>
          <w:iCs/>
          <w:spacing w:val="-2"/>
          <w:lang w:val="fr-FR"/>
        </w:rPr>
        <w:t>riệu</w:t>
      </w:r>
      <w:r w:rsidR="009147BA" w:rsidRPr="00E05F46">
        <w:rPr>
          <w:bCs/>
          <w:iCs/>
          <w:spacing w:val="-2"/>
          <w:lang w:val="fr-FR"/>
        </w:rPr>
        <w:t xml:space="preserve"> đồng</w:t>
      </w:r>
      <w:r w:rsidRPr="00E05F46">
        <w:rPr>
          <w:bCs/>
          <w:iCs/>
          <w:spacing w:val="-2"/>
          <w:lang w:val="fr-FR"/>
        </w:rPr>
        <w:t xml:space="preserve">; </w:t>
      </w:r>
      <w:r w:rsidR="00DB110F" w:rsidRPr="00E05F46">
        <w:rPr>
          <w:bCs/>
          <w:iCs/>
          <w:spacing w:val="-2"/>
          <w:lang w:val="fr-FR"/>
        </w:rPr>
        <w:t>n</w:t>
      </w:r>
      <w:r w:rsidR="009147BA" w:rsidRPr="00E05F46">
        <w:rPr>
          <w:bCs/>
          <w:iCs/>
          <w:spacing w:val="-2"/>
          <w:lang w:val="fr-FR"/>
        </w:rPr>
        <w:t>iên độ 2017: 1</w:t>
      </w:r>
      <w:r w:rsidR="000D3054" w:rsidRPr="00E05F46">
        <w:rPr>
          <w:bCs/>
          <w:iCs/>
          <w:spacing w:val="-2"/>
          <w:lang w:val="fr-FR"/>
        </w:rPr>
        <w:t>.</w:t>
      </w:r>
      <w:r w:rsidR="009147BA" w:rsidRPr="00E05F46">
        <w:rPr>
          <w:bCs/>
          <w:iCs/>
          <w:spacing w:val="-2"/>
          <w:lang w:val="fr-FR"/>
        </w:rPr>
        <w:t>957</w:t>
      </w:r>
      <w:r w:rsidR="007B7213" w:rsidRPr="00E05F46">
        <w:rPr>
          <w:bCs/>
          <w:iCs/>
          <w:spacing w:val="-2"/>
          <w:lang w:val="fr-FR"/>
        </w:rPr>
        <w:t xml:space="preserve"> t</w:t>
      </w:r>
      <w:r w:rsidR="000D3054" w:rsidRPr="00E05F46">
        <w:rPr>
          <w:bCs/>
          <w:iCs/>
          <w:spacing w:val="-2"/>
          <w:lang w:val="fr-FR"/>
        </w:rPr>
        <w:t>riệu</w:t>
      </w:r>
      <w:r w:rsidR="009147BA" w:rsidRPr="00E05F46">
        <w:rPr>
          <w:bCs/>
          <w:iCs/>
          <w:spacing w:val="-2"/>
          <w:lang w:val="fr-FR"/>
        </w:rPr>
        <w:t xml:space="preserve"> đồng</w:t>
      </w:r>
      <w:r w:rsidRPr="00E05F46">
        <w:rPr>
          <w:bCs/>
          <w:iCs/>
          <w:spacing w:val="-2"/>
          <w:lang w:val="fr-FR"/>
        </w:rPr>
        <w:t xml:space="preserve">; </w:t>
      </w:r>
      <w:r w:rsidR="00DB110F" w:rsidRPr="00E05F46">
        <w:rPr>
          <w:bCs/>
          <w:iCs/>
          <w:spacing w:val="-2"/>
          <w:lang w:val="fr-FR"/>
        </w:rPr>
        <w:t>n</w:t>
      </w:r>
      <w:r w:rsidR="009147BA" w:rsidRPr="00E05F46">
        <w:rPr>
          <w:bCs/>
          <w:iCs/>
          <w:spacing w:val="-2"/>
          <w:lang w:val="fr-FR"/>
        </w:rPr>
        <w:t xml:space="preserve">iên độ 2016: </w:t>
      </w:r>
      <w:r w:rsidR="007B7213" w:rsidRPr="00E05F46">
        <w:rPr>
          <w:bCs/>
          <w:iCs/>
          <w:spacing w:val="-2"/>
          <w:lang w:val="fr-FR"/>
        </w:rPr>
        <w:t>505</w:t>
      </w:r>
      <w:r w:rsidR="009147BA" w:rsidRPr="00E05F46">
        <w:rPr>
          <w:bCs/>
          <w:iCs/>
          <w:spacing w:val="-2"/>
          <w:lang w:val="fr-FR"/>
        </w:rPr>
        <w:t xml:space="preserve"> </w:t>
      </w:r>
      <w:r w:rsidR="00795B49" w:rsidRPr="00E05F46">
        <w:rPr>
          <w:bCs/>
          <w:iCs/>
          <w:spacing w:val="-2"/>
          <w:lang w:val="fr-FR"/>
        </w:rPr>
        <w:t>t</w:t>
      </w:r>
      <w:r w:rsidR="003B5458" w:rsidRPr="00E05F46">
        <w:rPr>
          <w:bCs/>
          <w:iCs/>
          <w:spacing w:val="-2"/>
          <w:lang w:val="fr-FR"/>
        </w:rPr>
        <w:t>riệu</w:t>
      </w:r>
      <w:r w:rsidR="00795B49" w:rsidRPr="00E05F46">
        <w:rPr>
          <w:bCs/>
          <w:iCs/>
          <w:spacing w:val="-2"/>
          <w:lang w:val="fr-FR"/>
        </w:rPr>
        <w:t xml:space="preserve"> </w:t>
      </w:r>
      <w:r w:rsidR="009147BA" w:rsidRPr="00E05F46">
        <w:rPr>
          <w:bCs/>
          <w:iCs/>
          <w:spacing w:val="-2"/>
          <w:lang w:val="fr-FR"/>
        </w:rPr>
        <w:t>đồng</w:t>
      </w:r>
      <w:r w:rsidRPr="00E05F46">
        <w:rPr>
          <w:bCs/>
          <w:iCs/>
          <w:spacing w:val="-2"/>
          <w:lang w:val="fr-FR"/>
        </w:rPr>
        <w:t xml:space="preserve">; </w:t>
      </w:r>
      <w:r w:rsidR="00DB110F" w:rsidRPr="00E05F46">
        <w:rPr>
          <w:bCs/>
          <w:iCs/>
          <w:spacing w:val="-2"/>
          <w:lang w:val="fr-FR"/>
        </w:rPr>
        <w:t>n</w:t>
      </w:r>
      <w:r w:rsidR="009147BA" w:rsidRPr="00E05F46">
        <w:rPr>
          <w:bCs/>
          <w:iCs/>
          <w:spacing w:val="-2"/>
          <w:lang w:val="fr-FR"/>
        </w:rPr>
        <w:t>iên độ 2015: 2</w:t>
      </w:r>
      <w:r w:rsidR="003B5458" w:rsidRPr="00E05F46">
        <w:rPr>
          <w:bCs/>
          <w:iCs/>
          <w:spacing w:val="-2"/>
          <w:lang w:val="fr-FR"/>
        </w:rPr>
        <w:t>.</w:t>
      </w:r>
      <w:r w:rsidR="00795B49" w:rsidRPr="00E05F46">
        <w:rPr>
          <w:bCs/>
          <w:iCs/>
          <w:spacing w:val="-2"/>
          <w:lang w:val="fr-FR"/>
        </w:rPr>
        <w:t>159</w:t>
      </w:r>
      <w:r w:rsidR="009147BA" w:rsidRPr="00E05F46">
        <w:rPr>
          <w:bCs/>
          <w:iCs/>
          <w:spacing w:val="-2"/>
          <w:lang w:val="fr-FR"/>
        </w:rPr>
        <w:t xml:space="preserve"> </w:t>
      </w:r>
      <w:r w:rsidR="003B5458" w:rsidRPr="00E05F46">
        <w:rPr>
          <w:bCs/>
          <w:iCs/>
          <w:spacing w:val="-2"/>
          <w:lang w:val="fr-FR"/>
        </w:rPr>
        <w:t>triệu</w:t>
      </w:r>
      <w:r w:rsidR="00795B49" w:rsidRPr="00E05F46">
        <w:rPr>
          <w:bCs/>
          <w:iCs/>
          <w:spacing w:val="-2"/>
          <w:lang w:val="fr-FR"/>
        </w:rPr>
        <w:t xml:space="preserve"> </w:t>
      </w:r>
      <w:r w:rsidR="009147BA" w:rsidRPr="00E05F46">
        <w:rPr>
          <w:bCs/>
          <w:iCs/>
          <w:spacing w:val="-2"/>
          <w:lang w:val="fr-FR"/>
        </w:rPr>
        <w:t>đồng</w:t>
      </w:r>
      <w:r w:rsidRPr="00E05F46">
        <w:rPr>
          <w:bCs/>
          <w:iCs/>
          <w:spacing w:val="-2"/>
          <w:lang w:val="fr-FR"/>
        </w:rPr>
        <w:t>;</w:t>
      </w:r>
      <w:r w:rsidR="009147BA" w:rsidRPr="00E05F46">
        <w:rPr>
          <w:bCs/>
          <w:iCs/>
          <w:spacing w:val="-2"/>
          <w:lang w:val="fr-FR"/>
        </w:rPr>
        <w:t xml:space="preserve"> </w:t>
      </w:r>
      <w:r w:rsidR="00DB110F" w:rsidRPr="00E05F46">
        <w:rPr>
          <w:bCs/>
          <w:iCs/>
          <w:spacing w:val="-2"/>
          <w:lang w:val="fr-FR"/>
        </w:rPr>
        <w:t>n</w:t>
      </w:r>
      <w:r w:rsidR="009147BA" w:rsidRPr="00E05F46">
        <w:rPr>
          <w:bCs/>
          <w:iCs/>
          <w:spacing w:val="-2"/>
          <w:lang w:val="fr-FR"/>
        </w:rPr>
        <w:t xml:space="preserve">iên độ 2012: </w:t>
      </w:r>
      <w:r w:rsidR="00795B49" w:rsidRPr="00E05F46">
        <w:rPr>
          <w:bCs/>
          <w:iCs/>
          <w:spacing w:val="-2"/>
          <w:lang w:val="fr-FR"/>
        </w:rPr>
        <w:t>2</w:t>
      </w:r>
      <w:r w:rsidR="00380319" w:rsidRPr="00E05F46">
        <w:rPr>
          <w:bCs/>
          <w:iCs/>
          <w:spacing w:val="-2"/>
          <w:lang w:val="fr-FR"/>
        </w:rPr>
        <w:t>.</w:t>
      </w:r>
      <w:r w:rsidR="00795B49" w:rsidRPr="00E05F46">
        <w:rPr>
          <w:bCs/>
          <w:iCs/>
          <w:spacing w:val="-2"/>
          <w:lang w:val="fr-FR"/>
        </w:rPr>
        <w:t>04</w:t>
      </w:r>
      <w:r w:rsidR="002C0E6B" w:rsidRPr="00E05F46">
        <w:rPr>
          <w:bCs/>
          <w:iCs/>
          <w:spacing w:val="-2"/>
          <w:lang w:val="fr-FR"/>
        </w:rPr>
        <w:t>1</w:t>
      </w:r>
      <w:r w:rsidR="00795B49" w:rsidRPr="00E05F46">
        <w:rPr>
          <w:bCs/>
          <w:iCs/>
          <w:spacing w:val="-2"/>
          <w:lang w:val="fr-FR"/>
        </w:rPr>
        <w:t xml:space="preserve"> </w:t>
      </w:r>
      <w:r w:rsidR="00380319" w:rsidRPr="00E05F46">
        <w:rPr>
          <w:bCs/>
          <w:iCs/>
          <w:spacing w:val="-2"/>
          <w:lang w:val="fr-FR"/>
        </w:rPr>
        <w:t>triệu</w:t>
      </w:r>
      <w:r w:rsidR="009147BA" w:rsidRPr="00E05F46">
        <w:rPr>
          <w:bCs/>
          <w:iCs/>
          <w:spacing w:val="-2"/>
          <w:lang w:val="fr-FR"/>
        </w:rPr>
        <w:t xml:space="preserve"> đồng</w:t>
      </w:r>
      <w:r w:rsidRPr="00E05F46">
        <w:rPr>
          <w:bCs/>
          <w:iCs/>
          <w:spacing w:val="-2"/>
          <w:lang w:val="fr-FR"/>
        </w:rPr>
        <w:t>)</w:t>
      </w:r>
      <w:r w:rsidR="009147BA" w:rsidRPr="00E05F46">
        <w:rPr>
          <w:bCs/>
          <w:iCs/>
          <w:spacing w:val="-2"/>
          <w:lang w:val="fr-FR"/>
        </w:rPr>
        <w:t>.</w:t>
      </w:r>
    </w:p>
    <w:p w14:paraId="07990823" w14:textId="719F218C" w:rsidR="009147BA" w:rsidRPr="00E05F46" w:rsidRDefault="009147BA" w:rsidP="00AB40F2">
      <w:pPr>
        <w:ind w:firstLine="709"/>
        <w:jc w:val="both"/>
        <w:rPr>
          <w:bCs/>
          <w:iCs/>
          <w:spacing w:val="-2"/>
          <w:lang w:val="fr-FR"/>
        </w:rPr>
      </w:pPr>
      <w:r w:rsidRPr="00E05F46">
        <w:rPr>
          <w:bCs/>
          <w:iCs/>
          <w:spacing w:val="-2"/>
          <w:lang w:val="fr-FR"/>
        </w:rPr>
        <w:t xml:space="preserve">- Kiểm toán chuyên đề Hoạt động quản lý, sử dụng ngân sách năm 2016 của huyện Can Lộc (năm 2017): </w:t>
      </w:r>
      <w:r w:rsidR="00380319" w:rsidRPr="00E05F46">
        <w:rPr>
          <w:bCs/>
          <w:iCs/>
          <w:spacing w:val="-2"/>
          <w:lang w:val="fr-FR"/>
        </w:rPr>
        <w:t>79</w:t>
      </w:r>
      <w:r w:rsidR="00F77FF7" w:rsidRPr="00E05F46">
        <w:rPr>
          <w:bCs/>
          <w:iCs/>
          <w:spacing w:val="-2"/>
          <w:lang w:val="fr-FR"/>
        </w:rPr>
        <w:t xml:space="preserve"> t</w:t>
      </w:r>
      <w:r w:rsidR="00380319" w:rsidRPr="00E05F46">
        <w:rPr>
          <w:bCs/>
          <w:iCs/>
          <w:spacing w:val="-2"/>
          <w:lang w:val="fr-FR"/>
        </w:rPr>
        <w:t>riệu</w:t>
      </w:r>
      <w:r w:rsidR="00F77FF7" w:rsidRPr="00E05F46">
        <w:rPr>
          <w:bCs/>
          <w:iCs/>
          <w:spacing w:val="-2"/>
          <w:lang w:val="fr-FR"/>
        </w:rPr>
        <w:t xml:space="preserve"> đồng</w:t>
      </w:r>
    </w:p>
    <w:p w14:paraId="576D4835" w14:textId="47F08296" w:rsidR="009147BA" w:rsidRPr="00E05F46" w:rsidRDefault="009147BA" w:rsidP="00AB40F2">
      <w:pPr>
        <w:ind w:firstLine="709"/>
        <w:jc w:val="both"/>
        <w:rPr>
          <w:bCs/>
          <w:iCs/>
          <w:spacing w:val="-2"/>
          <w:lang w:val="fr-FR"/>
        </w:rPr>
      </w:pPr>
      <w:r w:rsidRPr="00E05F46">
        <w:rPr>
          <w:bCs/>
          <w:iCs/>
          <w:spacing w:val="-2"/>
          <w:lang w:val="fr-FR"/>
        </w:rPr>
        <w:t>- Kiểm toán hoạt động xây dựng và việc quản lý, sử dụng vốn đầu tư Dự án cấp nước cho khu vực kinh tế Vũng Áng, tỉnh Hà Tĩnh: 2</w:t>
      </w:r>
      <w:r w:rsidR="00380319" w:rsidRPr="00E05F46">
        <w:rPr>
          <w:bCs/>
          <w:iCs/>
          <w:spacing w:val="-2"/>
          <w:lang w:val="fr-FR"/>
        </w:rPr>
        <w:t>.</w:t>
      </w:r>
      <w:r w:rsidRPr="00E05F46">
        <w:rPr>
          <w:bCs/>
          <w:iCs/>
          <w:spacing w:val="-2"/>
          <w:lang w:val="fr-FR"/>
        </w:rPr>
        <w:t>52</w:t>
      </w:r>
      <w:r w:rsidR="00456ECB" w:rsidRPr="00E05F46">
        <w:rPr>
          <w:bCs/>
          <w:iCs/>
          <w:spacing w:val="-2"/>
          <w:lang w:val="fr-FR"/>
        </w:rPr>
        <w:t>3 t</w:t>
      </w:r>
      <w:r w:rsidR="00380319" w:rsidRPr="00E05F46">
        <w:rPr>
          <w:bCs/>
          <w:iCs/>
          <w:spacing w:val="-2"/>
          <w:lang w:val="fr-FR"/>
        </w:rPr>
        <w:t>riệu</w:t>
      </w:r>
      <w:r w:rsidRPr="00E05F46">
        <w:rPr>
          <w:bCs/>
          <w:iCs/>
          <w:spacing w:val="-2"/>
          <w:lang w:val="fr-FR"/>
        </w:rPr>
        <w:t xml:space="preserve"> đồng.</w:t>
      </w:r>
    </w:p>
    <w:p w14:paraId="5A0A656D" w14:textId="795D2828" w:rsidR="009147BA" w:rsidRPr="00E05F46" w:rsidRDefault="009147BA" w:rsidP="00AB40F2">
      <w:pPr>
        <w:ind w:firstLine="709"/>
        <w:jc w:val="both"/>
        <w:rPr>
          <w:bCs/>
          <w:iCs/>
          <w:spacing w:val="-2"/>
          <w:lang w:val="fr-FR"/>
        </w:rPr>
      </w:pPr>
      <w:r w:rsidRPr="00E05F46">
        <w:rPr>
          <w:bCs/>
          <w:iCs/>
          <w:spacing w:val="-2"/>
          <w:lang w:val="fr-FR"/>
        </w:rPr>
        <w:t>- Kiểm toán Dự án công trình Hệ thống thủy lợi Ngàn Tươi - Cẩm Trang tỉnh Hà Tĩnh: 6</w:t>
      </w:r>
      <w:r w:rsidR="00380319" w:rsidRPr="00E05F46">
        <w:rPr>
          <w:bCs/>
          <w:iCs/>
          <w:spacing w:val="-2"/>
          <w:lang w:val="fr-FR"/>
        </w:rPr>
        <w:t>.</w:t>
      </w:r>
      <w:r w:rsidRPr="00E05F46">
        <w:rPr>
          <w:bCs/>
          <w:iCs/>
          <w:spacing w:val="-2"/>
          <w:lang w:val="fr-FR"/>
        </w:rPr>
        <w:t>653</w:t>
      </w:r>
      <w:r w:rsidR="00456ECB" w:rsidRPr="00E05F46">
        <w:rPr>
          <w:bCs/>
          <w:iCs/>
          <w:spacing w:val="-2"/>
          <w:lang w:val="fr-FR"/>
        </w:rPr>
        <w:t xml:space="preserve"> t</w:t>
      </w:r>
      <w:r w:rsidR="00380319" w:rsidRPr="00E05F46">
        <w:rPr>
          <w:bCs/>
          <w:iCs/>
          <w:spacing w:val="-2"/>
          <w:lang w:val="fr-FR"/>
        </w:rPr>
        <w:t>riệu</w:t>
      </w:r>
      <w:r w:rsidRPr="00E05F46">
        <w:rPr>
          <w:bCs/>
          <w:iCs/>
          <w:spacing w:val="-2"/>
          <w:lang w:val="fr-FR"/>
        </w:rPr>
        <w:t xml:space="preserve"> đồng.</w:t>
      </w:r>
    </w:p>
    <w:p w14:paraId="2F8E1579" w14:textId="77777777" w:rsidR="002F41FD" w:rsidRPr="00E05F46" w:rsidRDefault="009147BA" w:rsidP="00380319">
      <w:pPr>
        <w:ind w:firstLine="709"/>
        <w:jc w:val="both"/>
        <w:rPr>
          <w:bCs/>
          <w:iCs/>
          <w:spacing w:val="-2"/>
          <w:lang w:val="fr-FR"/>
        </w:rPr>
      </w:pPr>
      <w:r w:rsidRPr="00E05F46">
        <w:rPr>
          <w:bCs/>
          <w:iCs/>
          <w:spacing w:val="-2"/>
          <w:lang w:val="fr-FR"/>
        </w:rPr>
        <w:t xml:space="preserve">- Kiểm toán </w:t>
      </w:r>
      <w:r w:rsidR="00456ECB" w:rsidRPr="00E05F46">
        <w:rPr>
          <w:bCs/>
          <w:iCs/>
          <w:spacing w:val="-2"/>
          <w:lang w:val="fr-FR"/>
        </w:rPr>
        <w:t>Chuyên đề quản lý sử dụng quỹ bảo vệ và phát triển rừng giai đoạn 2020-2022</w:t>
      </w:r>
      <w:r w:rsidRPr="00E05F46">
        <w:rPr>
          <w:bCs/>
          <w:iCs/>
          <w:spacing w:val="-2"/>
          <w:lang w:val="fr-FR"/>
        </w:rPr>
        <w:t xml:space="preserve">: </w:t>
      </w:r>
      <w:r w:rsidR="00456ECB" w:rsidRPr="00E05F46">
        <w:rPr>
          <w:bCs/>
          <w:iCs/>
          <w:spacing w:val="-2"/>
          <w:lang w:val="fr-FR"/>
        </w:rPr>
        <w:t>16</w:t>
      </w:r>
      <w:r w:rsidR="00380319" w:rsidRPr="00E05F46">
        <w:rPr>
          <w:bCs/>
          <w:iCs/>
          <w:spacing w:val="-2"/>
          <w:lang w:val="fr-FR"/>
        </w:rPr>
        <w:t>.</w:t>
      </w:r>
      <w:r w:rsidR="00456ECB" w:rsidRPr="00E05F46">
        <w:rPr>
          <w:bCs/>
          <w:iCs/>
          <w:spacing w:val="-2"/>
          <w:lang w:val="fr-FR"/>
        </w:rPr>
        <w:t>332 t</w:t>
      </w:r>
      <w:r w:rsidR="00380319" w:rsidRPr="00E05F46">
        <w:rPr>
          <w:bCs/>
          <w:iCs/>
          <w:spacing w:val="-2"/>
          <w:lang w:val="fr-FR"/>
        </w:rPr>
        <w:t>riệu</w:t>
      </w:r>
      <w:r w:rsidRPr="00E05F46">
        <w:rPr>
          <w:bCs/>
          <w:iCs/>
          <w:spacing w:val="-2"/>
          <w:lang w:val="fr-FR"/>
        </w:rPr>
        <w:t xml:space="preserve"> đồng.</w:t>
      </w:r>
    </w:p>
    <w:p w14:paraId="4FFAFAB7" w14:textId="1EDC6582" w:rsidR="0070723D" w:rsidRPr="00E05F46" w:rsidRDefault="007D7470" w:rsidP="00FA3D29">
      <w:pPr>
        <w:ind w:firstLine="709"/>
        <w:jc w:val="center"/>
        <w:rPr>
          <w:i/>
          <w:lang w:val="fr-FR"/>
        </w:rPr>
      </w:pPr>
      <w:r w:rsidRPr="00E05F46">
        <w:rPr>
          <w:i/>
          <w:lang w:val="fr-FR"/>
        </w:rPr>
        <w:t xml:space="preserve">(Chi tiết theo </w:t>
      </w:r>
      <w:r w:rsidR="000179B4" w:rsidRPr="00E05F46">
        <w:rPr>
          <w:i/>
          <w:lang w:val="fr-FR"/>
        </w:rPr>
        <w:t xml:space="preserve">các </w:t>
      </w:r>
      <w:r w:rsidRPr="00E05F46">
        <w:rPr>
          <w:i/>
          <w:lang w:val="fr-FR"/>
        </w:rPr>
        <w:t xml:space="preserve">phụ lục </w:t>
      </w:r>
      <w:r w:rsidR="000179B4" w:rsidRPr="00E05F46">
        <w:rPr>
          <w:i/>
          <w:lang w:val="fr-FR"/>
        </w:rPr>
        <w:t>kèm</w:t>
      </w:r>
      <w:r w:rsidR="009915D1" w:rsidRPr="00E05F46">
        <w:rPr>
          <w:i/>
          <w:lang w:val="fr-FR"/>
        </w:rPr>
        <w:t xml:space="preserve"> theo</w:t>
      </w:r>
      <w:r w:rsidRPr="00E05F46">
        <w:rPr>
          <w:i/>
          <w:lang w:val="fr-FR"/>
        </w:rPr>
        <w:t>)</w:t>
      </w:r>
    </w:p>
    <w:p w14:paraId="77662EC1" w14:textId="62E21500" w:rsidR="00225005" w:rsidRPr="00A6593A" w:rsidRDefault="0070723D" w:rsidP="00DB110F">
      <w:pPr>
        <w:jc w:val="both"/>
        <w:rPr>
          <w:b/>
          <w:lang w:val="fr-FR"/>
        </w:rPr>
      </w:pPr>
      <w:r w:rsidRPr="00E05F46">
        <w:rPr>
          <w:i/>
          <w:lang w:val="fr-FR"/>
        </w:rPr>
        <w:tab/>
      </w:r>
      <w:r w:rsidRPr="00E05F46">
        <w:rPr>
          <w:iCs/>
          <w:lang w:val="fr-FR"/>
        </w:rPr>
        <w:t xml:space="preserve">Trong thời gian tới, UBND tỉnh sẽ tiếp tục đôn đốc, chỉ đạo các địa phương </w:t>
      </w:r>
      <w:r w:rsidR="00A23C71" w:rsidRPr="00E05F46">
        <w:rPr>
          <w:iCs/>
          <w:lang w:val="fr-FR"/>
        </w:rPr>
        <w:t xml:space="preserve">quyết liệt triển khai đồng bộ các giải pháp để thực hiện nghiêm các kiến nghị của kiểm toán nhà nước; đồng thời báo cáo Bộ Tài chính, Kiểm toán Nhà nước </w:t>
      </w:r>
      <w:r w:rsidR="00DD0070" w:rsidRPr="00E05F46">
        <w:rPr>
          <w:iCs/>
          <w:lang w:val="fr-FR"/>
        </w:rPr>
        <w:t>xem xét, trình cấp có thẩm quyền xử lý các kiến nghị không có khả năng thực hiện</w:t>
      </w:r>
      <w:r w:rsidR="000D6A88" w:rsidRPr="00E05F46">
        <w:rPr>
          <w:iCs/>
          <w:lang w:val="fr-FR"/>
        </w:rPr>
        <w:t>.</w:t>
      </w:r>
      <w:r w:rsidR="00225005" w:rsidRPr="00A6593A">
        <w:rPr>
          <w:b/>
          <w:lang w:val="fr-FR"/>
        </w:rPr>
        <w:br w:type="page"/>
      </w:r>
    </w:p>
    <w:p w14:paraId="0F575238" w14:textId="0FE8F75C" w:rsidR="001C2919" w:rsidRPr="00A6593A" w:rsidRDefault="00410A8D" w:rsidP="00AB40F2">
      <w:pPr>
        <w:spacing w:before="120" w:after="120"/>
        <w:jc w:val="center"/>
        <w:rPr>
          <w:b/>
          <w:lang w:val="fr-FR"/>
        </w:rPr>
      </w:pPr>
      <w:r w:rsidRPr="00A6593A">
        <w:rPr>
          <w:b/>
          <w:lang w:val="fr-FR"/>
        </w:rPr>
        <w:lastRenderedPageBreak/>
        <w:t>PHẦN THỨ TƯ</w:t>
      </w:r>
    </w:p>
    <w:p w14:paraId="23F9E27F" w14:textId="5ED9C7C9" w:rsidR="001C2919" w:rsidRPr="00A6593A" w:rsidRDefault="001C2919" w:rsidP="00AB40F2">
      <w:pPr>
        <w:spacing w:before="60" w:after="60"/>
        <w:jc w:val="center"/>
        <w:rPr>
          <w:b/>
          <w:sz w:val="26"/>
          <w:szCs w:val="26"/>
          <w:lang w:val="fr-FR"/>
        </w:rPr>
      </w:pPr>
      <w:r w:rsidRPr="00A6593A">
        <w:rPr>
          <w:b/>
          <w:sz w:val="26"/>
          <w:szCs w:val="26"/>
          <w:lang w:val="fr-FR"/>
        </w:rPr>
        <w:t>KẾT LUẬN</w:t>
      </w:r>
    </w:p>
    <w:p w14:paraId="3D98EA06" w14:textId="77777777" w:rsidR="001C2919" w:rsidRPr="00A6593A" w:rsidRDefault="001C2919" w:rsidP="00AB40F2">
      <w:pPr>
        <w:spacing w:before="60" w:after="60"/>
        <w:ind w:firstLine="720"/>
        <w:jc w:val="both"/>
        <w:rPr>
          <w:bCs/>
          <w:iCs/>
          <w:lang w:val="fr-FR"/>
        </w:rPr>
      </w:pPr>
    </w:p>
    <w:p w14:paraId="1D5B964F" w14:textId="77777777" w:rsidR="00C129A3" w:rsidRPr="00A6593A" w:rsidRDefault="00C129A3" w:rsidP="00DB110F">
      <w:pPr>
        <w:pStyle w:val="NormalWeb"/>
        <w:spacing w:before="60" w:beforeAutospacing="0" w:after="60" w:afterAutospacing="0" w:line="288" w:lineRule="auto"/>
        <w:ind w:firstLine="709"/>
        <w:jc w:val="both"/>
        <w:rPr>
          <w:sz w:val="28"/>
          <w:szCs w:val="28"/>
          <w:lang w:val="fr-FR"/>
        </w:rPr>
      </w:pPr>
      <w:r w:rsidRPr="00A6593A">
        <w:rPr>
          <w:sz w:val="28"/>
          <w:szCs w:val="28"/>
          <w:lang w:val="fr-FR"/>
        </w:rPr>
        <w:t>Năm 2024 là năm thứ ba của thời kỳ ổn định ngân sách 2022–2025, giữ vai trò bản lề trong việc thực hiện Kế hoạch phát triển kinh tế – xã hội 5 năm 2021–2025 và chuẩn bị tổ chức Đại hội Đảng các cấp. Trong bối cảnh còn nhiều khó khăn, thách thức, dưới sự lãnh đạo, chỉ đạo sâu sát của Tỉnh ủy, HĐND, UBND tỉnh và sự nỗ lực của các cấp, các ngành, công tác quản lý, điều hành tài chính – ngân sách đã đạt nhiều kết quả tích cực.</w:t>
      </w:r>
    </w:p>
    <w:p w14:paraId="5DA215CF" w14:textId="08A88C49" w:rsidR="00C129A3" w:rsidRPr="00A6593A" w:rsidRDefault="00C129A3" w:rsidP="00DB110F">
      <w:pPr>
        <w:pStyle w:val="NormalWeb"/>
        <w:spacing w:before="60" w:beforeAutospacing="0" w:after="60" w:afterAutospacing="0" w:line="288" w:lineRule="auto"/>
        <w:ind w:firstLine="709"/>
        <w:jc w:val="both"/>
        <w:rPr>
          <w:sz w:val="28"/>
          <w:szCs w:val="28"/>
          <w:lang w:val="fr-FR"/>
        </w:rPr>
      </w:pPr>
      <w:r w:rsidRPr="00A6593A">
        <w:rPr>
          <w:sz w:val="28"/>
          <w:szCs w:val="28"/>
          <w:lang w:val="fr-FR"/>
        </w:rPr>
        <w:t xml:space="preserve">Tổng thu ngân sách nhà nước trên địa bàn vượt cả dự toán Trung ương </w:t>
      </w:r>
      <w:r w:rsidR="009737A4" w:rsidRPr="00A6593A">
        <w:rPr>
          <w:sz w:val="28"/>
          <w:szCs w:val="28"/>
          <w:lang w:val="fr-FR"/>
        </w:rPr>
        <w:t xml:space="preserve">(tăng 17%) </w:t>
      </w:r>
      <w:r w:rsidRPr="00A6593A">
        <w:rPr>
          <w:sz w:val="28"/>
          <w:szCs w:val="28"/>
          <w:lang w:val="fr-FR"/>
        </w:rPr>
        <w:t xml:space="preserve">và HĐND tỉnh </w:t>
      </w:r>
      <w:r w:rsidR="009737A4" w:rsidRPr="00A6593A">
        <w:rPr>
          <w:sz w:val="28"/>
          <w:szCs w:val="28"/>
          <w:lang w:val="fr-FR"/>
        </w:rPr>
        <w:t xml:space="preserve">(tăng 3%) </w:t>
      </w:r>
      <w:r w:rsidRPr="00A6593A">
        <w:rPr>
          <w:sz w:val="28"/>
          <w:szCs w:val="28"/>
          <w:lang w:val="fr-FR"/>
        </w:rPr>
        <w:t>giao, góp phần tăng cường tiềm lực tài chính địa phương. Công tác chi ngân sách cơ bản đảm bảo đúng mục tiêu, định hướng, đặc biệt là chi đầu tư phát triển đạt cao, tập trung cho các công trình, dự án trọng điểm, cấp thiết. Một số lĩnh vực chi thường xuyên cũng được thực hiện vượt hoặc tiệm cận dự toán, đáp ứng tốt yêu cầu nhiệm vụ phát triển kinh tế – xã hội và đảm bảo an sinh trên địa bàn.</w:t>
      </w:r>
    </w:p>
    <w:p w14:paraId="2E2BA07C" w14:textId="3270F2A2" w:rsidR="00C129A3" w:rsidRPr="00A6593A" w:rsidRDefault="00C129A3" w:rsidP="00DB110F">
      <w:pPr>
        <w:pStyle w:val="NormalWeb"/>
        <w:spacing w:before="60" w:beforeAutospacing="0" w:after="60" w:afterAutospacing="0" w:line="288" w:lineRule="auto"/>
        <w:ind w:firstLine="709"/>
        <w:jc w:val="both"/>
        <w:rPr>
          <w:sz w:val="28"/>
          <w:szCs w:val="28"/>
          <w:lang w:val="fr-FR"/>
        </w:rPr>
      </w:pPr>
      <w:r w:rsidRPr="00A6593A">
        <w:rPr>
          <w:sz w:val="28"/>
          <w:szCs w:val="28"/>
          <w:lang w:val="fr-FR"/>
        </w:rPr>
        <w:t xml:space="preserve">Tuy nhiên, vẫn còn một số hạn chế cần khắc phục: </w:t>
      </w:r>
      <w:r w:rsidR="00DB110F" w:rsidRPr="00A6593A">
        <w:rPr>
          <w:sz w:val="28"/>
          <w:szCs w:val="28"/>
          <w:lang w:val="fr-FR"/>
        </w:rPr>
        <w:t>t</w:t>
      </w:r>
      <w:r w:rsidRPr="00A6593A">
        <w:rPr>
          <w:sz w:val="28"/>
          <w:szCs w:val="28"/>
          <w:lang w:val="fr-FR"/>
        </w:rPr>
        <w:t>iến độ thực hiện một số chương trình, đề án, chính sách còn chậm; tỷ lệ giải ngân vốn sự nghiệp, chương trình mục tiêu quốc gia và một số nhiệm vụ chi đầu tư phát triển chưa đạt yêu cầu, phải chuyển nguồn sang năm sau. Một số khoản chi tuy đã phân bổ nhưng chưa đủ điều kiện thanh toán, ảnh hưởng đến hiệu quả sử dụng ngân sách.</w:t>
      </w:r>
    </w:p>
    <w:p w14:paraId="5AB8794E" w14:textId="6CE8A0DF" w:rsidR="00C129A3" w:rsidRPr="00A6593A" w:rsidRDefault="00C129A3" w:rsidP="00DB110F">
      <w:pPr>
        <w:pStyle w:val="NormalWeb"/>
        <w:spacing w:before="60" w:beforeAutospacing="0" w:after="60" w:afterAutospacing="0" w:line="288" w:lineRule="auto"/>
        <w:ind w:firstLine="709"/>
        <w:jc w:val="both"/>
        <w:rPr>
          <w:sz w:val="28"/>
          <w:szCs w:val="28"/>
          <w:lang w:val="fr-FR"/>
        </w:rPr>
      </w:pPr>
      <w:r w:rsidRPr="00A6593A">
        <w:rPr>
          <w:rStyle w:val="Strong"/>
          <w:b w:val="0"/>
          <w:bCs w:val="0"/>
          <w:sz w:val="28"/>
          <w:szCs w:val="28"/>
          <w:lang w:val="fr-FR"/>
        </w:rPr>
        <w:t xml:space="preserve">Trong thời gian tới, </w:t>
      </w:r>
      <w:r w:rsidR="00545FB1" w:rsidRPr="00A6593A">
        <w:rPr>
          <w:rStyle w:val="Strong"/>
          <w:b w:val="0"/>
          <w:bCs w:val="0"/>
          <w:sz w:val="28"/>
          <w:szCs w:val="28"/>
          <w:lang w:val="fr-FR"/>
        </w:rPr>
        <w:t xml:space="preserve">UBND tỉnh sẽ quyết liệt chỉ đạo </w:t>
      </w:r>
      <w:r w:rsidRPr="00A6593A">
        <w:rPr>
          <w:rStyle w:val="Strong"/>
          <w:b w:val="0"/>
          <w:bCs w:val="0"/>
          <w:sz w:val="28"/>
          <w:szCs w:val="28"/>
          <w:lang w:val="fr-FR"/>
        </w:rPr>
        <w:t xml:space="preserve">các ngành, các </w:t>
      </w:r>
      <w:r w:rsidR="00731F90" w:rsidRPr="00A6593A">
        <w:rPr>
          <w:rStyle w:val="Strong"/>
          <w:b w:val="0"/>
          <w:bCs w:val="0"/>
          <w:sz w:val="28"/>
          <w:szCs w:val="28"/>
          <w:lang w:val="fr-FR"/>
        </w:rPr>
        <w:t xml:space="preserve">địa phương </w:t>
      </w:r>
      <w:r w:rsidRPr="00A6593A">
        <w:rPr>
          <w:rStyle w:val="Strong"/>
          <w:b w:val="0"/>
          <w:bCs w:val="0"/>
          <w:sz w:val="28"/>
          <w:szCs w:val="28"/>
          <w:lang w:val="fr-FR"/>
        </w:rPr>
        <w:t xml:space="preserve">tiếp tục nâng cao tinh thần trách nhiệm, chủ động triển khai quyết liệt, đồng bộ các giải pháp nhằm khắc phục tồn tại; đẩy nhanh tiến độ giải ngân; tăng cường kỷ luật tài chính </w:t>
      </w:r>
      <w:r w:rsidR="00CE54FD">
        <w:rPr>
          <w:rStyle w:val="Strong"/>
          <w:b w:val="0"/>
          <w:bCs w:val="0"/>
          <w:sz w:val="28"/>
          <w:szCs w:val="28"/>
          <w:lang w:val="fr-FR"/>
        </w:rPr>
        <w:t>-</w:t>
      </w:r>
      <w:r w:rsidRPr="00A6593A">
        <w:rPr>
          <w:rStyle w:val="Strong"/>
          <w:b w:val="0"/>
          <w:bCs w:val="0"/>
          <w:sz w:val="28"/>
          <w:szCs w:val="28"/>
          <w:lang w:val="fr-FR"/>
        </w:rPr>
        <w:t xml:space="preserve"> ngân sách; nâng cao hiệu quả sử dụng ngân sách nhà nước, góp phần hoàn thành thắng lợi các mục tiêu phát triển kinh tế – xã hội giai đoạn 2021</w:t>
      </w:r>
      <w:r w:rsidR="00CE54FD">
        <w:rPr>
          <w:rStyle w:val="Strong"/>
          <w:b w:val="0"/>
          <w:bCs w:val="0"/>
          <w:sz w:val="28"/>
          <w:szCs w:val="28"/>
          <w:lang w:val="fr-FR"/>
        </w:rPr>
        <w:t>-</w:t>
      </w:r>
      <w:r w:rsidRPr="00A6593A">
        <w:rPr>
          <w:rStyle w:val="Strong"/>
          <w:b w:val="0"/>
          <w:bCs w:val="0"/>
          <w:sz w:val="28"/>
          <w:szCs w:val="28"/>
          <w:lang w:val="fr-FR"/>
        </w:rPr>
        <w:t>2025.</w:t>
      </w:r>
    </w:p>
    <w:p w14:paraId="62E87A65" w14:textId="77777777" w:rsidR="001C2919" w:rsidRPr="00A6593A" w:rsidRDefault="001C2919" w:rsidP="007F37AE">
      <w:pPr>
        <w:spacing w:before="60" w:after="60" w:line="252" w:lineRule="auto"/>
        <w:ind w:firstLine="720"/>
        <w:jc w:val="both"/>
        <w:rPr>
          <w:lang w:val="fr-FR"/>
        </w:rPr>
      </w:pPr>
    </w:p>
    <w:tbl>
      <w:tblPr>
        <w:tblW w:w="9072" w:type="dxa"/>
        <w:tblInd w:w="108" w:type="dxa"/>
        <w:tblLayout w:type="fixed"/>
        <w:tblLook w:val="0000" w:firstRow="0" w:lastRow="0" w:firstColumn="0" w:lastColumn="0" w:noHBand="0" w:noVBand="0"/>
      </w:tblPr>
      <w:tblGrid>
        <w:gridCol w:w="3953"/>
        <w:gridCol w:w="5119"/>
      </w:tblGrid>
      <w:tr w:rsidR="00586E4F" w:rsidRPr="00E05F46" w14:paraId="6AC8139D" w14:textId="77777777" w:rsidTr="005C0386">
        <w:trPr>
          <w:trHeight w:val="2127"/>
        </w:trPr>
        <w:tc>
          <w:tcPr>
            <w:tcW w:w="3953" w:type="dxa"/>
          </w:tcPr>
          <w:p w14:paraId="768F45DD" w14:textId="77777777" w:rsidR="002E5078" w:rsidRPr="00E05F46" w:rsidRDefault="002E5078" w:rsidP="00D360AA">
            <w:pPr>
              <w:spacing w:before="120"/>
              <w:ind w:left="-108"/>
              <w:rPr>
                <w:lang w:val="fr-FR"/>
              </w:rPr>
            </w:pPr>
            <w:r w:rsidRPr="00E05F46">
              <w:rPr>
                <w:b/>
                <w:bCs/>
                <w:i/>
                <w:iCs/>
                <w:sz w:val="24"/>
                <w:szCs w:val="24"/>
                <w:lang w:val="fr-FR"/>
              </w:rPr>
              <w:t>Nơi nhận</w:t>
            </w:r>
            <w:r w:rsidRPr="00E05F46">
              <w:rPr>
                <w:lang w:val="fr-FR"/>
              </w:rPr>
              <w:t>:</w:t>
            </w:r>
          </w:p>
          <w:p w14:paraId="71783255" w14:textId="77777777" w:rsidR="002E5078" w:rsidRPr="00E05F46" w:rsidRDefault="003607BA" w:rsidP="00D360AA">
            <w:pPr>
              <w:ind w:left="-108"/>
              <w:rPr>
                <w:sz w:val="22"/>
                <w:szCs w:val="22"/>
                <w:lang w:val="vi-VN"/>
              </w:rPr>
            </w:pPr>
            <w:r w:rsidRPr="00E05F46">
              <w:rPr>
                <w:sz w:val="22"/>
                <w:szCs w:val="22"/>
                <w:lang w:val="fr-FR"/>
              </w:rPr>
              <w:t>- Thường trực</w:t>
            </w:r>
            <w:r w:rsidR="002E5078" w:rsidRPr="00E05F46">
              <w:rPr>
                <w:sz w:val="22"/>
                <w:szCs w:val="22"/>
                <w:lang w:val="fr-FR"/>
              </w:rPr>
              <w:t xml:space="preserve"> HĐND tỉnh</w:t>
            </w:r>
            <w:r w:rsidR="002E5078" w:rsidRPr="00E05F46">
              <w:rPr>
                <w:sz w:val="22"/>
                <w:szCs w:val="22"/>
                <w:lang w:val="vi-VN"/>
              </w:rPr>
              <w:t>;</w:t>
            </w:r>
          </w:p>
          <w:p w14:paraId="2B2FDB3F" w14:textId="77777777" w:rsidR="002E5078" w:rsidRPr="00E05F46" w:rsidRDefault="002E5078" w:rsidP="00D360AA">
            <w:pPr>
              <w:ind w:left="-108"/>
              <w:rPr>
                <w:sz w:val="22"/>
                <w:szCs w:val="22"/>
                <w:lang w:val="vi-VN"/>
              </w:rPr>
            </w:pPr>
            <w:r w:rsidRPr="00E05F46">
              <w:rPr>
                <w:sz w:val="22"/>
                <w:szCs w:val="22"/>
                <w:lang w:val="vi-VN"/>
              </w:rPr>
              <w:t>- Chủ tịch, các PCT UBND tỉnh;</w:t>
            </w:r>
          </w:p>
          <w:p w14:paraId="65FAB6CF" w14:textId="1EA2F10D" w:rsidR="002E5078" w:rsidRPr="00E05F46" w:rsidRDefault="002E5078" w:rsidP="00D360AA">
            <w:pPr>
              <w:ind w:left="-108"/>
              <w:rPr>
                <w:sz w:val="22"/>
                <w:szCs w:val="22"/>
                <w:lang w:val="vi-VN"/>
              </w:rPr>
            </w:pPr>
            <w:r w:rsidRPr="00E05F46">
              <w:rPr>
                <w:sz w:val="22"/>
                <w:szCs w:val="22"/>
                <w:lang w:val="vi-VN"/>
              </w:rPr>
              <w:t>- Các Đại biểu HĐND tỉnh;</w:t>
            </w:r>
          </w:p>
          <w:p w14:paraId="6C064F98" w14:textId="218702E2" w:rsidR="00832640" w:rsidRPr="00E05F46" w:rsidRDefault="00832640" w:rsidP="00D360AA">
            <w:pPr>
              <w:ind w:left="-108"/>
              <w:rPr>
                <w:sz w:val="22"/>
                <w:szCs w:val="22"/>
                <w:lang w:val="vi-VN"/>
              </w:rPr>
            </w:pPr>
            <w:r w:rsidRPr="00E05F46">
              <w:rPr>
                <w:sz w:val="22"/>
                <w:szCs w:val="22"/>
                <w:lang w:val="vi-VN"/>
              </w:rPr>
              <w:t>- Sở Tài chính;</w:t>
            </w:r>
          </w:p>
          <w:p w14:paraId="5E440282" w14:textId="77777777" w:rsidR="002E5078" w:rsidRPr="00E05F46" w:rsidRDefault="003607BA" w:rsidP="00D360AA">
            <w:pPr>
              <w:ind w:left="-108"/>
              <w:rPr>
                <w:sz w:val="22"/>
                <w:szCs w:val="22"/>
                <w:lang w:val="vi-VN"/>
              </w:rPr>
            </w:pPr>
            <w:r w:rsidRPr="00E05F46">
              <w:rPr>
                <w:sz w:val="22"/>
                <w:szCs w:val="22"/>
                <w:lang w:val="vi-VN"/>
              </w:rPr>
              <w:t>- Chánh Văn phòng;</w:t>
            </w:r>
          </w:p>
          <w:p w14:paraId="722110DC" w14:textId="337809AB" w:rsidR="002E5078" w:rsidRPr="00E05F46" w:rsidRDefault="002E5078" w:rsidP="00D360AA">
            <w:pPr>
              <w:ind w:left="-108"/>
              <w:rPr>
                <w:sz w:val="22"/>
                <w:szCs w:val="22"/>
              </w:rPr>
            </w:pPr>
            <w:r w:rsidRPr="00E05F46">
              <w:rPr>
                <w:sz w:val="22"/>
                <w:szCs w:val="22"/>
              </w:rPr>
              <w:t>- Lưu : VT</w:t>
            </w:r>
            <w:r w:rsidRPr="00E05F46">
              <w:rPr>
                <w:sz w:val="22"/>
                <w:szCs w:val="22"/>
                <w:lang w:val="vi-VN"/>
              </w:rPr>
              <w:t xml:space="preserve">, </w:t>
            </w:r>
            <w:r w:rsidRPr="00E05F46">
              <w:rPr>
                <w:sz w:val="22"/>
                <w:szCs w:val="22"/>
              </w:rPr>
              <w:t>T</w:t>
            </w:r>
            <w:r w:rsidR="003607BA" w:rsidRPr="00E05F46">
              <w:rPr>
                <w:sz w:val="22"/>
                <w:szCs w:val="22"/>
              </w:rPr>
              <w:t>H</w:t>
            </w:r>
            <w:r w:rsidR="00D360AA" w:rsidRPr="00E05F46">
              <w:rPr>
                <w:sz w:val="22"/>
                <w:szCs w:val="22"/>
                <w:vertAlign w:val="subscript"/>
              </w:rPr>
              <w:t>1</w:t>
            </w:r>
            <w:r w:rsidRPr="00E05F46">
              <w:rPr>
                <w:sz w:val="22"/>
                <w:szCs w:val="22"/>
              </w:rPr>
              <w:t>.</w:t>
            </w:r>
          </w:p>
        </w:tc>
        <w:tc>
          <w:tcPr>
            <w:tcW w:w="5119" w:type="dxa"/>
          </w:tcPr>
          <w:p w14:paraId="7990CDBE" w14:textId="77777777" w:rsidR="002E5078" w:rsidRPr="00E05F46" w:rsidRDefault="002E5078" w:rsidP="00CE17D0">
            <w:pPr>
              <w:spacing w:before="120"/>
              <w:jc w:val="right"/>
              <w:rPr>
                <w:b/>
                <w:bCs/>
              </w:rPr>
            </w:pPr>
            <w:r w:rsidRPr="00E05F46">
              <w:rPr>
                <w:b/>
                <w:bCs/>
              </w:rPr>
              <w:t>UỶ BAN NHÂN DÂN TỈNH</w:t>
            </w:r>
          </w:p>
          <w:p w14:paraId="4331DBBF" w14:textId="77777777" w:rsidR="002E5078" w:rsidRPr="00E05F46" w:rsidRDefault="002E5078" w:rsidP="00CE17D0"/>
        </w:tc>
      </w:tr>
    </w:tbl>
    <w:p w14:paraId="18A55716" w14:textId="77777777" w:rsidR="002E5078" w:rsidRPr="00E05F46" w:rsidRDefault="002E5078" w:rsidP="00B27F58">
      <w:pPr>
        <w:spacing w:line="264" w:lineRule="auto"/>
        <w:jc w:val="both"/>
      </w:pPr>
    </w:p>
    <w:sectPr w:rsidR="002E5078" w:rsidRPr="00E05F46" w:rsidSect="00930101">
      <w:headerReference w:type="default" r:id="rId7"/>
      <w:foot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F158" w14:textId="77777777" w:rsidR="009C732F" w:rsidRDefault="009C732F" w:rsidP="00432419">
      <w:r>
        <w:separator/>
      </w:r>
    </w:p>
  </w:endnote>
  <w:endnote w:type="continuationSeparator" w:id="0">
    <w:p w14:paraId="03FBCA33" w14:textId="77777777" w:rsidR="009C732F" w:rsidRDefault="009C732F" w:rsidP="0043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5BA0" w14:textId="033256C4" w:rsidR="006F5982" w:rsidRDefault="006F5982" w:rsidP="002879DA">
    <w:pPr>
      <w:pStyle w:val="Footer"/>
      <w:tabs>
        <w:tab w:val="clear" w:pos="4680"/>
        <w:tab w:val="clear" w:pos="9360"/>
        <w:tab w:val="left" w:pos="108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C814" w14:textId="77777777" w:rsidR="009C732F" w:rsidRDefault="009C732F" w:rsidP="00432419">
      <w:r>
        <w:separator/>
      </w:r>
    </w:p>
  </w:footnote>
  <w:footnote w:type="continuationSeparator" w:id="0">
    <w:p w14:paraId="4E232843" w14:textId="77777777" w:rsidR="009C732F" w:rsidRDefault="009C732F" w:rsidP="00432419">
      <w:r>
        <w:continuationSeparator/>
      </w:r>
    </w:p>
  </w:footnote>
  <w:footnote w:id="1">
    <w:p w14:paraId="1ECE7930" w14:textId="4F0D52C7" w:rsidR="00E43DFD" w:rsidRPr="00DB110F" w:rsidRDefault="008A4E0B" w:rsidP="009915D1">
      <w:pPr>
        <w:pStyle w:val="FootnoteText"/>
        <w:ind w:firstLine="567"/>
        <w:jc w:val="both"/>
      </w:pPr>
      <w:r w:rsidRPr="00DB110F">
        <w:rPr>
          <w:rStyle w:val="FootnoteReference"/>
        </w:rPr>
        <w:footnoteRef/>
      </w:r>
      <w:r w:rsidRPr="00DB110F">
        <w:t xml:space="preserve"> </w:t>
      </w:r>
      <w:r w:rsidR="00E43DFD" w:rsidRPr="00DB110F">
        <w:t>Sau khi Đoàn Kiểm toán Nhà nước theo Quyết định số 742/QĐ-KTNN ngày 21/5/2025 của Tổng Kiểm toán nhà nước về việc kiểm toán ngân sách địa phương và báo cáo quyết toán ngân sách địa phương năm 2024 của tỉnh Hà Tĩnh ban hành kiến nghị kiểm toán, UBND tỉnh Hà Tĩnh sẽ tiếp tục cập nhật, hoàn chỉnh báo cáo quyết toán ngân sách địa phương năm 2024.</w:t>
      </w:r>
    </w:p>
  </w:footnote>
  <w:footnote w:id="2">
    <w:p w14:paraId="5D1E8BE0" w14:textId="4B833CC5" w:rsidR="00A03916" w:rsidRPr="00DB110F" w:rsidRDefault="00A03916" w:rsidP="009915D1">
      <w:pPr>
        <w:pStyle w:val="FootnoteText"/>
        <w:ind w:firstLine="567"/>
        <w:jc w:val="both"/>
      </w:pPr>
      <w:r w:rsidRPr="00DB110F">
        <w:rPr>
          <w:rStyle w:val="FootnoteReference"/>
        </w:rPr>
        <w:footnoteRef/>
      </w:r>
      <w:r w:rsidRPr="00DB110F">
        <w:t xml:space="preserve"> Tổng thu chuyển giao giữa các cấp ngân sách (tỉnh, huyện, xã) là </w:t>
      </w:r>
      <w:r w:rsidR="00D47F6C" w:rsidRPr="00DB110F">
        <w:t xml:space="preserve">12.766.852 </w:t>
      </w:r>
      <w:r w:rsidRPr="00DB110F">
        <w:t xml:space="preserve">triệu đồng, gồm: Thu bổ sung từ ngân sách tỉnh (cho NS cấp huyện) </w:t>
      </w:r>
      <w:r w:rsidR="009859CF" w:rsidRPr="00DB110F">
        <w:t xml:space="preserve">9.656.313 </w:t>
      </w:r>
      <w:r w:rsidRPr="00DB110F">
        <w:t xml:space="preserve">triệu đồng, thu bổ sung từ ngân sách cấp huyện (cho NS cấp xã) </w:t>
      </w:r>
      <w:r w:rsidR="005605A0" w:rsidRPr="00DB110F">
        <w:t xml:space="preserve">3.010.545 </w:t>
      </w:r>
      <w:r w:rsidRPr="00DB110F">
        <w:t xml:space="preserve">triệu đồng, thu ngân sách cấp xã nộp lên (cho NS cấp huyện) </w:t>
      </w:r>
      <w:r w:rsidR="00FC68FD" w:rsidRPr="00DB110F">
        <w:t xml:space="preserve">22.482 </w:t>
      </w:r>
      <w:r w:rsidRPr="00DB110F">
        <w:t>t</w:t>
      </w:r>
      <w:r w:rsidR="00FD6653" w:rsidRPr="00DB110F">
        <w:t xml:space="preserve">riệu đồng, thu ngân sách cấp huyện nộp lên (cho NS tỉnh) là </w:t>
      </w:r>
      <w:r w:rsidR="009859CF" w:rsidRPr="00DB110F">
        <w:t xml:space="preserve">77.512 </w:t>
      </w:r>
      <w:r w:rsidR="00FD6653" w:rsidRPr="00DB110F">
        <w:t>triệu đồng.</w:t>
      </w:r>
    </w:p>
  </w:footnote>
  <w:footnote w:id="3">
    <w:p w14:paraId="3C906D36" w14:textId="56FCD35E" w:rsidR="00A03916" w:rsidRPr="00DB110F" w:rsidRDefault="00A03916" w:rsidP="009915D1">
      <w:pPr>
        <w:pStyle w:val="FootnoteText"/>
        <w:ind w:firstLine="567"/>
        <w:jc w:val="both"/>
      </w:pPr>
      <w:r w:rsidRPr="00DB110F">
        <w:rPr>
          <w:rStyle w:val="FootnoteReference"/>
        </w:rPr>
        <w:footnoteRef/>
      </w:r>
      <w:r w:rsidRPr="00DB110F">
        <w:t xml:space="preserve"> Tổng chi chuyển giao giữa các cấp ngân sách (tỉnh, huyện, xã) là </w:t>
      </w:r>
      <w:r w:rsidR="00CD3D33" w:rsidRPr="00DB110F">
        <w:t xml:space="preserve">12.766.852 </w:t>
      </w:r>
      <w:r w:rsidRPr="00DB110F">
        <w:t xml:space="preserve">triệu đồng, gồm: Chi bổ sung cho ngân sách cấp huyện (từ NS tỉnh) </w:t>
      </w:r>
      <w:r w:rsidR="00067883" w:rsidRPr="00DB110F">
        <w:t xml:space="preserve">9.656.313 </w:t>
      </w:r>
      <w:r w:rsidRPr="00DB110F">
        <w:t xml:space="preserve">triệu đồng, chi bổ sung cho ngân sách cấp xã (từ NS cấp huyện) </w:t>
      </w:r>
      <w:r w:rsidR="00067883" w:rsidRPr="00DB110F">
        <w:t xml:space="preserve">3.010.545 </w:t>
      </w:r>
      <w:r w:rsidRPr="00DB110F">
        <w:t>triệu đồng, chi nộp ngân sách cấp huyện (</w:t>
      </w:r>
      <w:r w:rsidR="00F56734" w:rsidRPr="00DB110F">
        <w:t xml:space="preserve">từ NS cấp xã) </w:t>
      </w:r>
      <w:r w:rsidR="00CD3D33" w:rsidRPr="00DB110F">
        <w:t xml:space="preserve">22.482 </w:t>
      </w:r>
      <w:r w:rsidR="00F56734" w:rsidRPr="00DB110F">
        <w:t xml:space="preserve">triệu đồng, chi nộp ngân sách tỉnh (từ NS cấp huyện) </w:t>
      </w:r>
      <w:r w:rsidR="00067883" w:rsidRPr="00DB110F">
        <w:t xml:space="preserve">77.512 </w:t>
      </w:r>
      <w:r w:rsidR="00F56734" w:rsidRPr="00DB110F">
        <w:t>triệu đồng.</w:t>
      </w:r>
    </w:p>
  </w:footnote>
  <w:footnote w:id="4">
    <w:p w14:paraId="6E8EA5C2" w14:textId="6281C585" w:rsidR="00CD3400" w:rsidRPr="00DB110F" w:rsidRDefault="00CD3400" w:rsidP="00CD3400">
      <w:pPr>
        <w:pStyle w:val="FootnoteText"/>
        <w:ind w:firstLine="567"/>
        <w:jc w:val="both"/>
      </w:pPr>
      <w:r w:rsidRPr="00DB110F">
        <w:rPr>
          <w:rStyle w:val="FootnoteReference"/>
        </w:rPr>
        <w:footnoteRef/>
      </w:r>
      <w:r w:rsidRPr="00DB110F">
        <w:t xml:space="preserve"> Nguyên nhân chủ yếu do </w:t>
      </w:r>
      <w:r w:rsidR="00F6232D" w:rsidRPr="00DB110F">
        <w:t>một số doanh nghiệp lớn phát sinh thuế GTGT và TNDN thấp so với dự kiến như: Công ty cổ phần xăng dầu dầu khí Vũng Áng thực hiện 36</w:t>
      </w:r>
      <w:r w:rsidR="004F3DDF" w:rsidRPr="00DB110F">
        <w:t>.000</w:t>
      </w:r>
      <w:r w:rsidR="00F6232D" w:rsidRPr="00DB110F">
        <w:t>/43</w:t>
      </w:r>
      <w:r w:rsidR="004F3DDF" w:rsidRPr="00DB110F">
        <w:t>.000</w:t>
      </w:r>
      <w:r w:rsidR="00F6232D" w:rsidRPr="00DB110F">
        <w:t xml:space="preserve"> t</w:t>
      </w:r>
      <w:r w:rsidR="004F3DDF" w:rsidRPr="00DB110F">
        <w:t>riệu đồng (đạt 84%)</w:t>
      </w:r>
      <w:r w:rsidR="00F6232D" w:rsidRPr="00DB110F">
        <w:t xml:space="preserve">, công ty môi trường đô thị </w:t>
      </w:r>
      <w:r w:rsidR="004F3DDF" w:rsidRPr="00DB110F">
        <w:t>H</w:t>
      </w:r>
      <w:r w:rsidR="00F6232D" w:rsidRPr="00DB110F">
        <w:t xml:space="preserve">à </w:t>
      </w:r>
      <w:r w:rsidR="004F3DDF" w:rsidRPr="00DB110F">
        <w:t>T</w:t>
      </w:r>
      <w:r w:rsidR="00F6232D" w:rsidRPr="00DB110F">
        <w:t xml:space="preserve">ĩnh thực hiện hiện </w:t>
      </w:r>
      <w:r w:rsidR="004F3DDF" w:rsidRPr="00DB110F">
        <w:t>4.500/6.500 triệu đồng (đạt 69</w:t>
      </w:r>
      <w:proofErr w:type="gramStart"/>
      <w:r w:rsidR="004F3DDF" w:rsidRPr="00DB110F">
        <w:t>%)…..</w:t>
      </w:r>
      <w:proofErr w:type="gramEnd"/>
    </w:p>
  </w:footnote>
  <w:footnote w:id="5">
    <w:p w14:paraId="6EB7EF9A" w14:textId="283B197A" w:rsidR="004F3DDF" w:rsidRPr="00DB110F" w:rsidRDefault="004F3DDF" w:rsidP="004F3DDF">
      <w:pPr>
        <w:pStyle w:val="FootnoteText"/>
        <w:ind w:firstLine="567"/>
        <w:jc w:val="both"/>
      </w:pPr>
      <w:r w:rsidRPr="00DB110F">
        <w:rPr>
          <w:rStyle w:val="FootnoteReference"/>
        </w:rPr>
        <w:footnoteRef/>
      </w:r>
      <w:r w:rsidRPr="00DB110F">
        <w:t xml:space="preserve"> Nguyên nhân do trong năm không thực hiện được khoản thu từ thanh tra Thuế Formosa như dự kiến</w:t>
      </w:r>
      <w:r w:rsidR="0046333F" w:rsidRPr="00DB110F">
        <w:t xml:space="preserve"> (Khoản thu này phát sinh tháng 3/2025 và được quyết toán vào thu ngân sách năm 2025).</w:t>
      </w:r>
    </w:p>
  </w:footnote>
  <w:footnote w:id="6">
    <w:p w14:paraId="173D5AA0" w14:textId="5E72B695" w:rsidR="0046333F" w:rsidRPr="00DB110F" w:rsidRDefault="0046333F" w:rsidP="0046333F">
      <w:pPr>
        <w:pStyle w:val="FootnoteText"/>
        <w:ind w:firstLine="567"/>
        <w:jc w:val="both"/>
      </w:pPr>
      <w:r w:rsidRPr="00DB110F">
        <w:rPr>
          <w:rStyle w:val="FootnoteReference"/>
        </w:rPr>
        <w:footnoteRef/>
      </w:r>
      <w:r w:rsidRPr="00DB110F">
        <w:t xml:space="preserve"> Nguyên nhân do </w:t>
      </w:r>
      <w:r w:rsidR="0013282D" w:rsidRPr="00DB110F">
        <w:t xml:space="preserve">số thu của công ty TNHH MTV xổ số điện toán chỉ đạt 11.600/15.000 triệu đồng, đạt </w:t>
      </w:r>
      <w:r w:rsidR="00852D14" w:rsidRPr="00DB110F">
        <w:t>77% kế hoạch.</w:t>
      </w:r>
    </w:p>
  </w:footnote>
  <w:footnote w:id="7">
    <w:p w14:paraId="63BCF9B6" w14:textId="05E589B1" w:rsidR="00F6106E" w:rsidRPr="00DB110F" w:rsidRDefault="00F6106E" w:rsidP="00DB110F">
      <w:pPr>
        <w:pStyle w:val="FootnoteText"/>
        <w:ind w:firstLine="567"/>
        <w:jc w:val="both"/>
      </w:pPr>
      <w:r w:rsidRPr="00DB110F">
        <w:rPr>
          <w:rStyle w:val="FootnoteReference"/>
        </w:rPr>
        <w:footnoteRef/>
      </w:r>
      <w:r w:rsidRPr="00DB110F">
        <w:t xml:space="preserve"> Một số mặt hàng nhập khẩu thuế lớn như than, quặng, phế liệu, máy móc thiết bị: Than 3.881 tỷ đồng, quặng 2.853 tỷ đồng (phục vụ sản xuất của Formosa), máy móc thiết bị gần 1.100 tỷ đồng (đầu tư, lắp đặt cho các Nhà máy pin của Vingroup, Nhiệt điện Vũng Áng II, sửa chữa bảo dưỡng, duy tu của Formosa)... Thu xuất nhập khẩu không đạt dự toán và giảm so với cùng kỳ chủ yếu do Formosa giảm sản lượng dẫn đến giảm nhập nguyên liệu đầu vào (than, quặng) là những mặt hàng có số nộp ngân sách lớn.</w:t>
      </w:r>
    </w:p>
  </w:footnote>
  <w:footnote w:id="8">
    <w:p w14:paraId="595274DF" w14:textId="28873FDC" w:rsidR="00123803" w:rsidRPr="00DB110F" w:rsidRDefault="00123803" w:rsidP="009915D1">
      <w:pPr>
        <w:pStyle w:val="FootnoteText"/>
        <w:ind w:firstLine="567"/>
        <w:jc w:val="both"/>
        <w:rPr>
          <w:i/>
          <w:iCs/>
          <w:lang w:val="de-DE"/>
        </w:rPr>
      </w:pPr>
      <w:r w:rsidRPr="00DB110F">
        <w:rPr>
          <w:rStyle w:val="FootnoteReference"/>
          <w:iCs/>
        </w:rPr>
        <w:footnoteRef/>
      </w:r>
      <w:r w:rsidRPr="00DB110F">
        <w:rPr>
          <w:iCs/>
          <w:lang w:val="de-DE"/>
        </w:rPr>
        <w:t xml:space="preserve"> </w:t>
      </w:r>
      <w:r w:rsidRPr="00DB110F">
        <w:rPr>
          <w:iCs/>
          <w:lang w:val="de-DE"/>
        </w:rPr>
        <w:t xml:space="preserve">Ngân sách cấp tỉnh: </w:t>
      </w:r>
      <w:r w:rsidR="000A7FFA" w:rsidRPr="00DB110F">
        <w:rPr>
          <w:iCs/>
          <w:lang w:val="de-DE"/>
        </w:rPr>
        <w:t>8.987.496 triệu</w:t>
      </w:r>
      <w:r w:rsidRPr="00DB110F">
        <w:rPr>
          <w:iCs/>
          <w:lang w:val="de-DE"/>
        </w:rPr>
        <w:t xml:space="preserve"> đồng, ngân sách cấp huyện: </w:t>
      </w:r>
      <w:r w:rsidR="000A7FFA" w:rsidRPr="00DB110F">
        <w:rPr>
          <w:iCs/>
          <w:lang w:val="de-DE"/>
        </w:rPr>
        <w:t xml:space="preserve">2.926.723 triệu </w:t>
      </w:r>
      <w:r w:rsidRPr="00DB110F">
        <w:rPr>
          <w:iCs/>
          <w:lang w:val="de-DE"/>
        </w:rPr>
        <w:t xml:space="preserve">đồng, ngân sách cấp xã: </w:t>
      </w:r>
      <w:r w:rsidR="003C291A" w:rsidRPr="00DB110F">
        <w:rPr>
          <w:iCs/>
          <w:lang w:val="de-DE"/>
        </w:rPr>
        <w:t>288.566</w:t>
      </w:r>
      <w:r w:rsidRPr="00DB110F">
        <w:rPr>
          <w:iCs/>
          <w:lang w:val="de-DE"/>
        </w:rPr>
        <w:t xml:space="preserve"> </w:t>
      </w:r>
      <w:r w:rsidR="003C291A" w:rsidRPr="00DB110F">
        <w:rPr>
          <w:iCs/>
          <w:lang w:val="de-DE"/>
        </w:rPr>
        <w:t>triệu</w:t>
      </w:r>
      <w:r w:rsidRPr="00DB110F">
        <w:rPr>
          <w:iCs/>
          <w:lang w:val="de-DE"/>
        </w:rPr>
        <w:t xml:space="preserve"> đồng.</w:t>
      </w:r>
    </w:p>
  </w:footnote>
  <w:footnote w:id="9">
    <w:p w14:paraId="540BE08E" w14:textId="77777777" w:rsidR="002B3E70" w:rsidRPr="002B3E70" w:rsidRDefault="002B3E70" w:rsidP="002B3E70">
      <w:pPr>
        <w:pStyle w:val="FootnoteText"/>
        <w:ind w:firstLine="567"/>
        <w:jc w:val="both"/>
        <w:rPr>
          <w:iCs/>
          <w:lang w:val="de-DE"/>
        </w:rPr>
      </w:pPr>
      <w:r w:rsidRPr="002B3E70">
        <w:rPr>
          <w:rStyle w:val="FootnoteReference"/>
          <w:iCs/>
        </w:rPr>
        <w:footnoteRef/>
      </w:r>
      <w:r w:rsidRPr="002B3E70">
        <w:rPr>
          <w:iCs/>
          <w:lang w:val="de-DE"/>
        </w:rPr>
        <w:t xml:space="preserve"> </w:t>
      </w:r>
      <w:r w:rsidRPr="002B3E70">
        <w:rPr>
          <w:iCs/>
          <w:lang w:val="de-DE"/>
        </w:rPr>
        <w:t>Gồm:</w:t>
      </w:r>
    </w:p>
    <w:p w14:paraId="739491A1" w14:textId="2EA3C6CE" w:rsidR="002B3E70" w:rsidRPr="002B3E70" w:rsidRDefault="002B3E70" w:rsidP="002B3E70">
      <w:pPr>
        <w:pStyle w:val="FootnoteText"/>
        <w:ind w:firstLine="567"/>
        <w:jc w:val="both"/>
        <w:rPr>
          <w:iCs/>
          <w:lang w:val="de-DE"/>
        </w:rPr>
      </w:pPr>
      <w:r w:rsidRPr="002B3E70">
        <w:rPr>
          <w:iCs/>
          <w:lang w:val="de-DE"/>
        </w:rPr>
        <w:t xml:space="preserve">- Hỗ trợ </w:t>
      </w:r>
      <w:r w:rsidR="006A2755">
        <w:rPr>
          <w:iCs/>
          <w:lang w:val="de-DE"/>
        </w:rPr>
        <w:t>kinh phí</w:t>
      </w:r>
      <w:r w:rsidRPr="002B3E70">
        <w:rPr>
          <w:iCs/>
          <w:lang w:val="de-DE"/>
        </w:rPr>
        <w:t xml:space="preserve"> tiêu huỷ lợn mắc bệnh Dịch tả lợn Châu phi và tiêu huỷ trâu, bò mắc bệnh viêm da nổi cục từ năm 2021 đến nay: 22.889 triệu đồng.</w:t>
      </w:r>
    </w:p>
    <w:p w14:paraId="3B692CA1" w14:textId="66B28997" w:rsidR="002B3E70" w:rsidRDefault="002B3E70" w:rsidP="002B3E70">
      <w:pPr>
        <w:pStyle w:val="FootnoteText"/>
        <w:ind w:firstLine="567"/>
        <w:jc w:val="both"/>
        <w:rPr>
          <w:iCs/>
          <w:lang w:val="de-DE"/>
        </w:rPr>
      </w:pPr>
      <w:r w:rsidRPr="002B3E70">
        <w:rPr>
          <w:iCs/>
          <w:lang w:val="de-DE"/>
        </w:rPr>
        <w:t>- Hỗ trợ kinh phí diễn tập khu vực phòng thủ năm 2023 theo Quyết định số 89/QĐ-TTG ngày 27/8/2024 của Thủ tướng Chính phủ: 13.600 triệu đồng.</w:t>
      </w:r>
    </w:p>
    <w:p w14:paraId="6A55562C" w14:textId="6A793718" w:rsidR="002B3E70" w:rsidRDefault="002B3E70" w:rsidP="002B3E70">
      <w:pPr>
        <w:pStyle w:val="FootnoteText"/>
        <w:ind w:firstLine="567"/>
        <w:jc w:val="both"/>
        <w:rPr>
          <w:iCs/>
          <w:lang w:val="de-DE"/>
        </w:rPr>
      </w:pPr>
      <w:r>
        <w:rPr>
          <w:iCs/>
          <w:lang w:val="de-DE"/>
        </w:rPr>
        <w:t xml:space="preserve">- </w:t>
      </w:r>
      <w:r w:rsidRPr="002B3E70">
        <w:rPr>
          <w:iCs/>
          <w:lang w:val="de-DE"/>
        </w:rPr>
        <w:t>Kinh phí thực hiện một số chính sách an sinh xã hội và giáo viên tăng thêm</w:t>
      </w:r>
      <w:r>
        <w:rPr>
          <w:iCs/>
          <w:lang w:val="de-DE"/>
        </w:rPr>
        <w:t xml:space="preserve">: </w:t>
      </w:r>
      <w:r w:rsidRPr="002B3E70">
        <w:rPr>
          <w:iCs/>
          <w:lang w:val="de-DE"/>
        </w:rPr>
        <w:t>87.310</w:t>
      </w:r>
      <w:r>
        <w:rPr>
          <w:iCs/>
          <w:lang w:val="de-DE"/>
        </w:rPr>
        <w:t xml:space="preserve"> triệu đồng.</w:t>
      </w:r>
    </w:p>
    <w:p w14:paraId="4743731A" w14:textId="17906525" w:rsidR="002B3E70" w:rsidRDefault="002B3E70" w:rsidP="002B3E70">
      <w:pPr>
        <w:pStyle w:val="FootnoteText"/>
        <w:ind w:firstLine="567"/>
        <w:jc w:val="both"/>
        <w:rPr>
          <w:iCs/>
          <w:lang w:val="de-DE"/>
        </w:rPr>
      </w:pPr>
      <w:r>
        <w:rPr>
          <w:iCs/>
          <w:lang w:val="de-DE"/>
        </w:rPr>
        <w:t xml:space="preserve">- </w:t>
      </w:r>
      <w:r w:rsidRPr="002B3E70">
        <w:rPr>
          <w:iCs/>
          <w:lang w:val="de-DE"/>
        </w:rPr>
        <w:t>Kinh phí thực hiện Quyết định số 558/QĐ-TTg ngày 8/4/2021 của Thủ tướng Chính phủ</w:t>
      </w:r>
      <w:r w:rsidR="007C50BD">
        <w:rPr>
          <w:iCs/>
          <w:lang w:val="de-DE"/>
        </w:rPr>
        <w:t xml:space="preserve"> (</w:t>
      </w:r>
      <w:r w:rsidR="00A218B2">
        <w:rPr>
          <w:iCs/>
          <w:lang w:val="de-DE"/>
        </w:rPr>
        <w:t>kinh phí</w:t>
      </w:r>
      <w:r w:rsidRPr="002B3E70">
        <w:rPr>
          <w:iCs/>
          <w:lang w:val="de-DE"/>
        </w:rPr>
        <w:t xml:space="preserve"> thực hiện </w:t>
      </w:r>
      <w:r w:rsidR="004A6A97">
        <w:rPr>
          <w:iCs/>
          <w:lang w:val="de-DE"/>
        </w:rPr>
        <w:t>Chương trình mục tiêu quốc gia</w:t>
      </w:r>
      <w:r w:rsidRPr="002B3E70">
        <w:rPr>
          <w:iCs/>
          <w:lang w:val="de-DE"/>
        </w:rPr>
        <w:t xml:space="preserve"> năm 2024</w:t>
      </w:r>
      <w:r w:rsidR="007C50BD">
        <w:rPr>
          <w:iCs/>
          <w:lang w:val="de-DE"/>
        </w:rPr>
        <w:t>): 660 triệu đồng.</w:t>
      </w:r>
    </w:p>
    <w:p w14:paraId="3E25EEE0" w14:textId="4CE63BE5" w:rsidR="007C50BD" w:rsidRDefault="007C50BD" w:rsidP="002B3E70">
      <w:pPr>
        <w:pStyle w:val="FootnoteText"/>
        <w:ind w:firstLine="567"/>
        <w:jc w:val="both"/>
        <w:rPr>
          <w:iCs/>
          <w:lang w:val="de-DE"/>
        </w:rPr>
      </w:pPr>
      <w:r>
        <w:rPr>
          <w:iCs/>
          <w:lang w:val="de-DE"/>
        </w:rPr>
        <w:t xml:space="preserve">- </w:t>
      </w:r>
      <w:r w:rsidR="004A6A97">
        <w:rPr>
          <w:iCs/>
          <w:lang w:val="de-DE"/>
        </w:rPr>
        <w:t>Hỗ trợ kinh phí</w:t>
      </w:r>
      <w:r w:rsidRPr="007C50BD">
        <w:rPr>
          <w:iCs/>
          <w:lang w:val="de-DE"/>
        </w:rPr>
        <w:t xml:space="preserve"> sắp xếp đơn vị hành chính cấp huyện, xã</w:t>
      </w:r>
      <w:r>
        <w:rPr>
          <w:iCs/>
          <w:lang w:val="de-DE"/>
        </w:rPr>
        <w:t>: 23.500 triệu đồng.</w:t>
      </w:r>
    </w:p>
    <w:p w14:paraId="19FBEB9E" w14:textId="6D9B1B2C" w:rsidR="007C50BD" w:rsidRPr="002B3E70" w:rsidRDefault="007C50BD" w:rsidP="002B3E70">
      <w:pPr>
        <w:pStyle w:val="FootnoteText"/>
        <w:ind w:firstLine="567"/>
        <w:jc w:val="both"/>
        <w:rPr>
          <w:i/>
          <w:iCs/>
          <w:lang w:val="de-DE"/>
        </w:rPr>
      </w:pPr>
      <w:r>
        <w:rPr>
          <w:iCs/>
          <w:lang w:val="de-DE"/>
        </w:rPr>
        <w:t xml:space="preserve">- </w:t>
      </w:r>
      <w:r w:rsidRPr="007C50BD">
        <w:rPr>
          <w:iCs/>
          <w:lang w:val="de-DE"/>
        </w:rPr>
        <w:t>Hỗ trợ nguồn dự phòng ngân sách trung ương năm 2024 cho các địa phương</w:t>
      </w:r>
      <w:r>
        <w:rPr>
          <w:iCs/>
          <w:lang w:val="de-DE"/>
        </w:rPr>
        <w:t xml:space="preserve">: 200.000 triệu đồng (thực hiện Dự án </w:t>
      </w:r>
      <w:r w:rsidR="006C744A" w:rsidRPr="006C744A">
        <w:rPr>
          <w:iCs/>
          <w:lang w:val="de-DE"/>
        </w:rPr>
        <w:t>Đường vào Đồn biên phòng Phú Gia (571) và mốc Quốc giới 509</w:t>
      </w:r>
      <w:r w:rsidR="006C744A">
        <w:rPr>
          <w:iCs/>
          <w:lang w:val="de-DE"/>
        </w:rPr>
        <w:t>).</w:t>
      </w:r>
    </w:p>
  </w:footnote>
  <w:footnote w:id="10">
    <w:p w14:paraId="4595D770" w14:textId="71F21FC2" w:rsidR="00671613" w:rsidRPr="00DB110F" w:rsidRDefault="00671613" w:rsidP="009915D1">
      <w:pPr>
        <w:pStyle w:val="FootnoteText"/>
        <w:ind w:firstLine="567"/>
        <w:jc w:val="both"/>
        <w:rPr>
          <w:i/>
          <w:iCs/>
          <w:lang w:val="de-DE"/>
        </w:rPr>
      </w:pPr>
      <w:r w:rsidRPr="00DB110F">
        <w:rPr>
          <w:rStyle w:val="FootnoteReference"/>
          <w:iCs/>
        </w:rPr>
        <w:footnoteRef/>
      </w:r>
      <w:r w:rsidRPr="00DB110F">
        <w:rPr>
          <w:iCs/>
          <w:lang w:val="de-DE"/>
        </w:rPr>
        <w:t xml:space="preserve"> </w:t>
      </w:r>
      <w:r w:rsidRPr="00DB110F">
        <w:rPr>
          <w:iCs/>
          <w:lang w:val="de-DE"/>
        </w:rPr>
        <w:t xml:space="preserve">Ngân sách cấp tỉnh: </w:t>
      </w:r>
      <w:r w:rsidR="00EC1477" w:rsidRPr="00DB110F">
        <w:rPr>
          <w:iCs/>
          <w:lang w:val="de-DE"/>
        </w:rPr>
        <w:t>8.393.562 triệu</w:t>
      </w:r>
      <w:r w:rsidRPr="00DB110F">
        <w:rPr>
          <w:iCs/>
          <w:lang w:val="de-DE"/>
        </w:rPr>
        <w:t xml:space="preserve"> đồng, ngân sách cấp huyện: </w:t>
      </w:r>
      <w:r w:rsidR="00EC1477" w:rsidRPr="00DB110F">
        <w:rPr>
          <w:iCs/>
          <w:lang w:val="de-DE"/>
        </w:rPr>
        <w:t>2.345.529 triệu</w:t>
      </w:r>
      <w:r w:rsidRPr="00DB110F">
        <w:rPr>
          <w:iCs/>
          <w:lang w:val="de-DE"/>
        </w:rPr>
        <w:t xml:space="preserve"> đồng, ngân sách cấp xã: </w:t>
      </w:r>
      <w:r w:rsidR="00EC1477" w:rsidRPr="00DB110F">
        <w:rPr>
          <w:iCs/>
          <w:lang w:val="de-DE"/>
        </w:rPr>
        <w:t xml:space="preserve">413.311 triệu </w:t>
      </w:r>
      <w:r w:rsidRPr="00DB110F">
        <w:rPr>
          <w:iCs/>
          <w:lang w:val="de-DE"/>
        </w:rPr>
        <w:t>đồng.</w:t>
      </w:r>
    </w:p>
  </w:footnote>
  <w:footnote w:id="11">
    <w:p w14:paraId="4E8722E0" w14:textId="6E3A84BE" w:rsidR="00393E3C" w:rsidRPr="00DB110F" w:rsidRDefault="00393E3C" w:rsidP="009915D1">
      <w:pPr>
        <w:pStyle w:val="FootnoteText"/>
        <w:ind w:firstLine="567"/>
        <w:jc w:val="both"/>
        <w:rPr>
          <w:i/>
          <w:iCs/>
          <w:lang w:val="de-DE"/>
        </w:rPr>
      </w:pPr>
      <w:r w:rsidRPr="00DB110F">
        <w:rPr>
          <w:rStyle w:val="FootnoteReference"/>
          <w:iCs/>
        </w:rPr>
        <w:footnoteRef/>
      </w:r>
      <w:r w:rsidRPr="00DB110F">
        <w:rPr>
          <w:iCs/>
          <w:lang w:val="de-DE"/>
        </w:rPr>
        <w:t xml:space="preserve"> </w:t>
      </w:r>
      <w:r w:rsidRPr="00DB110F">
        <w:rPr>
          <w:lang w:val="de-DE"/>
        </w:rPr>
        <w:t xml:space="preserve">Chi chuyển nguồn vốn NSNN thực hiện các chương trình mục tiêu quốc gia theo Nghị quyết số 174/2024/QH15 ngày 30/11/2024 của Quốc hội tại Kỳ họp thứ 8, Quốc hội Khoá XV; kinh phí chuẩn bị động viên theo Nghị định 01/2020/NĐCP ngày 14/5/2020 của Chính phủ về sửa đổi bổ sung một số điều của Nghị định số 165/2016/NĐ-CP ngày 24/12/2016 quy định về quản lý, sử dụng ngân sách nhà nước đối với một số hoạt động thuộc lĩnh vực quốc phòng an ninh; </w:t>
      </w:r>
      <w:r w:rsidR="00DB110F">
        <w:rPr>
          <w:lang w:val="de-DE"/>
        </w:rPr>
        <w:t>c</w:t>
      </w:r>
      <w:r w:rsidRPr="00DB110F">
        <w:rPr>
          <w:lang w:val="de-DE"/>
        </w:rPr>
        <w:t>huyển nguồn kinh phí tiết kiệm 50% của địa phương còn dư theo Nghị quyết số 159/2024/QH15 của Quốc hội về dự toán ngân sách nhà nước năm 2025 và Văn bản 14443/BTC-NSNN ngày 28/12/2024 của Bộ Tài chính</w:t>
      </w:r>
      <w:r w:rsidR="00496EC0" w:rsidRPr="00DB110F">
        <w:rPr>
          <w:lang w:val="de-DE"/>
        </w:rPr>
        <w:t>.</w:t>
      </w:r>
    </w:p>
  </w:footnote>
  <w:footnote w:id="12">
    <w:p w14:paraId="4B47A5D4" w14:textId="311524E9" w:rsidR="00D5294B" w:rsidRPr="00DB110F" w:rsidRDefault="00D5294B" w:rsidP="009915D1">
      <w:pPr>
        <w:pStyle w:val="FootnoteText"/>
        <w:ind w:firstLine="567"/>
        <w:jc w:val="both"/>
        <w:rPr>
          <w:i/>
          <w:iCs/>
          <w:lang w:val="de-DE"/>
        </w:rPr>
      </w:pPr>
      <w:r w:rsidRPr="00DB110F">
        <w:rPr>
          <w:rStyle w:val="FootnoteReference"/>
          <w:iCs/>
        </w:rPr>
        <w:footnoteRef/>
      </w:r>
      <w:r w:rsidRPr="00DB110F">
        <w:rPr>
          <w:iCs/>
          <w:lang w:val="de-DE"/>
        </w:rPr>
        <w:t xml:space="preserve"> </w:t>
      </w:r>
      <w:r w:rsidRPr="00DB110F">
        <w:rPr>
          <w:iCs/>
          <w:lang w:val="de-DE"/>
        </w:rPr>
        <w:t>Văn bản số 12872/BTC-KBNN ngày 26/11/2024.</w:t>
      </w:r>
    </w:p>
  </w:footnote>
  <w:footnote w:id="13">
    <w:p w14:paraId="2F21C9D4" w14:textId="5B3138EA" w:rsidR="00104B2D" w:rsidRPr="00DB110F" w:rsidRDefault="00104B2D" w:rsidP="009915D1">
      <w:pPr>
        <w:pStyle w:val="FootnoteText"/>
        <w:ind w:firstLine="567"/>
        <w:jc w:val="both"/>
        <w:rPr>
          <w:i/>
          <w:iCs/>
          <w:lang w:val="de-DE"/>
        </w:rPr>
      </w:pPr>
      <w:r w:rsidRPr="00DB110F">
        <w:rPr>
          <w:rStyle w:val="FootnoteReference"/>
          <w:iCs/>
        </w:rPr>
        <w:footnoteRef/>
      </w:r>
      <w:r w:rsidRPr="00DB110F">
        <w:rPr>
          <w:iCs/>
          <w:lang w:val="de-DE"/>
        </w:rPr>
        <w:t xml:space="preserve"> </w:t>
      </w:r>
      <w:r w:rsidRPr="00DB110F">
        <w:rPr>
          <w:iCs/>
          <w:lang w:val="de-DE"/>
        </w:rPr>
        <w:t>Chính sách quy định việc sử dụng ngân sách địa phương uỷ thác qua Chi nhánh Ngân hàng chính sách xã hội tỉnh để cho vay hỗ trợ thanh niên khởi nghiệp, lập nghiệp tỉnh Hà Tĩnh giai đoạn 2024-2026 theo Nghị quyết số 127/2024/NQ-HĐND ngày 26/7/2024 của HĐND tỉnh; chính sách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 theo Nghị quyết số 129/2024/NQ-HĐND ngày 18/7/2024 của HĐND tỉnh.</w:t>
      </w:r>
    </w:p>
  </w:footnote>
  <w:footnote w:id="14">
    <w:p w14:paraId="67DC7587" w14:textId="4EFA1996" w:rsidR="00104B2D" w:rsidRPr="000731F0" w:rsidRDefault="00104B2D" w:rsidP="009915D1">
      <w:pPr>
        <w:pStyle w:val="FootnoteText"/>
        <w:ind w:firstLine="567"/>
        <w:jc w:val="both"/>
        <w:rPr>
          <w:i/>
          <w:iCs/>
          <w:lang w:val="de-DE"/>
        </w:rPr>
      </w:pPr>
      <w:r w:rsidRPr="00DB110F">
        <w:rPr>
          <w:rStyle w:val="FootnoteReference"/>
          <w:iCs/>
        </w:rPr>
        <w:footnoteRef/>
      </w:r>
      <w:r w:rsidRPr="00DB110F">
        <w:rPr>
          <w:iCs/>
          <w:lang w:val="de-DE"/>
        </w:rPr>
        <w:t xml:space="preserve"> </w:t>
      </w:r>
      <w:r w:rsidR="001364FA" w:rsidRPr="00DB110F">
        <w:rPr>
          <w:iCs/>
          <w:lang w:val="de-DE"/>
        </w:rPr>
        <w:t>Nghị quyết 124/2024/NQ-HĐND ngày 04/5/2024 của HĐND tỉnh về sửa đổi, bổ sung một số nội dung tại Phụ lục ban hành kèm theo Nghị quyết số 44/2021/NQ-HĐND ngày 16/12/2021của HĐND tỉnh về một số cơ chế, chính sách hỗ trợ tạo nguồn lực xây dựng thành công tỉnh Hà Tĩnh đạt chuẩn nông thôn mới, giai đoạn 2022 - 2025; Nghị quyết 125/2024/NQ-HĐND ngày 18/7/2024 của HĐND tỉnh về Sửa đổi, bổ sung một số điều của Nghị quyết số 51/2021/NQ-HĐND ngày 16/12/2021 của Hội đồng nhân dân tỉnh quy định chính sách khuyến khích phát triển nông nghiệp, nông thôn gắn với xây dựng tỉnh đạt chuẩn nông thôn mới trên địa bàn tỉnh Hà Tĩnh giai đoạn 2022-2025.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037685"/>
      <w:docPartObj>
        <w:docPartGallery w:val="Page Numbers (Top of Page)"/>
        <w:docPartUnique/>
      </w:docPartObj>
    </w:sdtPr>
    <w:sdtEndPr>
      <w:rPr>
        <w:noProof/>
      </w:rPr>
    </w:sdtEndPr>
    <w:sdtContent>
      <w:p w14:paraId="386977C9" w14:textId="0C183C11" w:rsidR="006F5982" w:rsidRDefault="006F5982" w:rsidP="002879DA">
        <w:pPr>
          <w:pStyle w:val="Header"/>
          <w:jc w:val="center"/>
        </w:pPr>
        <w:r>
          <w:fldChar w:fldCharType="begin"/>
        </w:r>
        <w:r>
          <w:instrText xml:space="preserve"> PAGE   \* MERGEFORMAT </w:instrText>
        </w:r>
        <w:r>
          <w:fldChar w:fldCharType="separate"/>
        </w:r>
        <w:r w:rsidR="002B039C">
          <w:rPr>
            <w:noProof/>
          </w:rPr>
          <w:t>10</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78"/>
    <w:rsid w:val="00000DCA"/>
    <w:rsid w:val="000012FD"/>
    <w:rsid w:val="00003D79"/>
    <w:rsid w:val="00006988"/>
    <w:rsid w:val="00011754"/>
    <w:rsid w:val="000134F5"/>
    <w:rsid w:val="000179B4"/>
    <w:rsid w:val="00024153"/>
    <w:rsid w:val="00024EA8"/>
    <w:rsid w:val="00025D14"/>
    <w:rsid w:val="00025D82"/>
    <w:rsid w:val="00027073"/>
    <w:rsid w:val="000274F4"/>
    <w:rsid w:val="000311EC"/>
    <w:rsid w:val="0003269E"/>
    <w:rsid w:val="00033580"/>
    <w:rsid w:val="000336F1"/>
    <w:rsid w:val="0003420B"/>
    <w:rsid w:val="00035BE8"/>
    <w:rsid w:val="00036765"/>
    <w:rsid w:val="000400A7"/>
    <w:rsid w:val="00042362"/>
    <w:rsid w:val="00044336"/>
    <w:rsid w:val="00045188"/>
    <w:rsid w:val="00045936"/>
    <w:rsid w:val="00047F3D"/>
    <w:rsid w:val="00050BA3"/>
    <w:rsid w:val="00055737"/>
    <w:rsid w:val="00056C3E"/>
    <w:rsid w:val="00057ABF"/>
    <w:rsid w:val="00057F26"/>
    <w:rsid w:val="00060768"/>
    <w:rsid w:val="000612C2"/>
    <w:rsid w:val="00061528"/>
    <w:rsid w:val="000615EA"/>
    <w:rsid w:val="0006160B"/>
    <w:rsid w:val="00061881"/>
    <w:rsid w:val="00062E59"/>
    <w:rsid w:val="00064530"/>
    <w:rsid w:val="00064F20"/>
    <w:rsid w:val="00066DCD"/>
    <w:rsid w:val="00066DD0"/>
    <w:rsid w:val="000673E5"/>
    <w:rsid w:val="000675F9"/>
    <w:rsid w:val="00067883"/>
    <w:rsid w:val="00070701"/>
    <w:rsid w:val="000721A1"/>
    <w:rsid w:val="000724A8"/>
    <w:rsid w:val="00073265"/>
    <w:rsid w:val="00074651"/>
    <w:rsid w:val="00074849"/>
    <w:rsid w:val="000748F9"/>
    <w:rsid w:val="000757B0"/>
    <w:rsid w:val="00077019"/>
    <w:rsid w:val="000803C8"/>
    <w:rsid w:val="0008053B"/>
    <w:rsid w:val="00080BDB"/>
    <w:rsid w:val="0008145F"/>
    <w:rsid w:val="00083591"/>
    <w:rsid w:val="0008374C"/>
    <w:rsid w:val="00085616"/>
    <w:rsid w:val="000870D7"/>
    <w:rsid w:val="00087765"/>
    <w:rsid w:val="0009018F"/>
    <w:rsid w:val="0009058A"/>
    <w:rsid w:val="0009098A"/>
    <w:rsid w:val="00090C9E"/>
    <w:rsid w:val="00091199"/>
    <w:rsid w:val="00093BAF"/>
    <w:rsid w:val="00094DEE"/>
    <w:rsid w:val="0009598E"/>
    <w:rsid w:val="00095CD5"/>
    <w:rsid w:val="00095FCB"/>
    <w:rsid w:val="000A0762"/>
    <w:rsid w:val="000A07EC"/>
    <w:rsid w:val="000A14E6"/>
    <w:rsid w:val="000A1E33"/>
    <w:rsid w:val="000A28FF"/>
    <w:rsid w:val="000A4F7B"/>
    <w:rsid w:val="000A5469"/>
    <w:rsid w:val="000A59BE"/>
    <w:rsid w:val="000A6653"/>
    <w:rsid w:val="000A7521"/>
    <w:rsid w:val="000A7BFC"/>
    <w:rsid w:val="000A7FFA"/>
    <w:rsid w:val="000B00D3"/>
    <w:rsid w:val="000B03D8"/>
    <w:rsid w:val="000B0590"/>
    <w:rsid w:val="000B15DF"/>
    <w:rsid w:val="000B1919"/>
    <w:rsid w:val="000B1DC8"/>
    <w:rsid w:val="000B2646"/>
    <w:rsid w:val="000B333F"/>
    <w:rsid w:val="000B4245"/>
    <w:rsid w:val="000B5D7A"/>
    <w:rsid w:val="000B663B"/>
    <w:rsid w:val="000B6FD6"/>
    <w:rsid w:val="000B7474"/>
    <w:rsid w:val="000C054E"/>
    <w:rsid w:val="000C12ED"/>
    <w:rsid w:val="000C471D"/>
    <w:rsid w:val="000C476D"/>
    <w:rsid w:val="000C761B"/>
    <w:rsid w:val="000D1645"/>
    <w:rsid w:val="000D1AAC"/>
    <w:rsid w:val="000D3054"/>
    <w:rsid w:val="000D32F6"/>
    <w:rsid w:val="000D486F"/>
    <w:rsid w:val="000D57D9"/>
    <w:rsid w:val="000D60B5"/>
    <w:rsid w:val="000D6A88"/>
    <w:rsid w:val="000D7227"/>
    <w:rsid w:val="000D7E32"/>
    <w:rsid w:val="000E1634"/>
    <w:rsid w:val="000E18B1"/>
    <w:rsid w:val="000E1A34"/>
    <w:rsid w:val="000E2270"/>
    <w:rsid w:val="000E2B63"/>
    <w:rsid w:val="000E3F28"/>
    <w:rsid w:val="000E521E"/>
    <w:rsid w:val="000E76D9"/>
    <w:rsid w:val="000E7FCB"/>
    <w:rsid w:val="000F0A07"/>
    <w:rsid w:val="000F1BB9"/>
    <w:rsid w:val="000F2AD2"/>
    <w:rsid w:val="000F3261"/>
    <w:rsid w:val="000F5261"/>
    <w:rsid w:val="000F548D"/>
    <w:rsid w:val="000F6E89"/>
    <w:rsid w:val="000F7238"/>
    <w:rsid w:val="000F727C"/>
    <w:rsid w:val="000F7608"/>
    <w:rsid w:val="0010089D"/>
    <w:rsid w:val="00101F09"/>
    <w:rsid w:val="00102F13"/>
    <w:rsid w:val="00104B2D"/>
    <w:rsid w:val="00104C2B"/>
    <w:rsid w:val="0010542B"/>
    <w:rsid w:val="00106553"/>
    <w:rsid w:val="0010661A"/>
    <w:rsid w:val="00107D93"/>
    <w:rsid w:val="00107F13"/>
    <w:rsid w:val="001109F3"/>
    <w:rsid w:val="001121AE"/>
    <w:rsid w:val="00114355"/>
    <w:rsid w:val="00115CA4"/>
    <w:rsid w:val="00120C8B"/>
    <w:rsid w:val="00123803"/>
    <w:rsid w:val="001245DF"/>
    <w:rsid w:val="00125368"/>
    <w:rsid w:val="0012790A"/>
    <w:rsid w:val="00127CDD"/>
    <w:rsid w:val="00127DB2"/>
    <w:rsid w:val="0013059C"/>
    <w:rsid w:val="001320F9"/>
    <w:rsid w:val="0013282D"/>
    <w:rsid w:val="001328FD"/>
    <w:rsid w:val="00132FE7"/>
    <w:rsid w:val="001331E2"/>
    <w:rsid w:val="00133FAD"/>
    <w:rsid w:val="00134D48"/>
    <w:rsid w:val="001364FA"/>
    <w:rsid w:val="001367DC"/>
    <w:rsid w:val="0013707C"/>
    <w:rsid w:val="00140284"/>
    <w:rsid w:val="0014067C"/>
    <w:rsid w:val="00140A52"/>
    <w:rsid w:val="00141A0F"/>
    <w:rsid w:val="001425A9"/>
    <w:rsid w:val="001431B5"/>
    <w:rsid w:val="001447C1"/>
    <w:rsid w:val="001468A4"/>
    <w:rsid w:val="0014783B"/>
    <w:rsid w:val="00147A81"/>
    <w:rsid w:val="00147B72"/>
    <w:rsid w:val="0015087D"/>
    <w:rsid w:val="00150BA1"/>
    <w:rsid w:val="00151017"/>
    <w:rsid w:val="00151136"/>
    <w:rsid w:val="001514AD"/>
    <w:rsid w:val="00154311"/>
    <w:rsid w:val="001543A3"/>
    <w:rsid w:val="0015454C"/>
    <w:rsid w:val="001548A2"/>
    <w:rsid w:val="00156268"/>
    <w:rsid w:val="001565A1"/>
    <w:rsid w:val="00156B9D"/>
    <w:rsid w:val="00156CE1"/>
    <w:rsid w:val="0016097E"/>
    <w:rsid w:val="00162273"/>
    <w:rsid w:val="00164880"/>
    <w:rsid w:val="00164DE4"/>
    <w:rsid w:val="00166C2B"/>
    <w:rsid w:val="00172AAE"/>
    <w:rsid w:val="00173E99"/>
    <w:rsid w:val="0017503E"/>
    <w:rsid w:val="001761B0"/>
    <w:rsid w:val="0018000C"/>
    <w:rsid w:val="00181014"/>
    <w:rsid w:val="001814F2"/>
    <w:rsid w:val="00181D7D"/>
    <w:rsid w:val="00182F76"/>
    <w:rsid w:val="00185906"/>
    <w:rsid w:val="00185993"/>
    <w:rsid w:val="001864EF"/>
    <w:rsid w:val="00186B63"/>
    <w:rsid w:val="0019098A"/>
    <w:rsid w:val="00193D19"/>
    <w:rsid w:val="0019434C"/>
    <w:rsid w:val="00195AED"/>
    <w:rsid w:val="0019663A"/>
    <w:rsid w:val="001978C6"/>
    <w:rsid w:val="001A081F"/>
    <w:rsid w:val="001A1CC6"/>
    <w:rsid w:val="001A501C"/>
    <w:rsid w:val="001A5574"/>
    <w:rsid w:val="001A6684"/>
    <w:rsid w:val="001A68B3"/>
    <w:rsid w:val="001B0B75"/>
    <w:rsid w:val="001B24B3"/>
    <w:rsid w:val="001B2A69"/>
    <w:rsid w:val="001B396C"/>
    <w:rsid w:val="001B5ABE"/>
    <w:rsid w:val="001B68F0"/>
    <w:rsid w:val="001B79D3"/>
    <w:rsid w:val="001B7A15"/>
    <w:rsid w:val="001C0247"/>
    <w:rsid w:val="001C0632"/>
    <w:rsid w:val="001C0E82"/>
    <w:rsid w:val="001C2201"/>
    <w:rsid w:val="001C2919"/>
    <w:rsid w:val="001C3983"/>
    <w:rsid w:val="001C4A8E"/>
    <w:rsid w:val="001C5930"/>
    <w:rsid w:val="001C5948"/>
    <w:rsid w:val="001C68B3"/>
    <w:rsid w:val="001C777D"/>
    <w:rsid w:val="001D1281"/>
    <w:rsid w:val="001D171A"/>
    <w:rsid w:val="001D3D9C"/>
    <w:rsid w:val="001D44F5"/>
    <w:rsid w:val="001D505D"/>
    <w:rsid w:val="001D5677"/>
    <w:rsid w:val="001D6306"/>
    <w:rsid w:val="001D7F0B"/>
    <w:rsid w:val="001E0CD0"/>
    <w:rsid w:val="001E276D"/>
    <w:rsid w:val="001E282B"/>
    <w:rsid w:val="001E33BB"/>
    <w:rsid w:val="001F154D"/>
    <w:rsid w:val="001F1566"/>
    <w:rsid w:val="001F3EA1"/>
    <w:rsid w:val="001F7A0B"/>
    <w:rsid w:val="00201C6B"/>
    <w:rsid w:val="0020201E"/>
    <w:rsid w:val="00202802"/>
    <w:rsid w:val="00202848"/>
    <w:rsid w:val="00206416"/>
    <w:rsid w:val="0020655C"/>
    <w:rsid w:val="0020763A"/>
    <w:rsid w:val="002105FA"/>
    <w:rsid w:val="0021422F"/>
    <w:rsid w:val="002155B6"/>
    <w:rsid w:val="002156BB"/>
    <w:rsid w:val="002163C7"/>
    <w:rsid w:val="00217172"/>
    <w:rsid w:val="00221396"/>
    <w:rsid w:val="0022257C"/>
    <w:rsid w:val="00222987"/>
    <w:rsid w:val="00222D01"/>
    <w:rsid w:val="00222DC2"/>
    <w:rsid w:val="00223CDE"/>
    <w:rsid w:val="00225005"/>
    <w:rsid w:val="00225E31"/>
    <w:rsid w:val="00225FE9"/>
    <w:rsid w:val="0022641E"/>
    <w:rsid w:val="00226A13"/>
    <w:rsid w:val="002275E4"/>
    <w:rsid w:val="0023136F"/>
    <w:rsid w:val="00241362"/>
    <w:rsid w:val="0024147F"/>
    <w:rsid w:val="00245A1D"/>
    <w:rsid w:val="00246646"/>
    <w:rsid w:val="00246DD8"/>
    <w:rsid w:val="00246E81"/>
    <w:rsid w:val="0025094F"/>
    <w:rsid w:val="00251520"/>
    <w:rsid w:val="0025246D"/>
    <w:rsid w:val="0025270D"/>
    <w:rsid w:val="0026078E"/>
    <w:rsid w:val="00261CEA"/>
    <w:rsid w:val="00261FE5"/>
    <w:rsid w:val="00264B25"/>
    <w:rsid w:val="0026651E"/>
    <w:rsid w:val="00266BCA"/>
    <w:rsid w:val="00266C57"/>
    <w:rsid w:val="00266E2F"/>
    <w:rsid w:val="0027084C"/>
    <w:rsid w:val="00270890"/>
    <w:rsid w:val="00273F6A"/>
    <w:rsid w:val="00274A3F"/>
    <w:rsid w:val="0027557E"/>
    <w:rsid w:val="00280075"/>
    <w:rsid w:val="00283424"/>
    <w:rsid w:val="00283449"/>
    <w:rsid w:val="00283F5E"/>
    <w:rsid w:val="00285158"/>
    <w:rsid w:val="00286426"/>
    <w:rsid w:val="002879DA"/>
    <w:rsid w:val="00290EDB"/>
    <w:rsid w:val="002920B4"/>
    <w:rsid w:val="00292F2D"/>
    <w:rsid w:val="002A1F83"/>
    <w:rsid w:val="002A217A"/>
    <w:rsid w:val="002A2E22"/>
    <w:rsid w:val="002A75FE"/>
    <w:rsid w:val="002A7C6F"/>
    <w:rsid w:val="002B015D"/>
    <w:rsid w:val="002B039C"/>
    <w:rsid w:val="002B06E0"/>
    <w:rsid w:val="002B1F65"/>
    <w:rsid w:val="002B2910"/>
    <w:rsid w:val="002B36CD"/>
    <w:rsid w:val="002B3C94"/>
    <w:rsid w:val="002B3E70"/>
    <w:rsid w:val="002B5134"/>
    <w:rsid w:val="002B7767"/>
    <w:rsid w:val="002C0A11"/>
    <w:rsid w:val="002C0E6B"/>
    <w:rsid w:val="002C2253"/>
    <w:rsid w:val="002C2FDE"/>
    <w:rsid w:val="002C375B"/>
    <w:rsid w:val="002C42A4"/>
    <w:rsid w:val="002C52E1"/>
    <w:rsid w:val="002C62DC"/>
    <w:rsid w:val="002C6338"/>
    <w:rsid w:val="002C6CD5"/>
    <w:rsid w:val="002C6FE2"/>
    <w:rsid w:val="002C7253"/>
    <w:rsid w:val="002C7D6D"/>
    <w:rsid w:val="002D0E7E"/>
    <w:rsid w:val="002D2512"/>
    <w:rsid w:val="002D26A6"/>
    <w:rsid w:val="002D2DF7"/>
    <w:rsid w:val="002D2EBB"/>
    <w:rsid w:val="002D2F39"/>
    <w:rsid w:val="002D3404"/>
    <w:rsid w:val="002D385A"/>
    <w:rsid w:val="002D3C71"/>
    <w:rsid w:val="002D56AD"/>
    <w:rsid w:val="002D683F"/>
    <w:rsid w:val="002E1201"/>
    <w:rsid w:val="002E12B8"/>
    <w:rsid w:val="002E15EF"/>
    <w:rsid w:val="002E3ABE"/>
    <w:rsid w:val="002E5078"/>
    <w:rsid w:val="002E519D"/>
    <w:rsid w:val="002E5C45"/>
    <w:rsid w:val="002E68A0"/>
    <w:rsid w:val="002E69C7"/>
    <w:rsid w:val="002E73B5"/>
    <w:rsid w:val="002F107B"/>
    <w:rsid w:val="002F1597"/>
    <w:rsid w:val="002F229E"/>
    <w:rsid w:val="002F3B28"/>
    <w:rsid w:val="002F41FD"/>
    <w:rsid w:val="002F42B0"/>
    <w:rsid w:val="002F431B"/>
    <w:rsid w:val="002F5257"/>
    <w:rsid w:val="002F53A0"/>
    <w:rsid w:val="00300FE1"/>
    <w:rsid w:val="00301AA4"/>
    <w:rsid w:val="003026F5"/>
    <w:rsid w:val="00302EF6"/>
    <w:rsid w:val="00302F0D"/>
    <w:rsid w:val="00303A97"/>
    <w:rsid w:val="00303F9E"/>
    <w:rsid w:val="003056A8"/>
    <w:rsid w:val="003061E5"/>
    <w:rsid w:val="0030644A"/>
    <w:rsid w:val="0031145F"/>
    <w:rsid w:val="003123F8"/>
    <w:rsid w:val="003149BC"/>
    <w:rsid w:val="00315999"/>
    <w:rsid w:val="00316326"/>
    <w:rsid w:val="00320694"/>
    <w:rsid w:val="00322710"/>
    <w:rsid w:val="00323A3B"/>
    <w:rsid w:val="00324BAA"/>
    <w:rsid w:val="003250D1"/>
    <w:rsid w:val="00326C7C"/>
    <w:rsid w:val="003275E9"/>
    <w:rsid w:val="00327DE7"/>
    <w:rsid w:val="00330635"/>
    <w:rsid w:val="0033346B"/>
    <w:rsid w:val="003337A5"/>
    <w:rsid w:val="00334D45"/>
    <w:rsid w:val="0033556E"/>
    <w:rsid w:val="00336A12"/>
    <w:rsid w:val="00336FDE"/>
    <w:rsid w:val="00341AFE"/>
    <w:rsid w:val="003420E4"/>
    <w:rsid w:val="00344959"/>
    <w:rsid w:val="003468AF"/>
    <w:rsid w:val="00347004"/>
    <w:rsid w:val="003474B2"/>
    <w:rsid w:val="003505E0"/>
    <w:rsid w:val="00350D90"/>
    <w:rsid w:val="0035222A"/>
    <w:rsid w:val="003528F8"/>
    <w:rsid w:val="003535CE"/>
    <w:rsid w:val="003536F8"/>
    <w:rsid w:val="00353B85"/>
    <w:rsid w:val="00353E3F"/>
    <w:rsid w:val="003548C6"/>
    <w:rsid w:val="00355E54"/>
    <w:rsid w:val="00356347"/>
    <w:rsid w:val="003563E7"/>
    <w:rsid w:val="00356D8C"/>
    <w:rsid w:val="00360177"/>
    <w:rsid w:val="003607BA"/>
    <w:rsid w:val="00361747"/>
    <w:rsid w:val="003618EA"/>
    <w:rsid w:val="00362325"/>
    <w:rsid w:val="00363001"/>
    <w:rsid w:val="00364140"/>
    <w:rsid w:val="00364FF0"/>
    <w:rsid w:val="00365819"/>
    <w:rsid w:val="003670BB"/>
    <w:rsid w:val="003679FB"/>
    <w:rsid w:val="00367C73"/>
    <w:rsid w:val="00367FEB"/>
    <w:rsid w:val="00371B14"/>
    <w:rsid w:val="00374475"/>
    <w:rsid w:val="0037531B"/>
    <w:rsid w:val="00377138"/>
    <w:rsid w:val="00380319"/>
    <w:rsid w:val="00380AA5"/>
    <w:rsid w:val="00381CDB"/>
    <w:rsid w:val="003836FF"/>
    <w:rsid w:val="00385F7C"/>
    <w:rsid w:val="00386458"/>
    <w:rsid w:val="003879DE"/>
    <w:rsid w:val="003911EE"/>
    <w:rsid w:val="00391965"/>
    <w:rsid w:val="00393E3C"/>
    <w:rsid w:val="003943F3"/>
    <w:rsid w:val="00396AC0"/>
    <w:rsid w:val="003973C7"/>
    <w:rsid w:val="003973C9"/>
    <w:rsid w:val="00397AD3"/>
    <w:rsid w:val="003A0A3C"/>
    <w:rsid w:val="003A2519"/>
    <w:rsid w:val="003A28CD"/>
    <w:rsid w:val="003A3532"/>
    <w:rsid w:val="003A38DB"/>
    <w:rsid w:val="003A47F0"/>
    <w:rsid w:val="003A73EE"/>
    <w:rsid w:val="003B2113"/>
    <w:rsid w:val="003B4168"/>
    <w:rsid w:val="003B4508"/>
    <w:rsid w:val="003B5458"/>
    <w:rsid w:val="003B5610"/>
    <w:rsid w:val="003B5A63"/>
    <w:rsid w:val="003B5F25"/>
    <w:rsid w:val="003C0E2D"/>
    <w:rsid w:val="003C1741"/>
    <w:rsid w:val="003C291A"/>
    <w:rsid w:val="003C2C1D"/>
    <w:rsid w:val="003C3221"/>
    <w:rsid w:val="003C4788"/>
    <w:rsid w:val="003D13BE"/>
    <w:rsid w:val="003D4C31"/>
    <w:rsid w:val="003E0EAF"/>
    <w:rsid w:val="003E21D7"/>
    <w:rsid w:val="003E299B"/>
    <w:rsid w:val="003E32C1"/>
    <w:rsid w:val="003E3987"/>
    <w:rsid w:val="003E3EA1"/>
    <w:rsid w:val="003E53F4"/>
    <w:rsid w:val="003E5629"/>
    <w:rsid w:val="003E5F1A"/>
    <w:rsid w:val="003E643C"/>
    <w:rsid w:val="003E6706"/>
    <w:rsid w:val="003F160E"/>
    <w:rsid w:val="003F16A7"/>
    <w:rsid w:val="003F3912"/>
    <w:rsid w:val="003F47CD"/>
    <w:rsid w:val="003F4DF5"/>
    <w:rsid w:val="003F50C1"/>
    <w:rsid w:val="003F58E7"/>
    <w:rsid w:val="003F6244"/>
    <w:rsid w:val="00401094"/>
    <w:rsid w:val="00401196"/>
    <w:rsid w:val="0040294E"/>
    <w:rsid w:val="00402AD4"/>
    <w:rsid w:val="00402BF4"/>
    <w:rsid w:val="00403FA9"/>
    <w:rsid w:val="0040487D"/>
    <w:rsid w:val="00405F7D"/>
    <w:rsid w:val="00407361"/>
    <w:rsid w:val="00407881"/>
    <w:rsid w:val="00410A8D"/>
    <w:rsid w:val="004123A7"/>
    <w:rsid w:val="004123B7"/>
    <w:rsid w:val="00415D5C"/>
    <w:rsid w:val="00417C5E"/>
    <w:rsid w:val="00420302"/>
    <w:rsid w:val="0042138B"/>
    <w:rsid w:val="004220E3"/>
    <w:rsid w:val="00423B52"/>
    <w:rsid w:val="004240AD"/>
    <w:rsid w:val="004263AC"/>
    <w:rsid w:val="00426A08"/>
    <w:rsid w:val="00431C42"/>
    <w:rsid w:val="00432419"/>
    <w:rsid w:val="00432FB5"/>
    <w:rsid w:val="00435267"/>
    <w:rsid w:val="00437E1B"/>
    <w:rsid w:val="00440A08"/>
    <w:rsid w:val="004413EE"/>
    <w:rsid w:val="00442A46"/>
    <w:rsid w:val="00442E75"/>
    <w:rsid w:val="004445A2"/>
    <w:rsid w:val="00446711"/>
    <w:rsid w:val="00446C79"/>
    <w:rsid w:val="00450E3B"/>
    <w:rsid w:val="00451766"/>
    <w:rsid w:val="004523A9"/>
    <w:rsid w:val="00452CC2"/>
    <w:rsid w:val="00453267"/>
    <w:rsid w:val="00453AD5"/>
    <w:rsid w:val="004544BB"/>
    <w:rsid w:val="00454B91"/>
    <w:rsid w:val="00455649"/>
    <w:rsid w:val="00456ECB"/>
    <w:rsid w:val="004571DD"/>
    <w:rsid w:val="00457641"/>
    <w:rsid w:val="004602D3"/>
    <w:rsid w:val="004603A7"/>
    <w:rsid w:val="00461CF2"/>
    <w:rsid w:val="004623B2"/>
    <w:rsid w:val="0046333F"/>
    <w:rsid w:val="00463F81"/>
    <w:rsid w:val="0046456F"/>
    <w:rsid w:val="00464B1C"/>
    <w:rsid w:val="00464C91"/>
    <w:rsid w:val="00466593"/>
    <w:rsid w:val="00466DE4"/>
    <w:rsid w:val="00466FF7"/>
    <w:rsid w:val="00470DB4"/>
    <w:rsid w:val="00472A97"/>
    <w:rsid w:val="004741F6"/>
    <w:rsid w:val="0047656D"/>
    <w:rsid w:val="00484D17"/>
    <w:rsid w:val="0048709B"/>
    <w:rsid w:val="004925D1"/>
    <w:rsid w:val="0049342D"/>
    <w:rsid w:val="00493530"/>
    <w:rsid w:val="004946E8"/>
    <w:rsid w:val="004947A1"/>
    <w:rsid w:val="00495A5F"/>
    <w:rsid w:val="00496DC7"/>
    <w:rsid w:val="00496EC0"/>
    <w:rsid w:val="00497252"/>
    <w:rsid w:val="00497588"/>
    <w:rsid w:val="004A03B2"/>
    <w:rsid w:val="004A0C92"/>
    <w:rsid w:val="004A0FF5"/>
    <w:rsid w:val="004A306A"/>
    <w:rsid w:val="004A38A4"/>
    <w:rsid w:val="004A4584"/>
    <w:rsid w:val="004A634A"/>
    <w:rsid w:val="004A6A97"/>
    <w:rsid w:val="004B3971"/>
    <w:rsid w:val="004B5411"/>
    <w:rsid w:val="004B5BA6"/>
    <w:rsid w:val="004B5D48"/>
    <w:rsid w:val="004B6965"/>
    <w:rsid w:val="004B69F7"/>
    <w:rsid w:val="004B701A"/>
    <w:rsid w:val="004C12C7"/>
    <w:rsid w:val="004C2007"/>
    <w:rsid w:val="004C22AD"/>
    <w:rsid w:val="004C2EDC"/>
    <w:rsid w:val="004C330A"/>
    <w:rsid w:val="004C4DE3"/>
    <w:rsid w:val="004C7D36"/>
    <w:rsid w:val="004D028A"/>
    <w:rsid w:val="004D04FC"/>
    <w:rsid w:val="004D769E"/>
    <w:rsid w:val="004D7B3F"/>
    <w:rsid w:val="004E3B29"/>
    <w:rsid w:val="004E3B4C"/>
    <w:rsid w:val="004E3DC5"/>
    <w:rsid w:val="004E46A4"/>
    <w:rsid w:val="004E48EF"/>
    <w:rsid w:val="004E6909"/>
    <w:rsid w:val="004E7F52"/>
    <w:rsid w:val="004F04C7"/>
    <w:rsid w:val="004F061D"/>
    <w:rsid w:val="004F216B"/>
    <w:rsid w:val="004F3013"/>
    <w:rsid w:val="004F36AD"/>
    <w:rsid w:val="004F38BF"/>
    <w:rsid w:val="004F3DDF"/>
    <w:rsid w:val="004F71C6"/>
    <w:rsid w:val="004F7571"/>
    <w:rsid w:val="004F7B75"/>
    <w:rsid w:val="004F7E4E"/>
    <w:rsid w:val="00501A14"/>
    <w:rsid w:val="00501A27"/>
    <w:rsid w:val="0050310A"/>
    <w:rsid w:val="00505B2E"/>
    <w:rsid w:val="00510514"/>
    <w:rsid w:val="00510B64"/>
    <w:rsid w:val="00512399"/>
    <w:rsid w:val="0051274F"/>
    <w:rsid w:val="0051396D"/>
    <w:rsid w:val="005154E7"/>
    <w:rsid w:val="00515A5F"/>
    <w:rsid w:val="00516BE3"/>
    <w:rsid w:val="005204B9"/>
    <w:rsid w:val="00520517"/>
    <w:rsid w:val="00524091"/>
    <w:rsid w:val="00524EF2"/>
    <w:rsid w:val="00525269"/>
    <w:rsid w:val="00525694"/>
    <w:rsid w:val="00526B5C"/>
    <w:rsid w:val="00526DCF"/>
    <w:rsid w:val="00527E42"/>
    <w:rsid w:val="00530CAA"/>
    <w:rsid w:val="00530EDC"/>
    <w:rsid w:val="00532903"/>
    <w:rsid w:val="00533390"/>
    <w:rsid w:val="00534EFB"/>
    <w:rsid w:val="00536460"/>
    <w:rsid w:val="00536833"/>
    <w:rsid w:val="00542021"/>
    <w:rsid w:val="0054250A"/>
    <w:rsid w:val="00542686"/>
    <w:rsid w:val="00542D06"/>
    <w:rsid w:val="00542E27"/>
    <w:rsid w:val="005436B7"/>
    <w:rsid w:val="0054403B"/>
    <w:rsid w:val="005446BE"/>
    <w:rsid w:val="00545FB1"/>
    <w:rsid w:val="00546701"/>
    <w:rsid w:val="005473ED"/>
    <w:rsid w:val="00547DC6"/>
    <w:rsid w:val="005501FD"/>
    <w:rsid w:val="0055168C"/>
    <w:rsid w:val="005530CD"/>
    <w:rsid w:val="00553507"/>
    <w:rsid w:val="00556CE0"/>
    <w:rsid w:val="005573CF"/>
    <w:rsid w:val="005605A0"/>
    <w:rsid w:val="00561C75"/>
    <w:rsid w:val="00564375"/>
    <w:rsid w:val="005646B8"/>
    <w:rsid w:val="00564B4B"/>
    <w:rsid w:val="005658EF"/>
    <w:rsid w:val="00565B70"/>
    <w:rsid w:val="00565D34"/>
    <w:rsid w:val="00566993"/>
    <w:rsid w:val="005712AC"/>
    <w:rsid w:val="005718CF"/>
    <w:rsid w:val="00573777"/>
    <w:rsid w:val="0057419E"/>
    <w:rsid w:val="00574EFD"/>
    <w:rsid w:val="00574F1F"/>
    <w:rsid w:val="005755F4"/>
    <w:rsid w:val="00575C81"/>
    <w:rsid w:val="0058151D"/>
    <w:rsid w:val="00581B8A"/>
    <w:rsid w:val="005823C0"/>
    <w:rsid w:val="00583848"/>
    <w:rsid w:val="00583CA4"/>
    <w:rsid w:val="00583FE1"/>
    <w:rsid w:val="00584026"/>
    <w:rsid w:val="00584153"/>
    <w:rsid w:val="00584255"/>
    <w:rsid w:val="0058578B"/>
    <w:rsid w:val="00586532"/>
    <w:rsid w:val="00586E4F"/>
    <w:rsid w:val="0059085D"/>
    <w:rsid w:val="00590902"/>
    <w:rsid w:val="005942F7"/>
    <w:rsid w:val="005947AB"/>
    <w:rsid w:val="00595DEF"/>
    <w:rsid w:val="0059603F"/>
    <w:rsid w:val="005963CD"/>
    <w:rsid w:val="00596F9F"/>
    <w:rsid w:val="005A215F"/>
    <w:rsid w:val="005A2BDB"/>
    <w:rsid w:val="005A32B2"/>
    <w:rsid w:val="005A4686"/>
    <w:rsid w:val="005A5EB3"/>
    <w:rsid w:val="005A64E9"/>
    <w:rsid w:val="005A72C5"/>
    <w:rsid w:val="005B1192"/>
    <w:rsid w:val="005B1E2B"/>
    <w:rsid w:val="005B3F3F"/>
    <w:rsid w:val="005B4620"/>
    <w:rsid w:val="005B4CE2"/>
    <w:rsid w:val="005B4F10"/>
    <w:rsid w:val="005C0386"/>
    <w:rsid w:val="005C05A1"/>
    <w:rsid w:val="005C0B96"/>
    <w:rsid w:val="005C1DE3"/>
    <w:rsid w:val="005C2A26"/>
    <w:rsid w:val="005C5CD3"/>
    <w:rsid w:val="005C6632"/>
    <w:rsid w:val="005C78B7"/>
    <w:rsid w:val="005D0500"/>
    <w:rsid w:val="005D058C"/>
    <w:rsid w:val="005D3367"/>
    <w:rsid w:val="005D47E3"/>
    <w:rsid w:val="005D4DFD"/>
    <w:rsid w:val="005D72BD"/>
    <w:rsid w:val="005D730D"/>
    <w:rsid w:val="005E05A3"/>
    <w:rsid w:val="005E1A2C"/>
    <w:rsid w:val="005E1F78"/>
    <w:rsid w:val="005E3A06"/>
    <w:rsid w:val="005F0805"/>
    <w:rsid w:val="005F20EF"/>
    <w:rsid w:val="005F33E0"/>
    <w:rsid w:val="005F4A05"/>
    <w:rsid w:val="005F5715"/>
    <w:rsid w:val="005F60BF"/>
    <w:rsid w:val="005F6DCF"/>
    <w:rsid w:val="00600120"/>
    <w:rsid w:val="006039E2"/>
    <w:rsid w:val="00603E3F"/>
    <w:rsid w:val="00604223"/>
    <w:rsid w:val="006048FA"/>
    <w:rsid w:val="0060567A"/>
    <w:rsid w:val="00605CA0"/>
    <w:rsid w:val="0060643D"/>
    <w:rsid w:val="00606C99"/>
    <w:rsid w:val="00610CB7"/>
    <w:rsid w:val="0061206B"/>
    <w:rsid w:val="0061727E"/>
    <w:rsid w:val="00617866"/>
    <w:rsid w:val="00620696"/>
    <w:rsid w:val="006213FB"/>
    <w:rsid w:val="00624A6A"/>
    <w:rsid w:val="00625B58"/>
    <w:rsid w:val="006276B2"/>
    <w:rsid w:val="00627823"/>
    <w:rsid w:val="00627848"/>
    <w:rsid w:val="00632134"/>
    <w:rsid w:val="006325E9"/>
    <w:rsid w:val="0063463A"/>
    <w:rsid w:val="00635882"/>
    <w:rsid w:val="00636D49"/>
    <w:rsid w:val="00640218"/>
    <w:rsid w:val="00642844"/>
    <w:rsid w:val="0064362C"/>
    <w:rsid w:val="00644675"/>
    <w:rsid w:val="00644B86"/>
    <w:rsid w:val="00647117"/>
    <w:rsid w:val="00647942"/>
    <w:rsid w:val="006501B4"/>
    <w:rsid w:val="006501D6"/>
    <w:rsid w:val="00654189"/>
    <w:rsid w:val="0065537D"/>
    <w:rsid w:val="00657985"/>
    <w:rsid w:val="00657C9C"/>
    <w:rsid w:val="00657C9D"/>
    <w:rsid w:val="006609C9"/>
    <w:rsid w:val="0066104B"/>
    <w:rsid w:val="0066112F"/>
    <w:rsid w:val="0066190D"/>
    <w:rsid w:val="00661C74"/>
    <w:rsid w:val="00667344"/>
    <w:rsid w:val="00671613"/>
    <w:rsid w:val="0067238C"/>
    <w:rsid w:val="00672C4A"/>
    <w:rsid w:val="0067344A"/>
    <w:rsid w:val="00673E44"/>
    <w:rsid w:val="006749A1"/>
    <w:rsid w:val="00674F8D"/>
    <w:rsid w:val="00675AC6"/>
    <w:rsid w:val="006762CD"/>
    <w:rsid w:val="00676830"/>
    <w:rsid w:val="006806F1"/>
    <w:rsid w:val="006809EC"/>
    <w:rsid w:val="006821EE"/>
    <w:rsid w:val="00682F16"/>
    <w:rsid w:val="00684008"/>
    <w:rsid w:val="006842D2"/>
    <w:rsid w:val="00684A68"/>
    <w:rsid w:val="006914DD"/>
    <w:rsid w:val="00693901"/>
    <w:rsid w:val="00694781"/>
    <w:rsid w:val="006957D4"/>
    <w:rsid w:val="00696F94"/>
    <w:rsid w:val="006A15DB"/>
    <w:rsid w:val="006A2755"/>
    <w:rsid w:val="006A2BB8"/>
    <w:rsid w:val="006A2C7B"/>
    <w:rsid w:val="006A33E1"/>
    <w:rsid w:val="006A533E"/>
    <w:rsid w:val="006A5B92"/>
    <w:rsid w:val="006A6841"/>
    <w:rsid w:val="006B0BD8"/>
    <w:rsid w:val="006B1004"/>
    <w:rsid w:val="006B1179"/>
    <w:rsid w:val="006B1351"/>
    <w:rsid w:val="006B3125"/>
    <w:rsid w:val="006B312B"/>
    <w:rsid w:val="006B4E24"/>
    <w:rsid w:val="006B51E3"/>
    <w:rsid w:val="006B75D2"/>
    <w:rsid w:val="006B7C9C"/>
    <w:rsid w:val="006B7DB3"/>
    <w:rsid w:val="006C06EE"/>
    <w:rsid w:val="006C1FA2"/>
    <w:rsid w:val="006C208F"/>
    <w:rsid w:val="006C2DEB"/>
    <w:rsid w:val="006C4965"/>
    <w:rsid w:val="006C4A10"/>
    <w:rsid w:val="006C744A"/>
    <w:rsid w:val="006D357F"/>
    <w:rsid w:val="006D3B83"/>
    <w:rsid w:val="006D4D09"/>
    <w:rsid w:val="006D6E49"/>
    <w:rsid w:val="006E1DD8"/>
    <w:rsid w:val="006E1E53"/>
    <w:rsid w:val="006E3079"/>
    <w:rsid w:val="006E3B95"/>
    <w:rsid w:val="006E411F"/>
    <w:rsid w:val="006E6987"/>
    <w:rsid w:val="006E70FA"/>
    <w:rsid w:val="006E7B15"/>
    <w:rsid w:val="006F2A58"/>
    <w:rsid w:val="006F336C"/>
    <w:rsid w:val="006F34D8"/>
    <w:rsid w:val="006F45B2"/>
    <w:rsid w:val="006F5982"/>
    <w:rsid w:val="006F59F6"/>
    <w:rsid w:val="00701729"/>
    <w:rsid w:val="00702EAA"/>
    <w:rsid w:val="00703660"/>
    <w:rsid w:val="00704F95"/>
    <w:rsid w:val="00705482"/>
    <w:rsid w:val="0070723D"/>
    <w:rsid w:val="00707254"/>
    <w:rsid w:val="007116DC"/>
    <w:rsid w:val="00711F7A"/>
    <w:rsid w:val="00711FEE"/>
    <w:rsid w:val="00716136"/>
    <w:rsid w:val="00716F8C"/>
    <w:rsid w:val="007174CD"/>
    <w:rsid w:val="00720F49"/>
    <w:rsid w:val="007228CF"/>
    <w:rsid w:val="00723379"/>
    <w:rsid w:val="00723883"/>
    <w:rsid w:val="007247E3"/>
    <w:rsid w:val="00726481"/>
    <w:rsid w:val="00727524"/>
    <w:rsid w:val="00730307"/>
    <w:rsid w:val="00730880"/>
    <w:rsid w:val="00731049"/>
    <w:rsid w:val="00731F90"/>
    <w:rsid w:val="00733D56"/>
    <w:rsid w:val="007341D8"/>
    <w:rsid w:val="0073669D"/>
    <w:rsid w:val="00736C3B"/>
    <w:rsid w:val="00736DD8"/>
    <w:rsid w:val="00737ED9"/>
    <w:rsid w:val="007416D7"/>
    <w:rsid w:val="00741C28"/>
    <w:rsid w:val="00742006"/>
    <w:rsid w:val="00743E84"/>
    <w:rsid w:val="0074459C"/>
    <w:rsid w:val="00746BBE"/>
    <w:rsid w:val="00746EAE"/>
    <w:rsid w:val="007479F9"/>
    <w:rsid w:val="007519BF"/>
    <w:rsid w:val="007539B7"/>
    <w:rsid w:val="00753D4A"/>
    <w:rsid w:val="00754A02"/>
    <w:rsid w:val="00755966"/>
    <w:rsid w:val="00755C0A"/>
    <w:rsid w:val="00755EB0"/>
    <w:rsid w:val="007570FE"/>
    <w:rsid w:val="007573B6"/>
    <w:rsid w:val="007601AE"/>
    <w:rsid w:val="0076028A"/>
    <w:rsid w:val="0076057C"/>
    <w:rsid w:val="00761EDA"/>
    <w:rsid w:val="00763F8B"/>
    <w:rsid w:val="00764826"/>
    <w:rsid w:val="00765385"/>
    <w:rsid w:val="0076538F"/>
    <w:rsid w:val="007655EE"/>
    <w:rsid w:val="007657F2"/>
    <w:rsid w:val="007658CD"/>
    <w:rsid w:val="007666BD"/>
    <w:rsid w:val="00766CF7"/>
    <w:rsid w:val="00770599"/>
    <w:rsid w:val="00771ED3"/>
    <w:rsid w:val="00772F79"/>
    <w:rsid w:val="007745E8"/>
    <w:rsid w:val="00777B4F"/>
    <w:rsid w:val="00781FB3"/>
    <w:rsid w:val="007821FB"/>
    <w:rsid w:val="007834C9"/>
    <w:rsid w:val="007836C8"/>
    <w:rsid w:val="007842CE"/>
    <w:rsid w:val="0078480D"/>
    <w:rsid w:val="0078497A"/>
    <w:rsid w:val="00784D30"/>
    <w:rsid w:val="00786AB5"/>
    <w:rsid w:val="00786CCE"/>
    <w:rsid w:val="007874D1"/>
    <w:rsid w:val="00790D40"/>
    <w:rsid w:val="00790EBD"/>
    <w:rsid w:val="00791107"/>
    <w:rsid w:val="007930E8"/>
    <w:rsid w:val="00793221"/>
    <w:rsid w:val="00794031"/>
    <w:rsid w:val="00795B49"/>
    <w:rsid w:val="0079630F"/>
    <w:rsid w:val="00796DD0"/>
    <w:rsid w:val="00796EF4"/>
    <w:rsid w:val="007A0084"/>
    <w:rsid w:val="007A0830"/>
    <w:rsid w:val="007A143F"/>
    <w:rsid w:val="007A20DF"/>
    <w:rsid w:val="007A4EA6"/>
    <w:rsid w:val="007A5118"/>
    <w:rsid w:val="007A5FFD"/>
    <w:rsid w:val="007A7C07"/>
    <w:rsid w:val="007B0663"/>
    <w:rsid w:val="007B20B2"/>
    <w:rsid w:val="007B30C5"/>
    <w:rsid w:val="007B7213"/>
    <w:rsid w:val="007C268C"/>
    <w:rsid w:val="007C50BD"/>
    <w:rsid w:val="007C7E31"/>
    <w:rsid w:val="007D02FE"/>
    <w:rsid w:val="007D0BCD"/>
    <w:rsid w:val="007D229A"/>
    <w:rsid w:val="007D26A4"/>
    <w:rsid w:val="007D2B9B"/>
    <w:rsid w:val="007D7470"/>
    <w:rsid w:val="007D78F5"/>
    <w:rsid w:val="007E25FD"/>
    <w:rsid w:val="007E2D8E"/>
    <w:rsid w:val="007E3F6E"/>
    <w:rsid w:val="007E4173"/>
    <w:rsid w:val="007E4827"/>
    <w:rsid w:val="007E63F8"/>
    <w:rsid w:val="007F11E0"/>
    <w:rsid w:val="007F15C1"/>
    <w:rsid w:val="007F272C"/>
    <w:rsid w:val="007F2AF5"/>
    <w:rsid w:val="007F302F"/>
    <w:rsid w:val="007F37AE"/>
    <w:rsid w:val="007F4CAE"/>
    <w:rsid w:val="007F59A9"/>
    <w:rsid w:val="007F5B2C"/>
    <w:rsid w:val="007F6589"/>
    <w:rsid w:val="007F6A92"/>
    <w:rsid w:val="007F701F"/>
    <w:rsid w:val="00800290"/>
    <w:rsid w:val="0080061B"/>
    <w:rsid w:val="00801308"/>
    <w:rsid w:val="00803218"/>
    <w:rsid w:val="00803FC2"/>
    <w:rsid w:val="008041E6"/>
    <w:rsid w:val="00805288"/>
    <w:rsid w:val="00805656"/>
    <w:rsid w:val="00806F15"/>
    <w:rsid w:val="00810387"/>
    <w:rsid w:val="00810965"/>
    <w:rsid w:val="008115DC"/>
    <w:rsid w:val="008128EA"/>
    <w:rsid w:val="00812D7C"/>
    <w:rsid w:val="00815FAC"/>
    <w:rsid w:val="00816AA0"/>
    <w:rsid w:val="00817193"/>
    <w:rsid w:val="008172EB"/>
    <w:rsid w:val="0082015A"/>
    <w:rsid w:val="008202B1"/>
    <w:rsid w:val="008213B0"/>
    <w:rsid w:val="008220B3"/>
    <w:rsid w:val="008226CC"/>
    <w:rsid w:val="008240DF"/>
    <w:rsid w:val="008252EE"/>
    <w:rsid w:val="0082676F"/>
    <w:rsid w:val="0083183D"/>
    <w:rsid w:val="00832566"/>
    <w:rsid w:val="00832640"/>
    <w:rsid w:val="008354C3"/>
    <w:rsid w:val="008414A4"/>
    <w:rsid w:val="00841C08"/>
    <w:rsid w:val="00842811"/>
    <w:rsid w:val="00842953"/>
    <w:rsid w:val="008435B6"/>
    <w:rsid w:val="00843763"/>
    <w:rsid w:val="00844ECD"/>
    <w:rsid w:val="0084682F"/>
    <w:rsid w:val="00846F6C"/>
    <w:rsid w:val="00847502"/>
    <w:rsid w:val="00847823"/>
    <w:rsid w:val="0085081E"/>
    <w:rsid w:val="00850DA9"/>
    <w:rsid w:val="00850F50"/>
    <w:rsid w:val="00851F81"/>
    <w:rsid w:val="00852900"/>
    <w:rsid w:val="00852C4C"/>
    <w:rsid w:val="00852D14"/>
    <w:rsid w:val="008530F9"/>
    <w:rsid w:val="00854BD1"/>
    <w:rsid w:val="008558AE"/>
    <w:rsid w:val="008570FD"/>
    <w:rsid w:val="00857ED7"/>
    <w:rsid w:val="00860211"/>
    <w:rsid w:val="00861799"/>
    <w:rsid w:val="00861E41"/>
    <w:rsid w:val="008663FC"/>
    <w:rsid w:val="00867E50"/>
    <w:rsid w:val="00870167"/>
    <w:rsid w:val="008713AE"/>
    <w:rsid w:val="00871E0A"/>
    <w:rsid w:val="00874838"/>
    <w:rsid w:val="00875022"/>
    <w:rsid w:val="00875B97"/>
    <w:rsid w:val="00875DA6"/>
    <w:rsid w:val="008761FA"/>
    <w:rsid w:val="0087693D"/>
    <w:rsid w:val="00877ED4"/>
    <w:rsid w:val="00880126"/>
    <w:rsid w:val="0088388E"/>
    <w:rsid w:val="008842AD"/>
    <w:rsid w:val="00885CFE"/>
    <w:rsid w:val="0088664D"/>
    <w:rsid w:val="00886D94"/>
    <w:rsid w:val="008876C9"/>
    <w:rsid w:val="0089032E"/>
    <w:rsid w:val="00891246"/>
    <w:rsid w:val="00892D5D"/>
    <w:rsid w:val="00893B99"/>
    <w:rsid w:val="00894811"/>
    <w:rsid w:val="00894F9A"/>
    <w:rsid w:val="00896EF6"/>
    <w:rsid w:val="00897DE0"/>
    <w:rsid w:val="008A220A"/>
    <w:rsid w:val="008A25A0"/>
    <w:rsid w:val="008A39DA"/>
    <w:rsid w:val="008A467A"/>
    <w:rsid w:val="008A4E0B"/>
    <w:rsid w:val="008A5E3F"/>
    <w:rsid w:val="008A77D7"/>
    <w:rsid w:val="008B0052"/>
    <w:rsid w:val="008B19A5"/>
    <w:rsid w:val="008B19B1"/>
    <w:rsid w:val="008B2630"/>
    <w:rsid w:val="008B28BE"/>
    <w:rsid w:val="008B2AF7"/>
    <w:rsid w:val="008B4AEC"/>
    <w:rsid w:val="008B4D0B"/>
    <w:rsid w:val="008B56F2"/>
    <w:rsid w:val="008B6BF0"/>
    <w:rsid w:val="008B6F38"/>
    <w:rsid w:val="008B7E12"/>
    <w:rsid w:val="008C0227"/>
    <w:rsid w:val="008C12EC"/>
    <w:rsid w:val="008C13EF"/>
    <w:rsid w:val="008C1971"/>
    <w:rsid w:val="008C1D12"/>
    <w:rsid w:val="008C1EF5"/>
    <w:rsid w:val="008C230B"/>
    <w:rsid w:val="008C277F"/>
    <w:rsid w:val="008C4357"/>
    <w:rsid w:val="008C74A8"/>
    <w:rsid w:val="008D331A"/>
    <w:rsid w:val="008D3BE0"/>
    <w:rsid w:val="008D5B5A"/>
    <w:rsid w:val="008D7ACC"/>
    <w:rsid w:val="008E1B88"/>
    <w:rsid w:val="008E3707"/>
    <w:rsid w:val="008E3AD9"/>
    <w:rsid w:val="008E3D53"/>
    <w:rsid w:val="008E44A1"/>
    <w:rsid w:val="008E565A"/>
    <w:rsid w:val="008E63A8"/>
    <w:rsid w:val="008E7439"/>
    <w:rsid w:val="008F091E"/>
    <w:rsid w:val="008F2902"/>
    <w:rsid w:val="008F34CC"/>
    <w:rsid w:val="008F44FE"/>
    <w:rsid w:val="00902104"/>
    <w:rsid w:val="0090352D"/>
    <w:rsid w:val="00903631"/>
    <w:rsid w:val="00903FAB"/>
    <w:rsid w:val="0090414D"/>
    <w:rsid w:val="00911C9D"/>
    <w:rsid w:val="0091433D"/>
    <w:rsid w:val="009147BA"/>
    <w:rsid w:val="0091500D"/>
    <w:rsid w:val="00915A6F"/>
    <w:rsid w:val="00915E5A"/>
    <w:rsid w:val="0091603F"/>
    <w:rsid w:val="00917A51"/>
    <w:rsid w:val="00921BBF"/>
    <w:rsid w:val="00921D2E"/>
    <w:rsid w:val="00922D24"/>
    <w:rsid w:val="00925998"/>
    <w:rsid w:val="00926D89"/>
    <w:rsid w:val="00926E4E"/>
    <w:rsid w:val="00927CD5"/>
    <w:rsid w:val="00930101"/>
    <w:rsid w:val="009314AE"/>
    <w:rsid w:val="00934271"/>
    <w:rsid w:val="00935657"/>
    <w:rsid w:val="00935946"/>
    <w:rsid w:val="00936675"/>
    <w:rsid w:val="00936854"/>
    <w:rsid w:val="00936EA5"/>
    <w:rsid w:val="00937F58"/>
    <w:rsid w:val="00942434"/>
    <w:rsid w:val="00942B8D"/>
    <w:rsid w:val="009450BB"/>
    <w:rsid w:val="00946D47"/>
    <w:rsid w:val="009479B4"/>
    <w:rsid w:val="00947A2E"/>
    <w:rsid w:val="009511E8"/>
    <w:rsid w:val="00951275"/>
    <w:rsid w:val="009516C3"/>
    <w:rsid w:val="00952C97"/>
    <w:rsid w:val="00952CE1"/>
    <w:rsid w:val="009535DD"/>
    <w:rsid w:val="00953976"/>
    <w:rsid w:val="00953BF8"/>
    <w:rsid w:val="00954416"/>
    <w:rsid w:val="00954DFC"/>
    <w:rsid w:val="00956861"/>
    <w:rsid w:val="00962BA0"/>
    <w:rsid w:val="00962CD5"/>
    <w:rsid w:val="009634DE"/>
    <w:rsid w:val="009647BD"/>
    <w:rsid w:val="00966B51"/>
    <w:rsid w:val="0096702E"/>
    <w:rsid w:val="00967307"/>
    <w:rsid w:val="009737A4"/>
    <w:rsid w:val="0098254C"/>
    <w:rsid w:val="00982B89"/>
    <w:rsid w:val="00984FBA"/>
    <w:rsid w:val="00985085"/>
    <w:rsid w:val="009859CF"/>
    <w:rsid w:val="009865B9"/>
    <w:rsid w:val="00990BD9"/>
    <w:rsid w:val="00990CF5"/>
    <w:rsid w:val="009915D1"/>
    <w:rsid w:val="00993B7D"/>
    <w:rsid w:val="0099618B"/>
    <w:rsid w:val="00997D31"/>
    <w:rsid w:val="009A1C0A"/>
    <w:rsid w:val="009A230C"/>
    <w:rsid w:val="009A41A1"/>
    <w:rsid w:val="009A45DD"/>
    <w:rsid w:val="009A6ABB"/>
    <w:rsid w:val="009B04F6"/>
    <w:rsid w:val="009B21F9"/>
    <w:rsid w:val="009B3799"/>
    <w:rsid w:val="009B3BFA"/>
    <w:rsid w:val="009B4C8C"/>
    <w:rsid w:val="009B6870"/>
    <w:rsid w:val="009B6F00"/>
    <w:rsid w:val="009B6FC5"/>
    <w:rsid w:val="009B79EE"/>
    <w:rsid w:val="009B7B21"/>
    <w:rsid w:val="009C24F5"/>
    <w:rsid w:val="009C3A16"/>
    <w:rsid w:val="009C3A5E"/>
    <w:rsid w:val="009C48E2"/>
    <w:rsid w:val="009C4EFF"/>
    <w:rsid w:val="009C5270"/>
    <w:rsid w:val="009C6281"/>
    <w:rsid w:val="009C6E23"/>
    <w:rsid w:val="009C732F"/>
    <w:rsid w:val="009C746D"/>
    <w:rsid w:val="009C76B5"/>
    <w:rsid w:val="009D105D"/>
    <w:rsid w:val="009D1790"/>
    <w:rsid w:val="009D4D0B"/>
    <w:rsid w:val="009D4EFD"/>
    <w:rsid w:val="009D6A14"/>
    <w:rsid w:val="009E0853"/>
    <w:rsid w:val="009E0E09"/>
    <w:rsid w:val="009E2908"/>
    <w:rsid w:val="009E475F"/>
    <w:rsid w:val="009E7F6A"/>
    <w:rsid w:val="009F0299"/>
    <w:rsid w:val="009F0B07"/>
    <w:rsid w:val="009F4189"/>
    <w:rsid w:val="009F4ADC"/>
    <w:rsid w:val="009F5013"/>
    <w:rsid w:val="009F56F8"/>
    <w:rsid w:val="009F6451"/>
    <w:rsid w:val="009F74FE"/>
    <w:rsid w:val="00A00073"/>
    <w:rsid w:val="00A0103E"/>
    <w:rsid w:val="00A015BD"/>
    <w:rsid w:val="00A01E61"/>
    <w:rsid w:val="00A03056"/>
    <w:rsid w:val="00A03371"/>
    <w:rsid w:val="00A03916"/>
    <w:rsid w:val="00A03DDA"/>
    <w:rsid w:val="00A06AB9"/>
    <w:rsid w:val="00A102F4"/>
    <w:rsid w:val="00A10EC4"/>
    <w:rsid w:val="00A116DC"/>
    <w:rsid w:val="00A13B27"/>
    <w:rsid w:val="00A16852"/>
    <w:rsid w:val="00A20CD3"/>
    <w:rsid w:val="00A218B2"/>
    <w:rsid w:val="00A239F0"/>
    <w:rsid w:val="00A23C71"/>
    <w:rsid w:val="00A250E6"/>
    <w:rsid w:val="00A25402"/>
    <w:rsid w:val="00A30CEB"/>
    <w:rsid w:val="00A33DDB"/>
    <w:rsid w:val="00A373E9"/>
    <w:rsid w:val="00A410DA"/>
    <w:rsid w:val="00A43789"/>
    <w:rsid w:val="00A44403"/>
    <w:rsid w:val="00A46553"/>
    <w:rsid w:val="00A4702A"/>
    <w:rsid w:val="00A47F89"/>
    <w:rsid w:val="00A5001B"/>
    <w:rsid w:val="00A50252"/>
    <w:rsid w:val="00A51189"/>
    <w:rsid w:val="00A51F35"/>
    <w:rsid w:val="00A52398"/>
    <w:rsid w:val="00A5353D"/>
    <w:rsid w:val="00A538D6"/>
    <w:rsid w:val="00A5450E"/>
    <w:rsid w:val="00A55781"/>
    <w:rsid w:val="00A567C2"/>
    <w:rsid w:val="00A57EFB"/>
    <w:rsid w:val="00A6298F"/>
    <w:rsid w:val="00A63F89"/>
    <w:rsid w:val="00A648FD"/>
    <w:rsid w:val="00A64D47"/>
    <w:rsid w:val="00A6593A"/>
    <w:rsid w:val="00A66646"/>
    <w:rsid w:val="00A66647"/>
    <w:rsid w:val="00A66EC0"/>
    <w:rsid w:val="00A67232"/>
    <w:rsid w:val="00A70B9E"/>
    <w:rsid w:val="00A72040"/>
    <w:rsid w:val="00A73810"/>
    <w:rsid w:val="00A74893"/>
    <w:rsid w:val="00A76CE8"/>
    <w:rsid w:val="00A771D5"/>
    <w:rsid w:val="00A77A2F"/>
    <w:rsid w:val="00A77B9A"/>
    <w:rsid w:val="00A82DB4"/>
    <w:rsid w:val="00A83559"/>
    <w:rsid w:val="00A83D2C"/>
    <w:rsid w:val="00A852F4"/>
    <w:rsid w:val="00A85C2B"/>
    <w:rsid w:val="00A85CC4"/>
    <w:rsid w:val="00A87633"/>
    <w:rsid w:val="00A90B83"/>
    <w:rsid w:val="00A912D4"/>
    <w:rsid w:val="00A91354"/>
    <w:rsid w:val="00A92DD0"/>
    <w:rsid w:val="00A9629F"/>
    <w:rsid w:val="00A967F2"/>
    <w:rsid w:val="00A9697B"/>
    <w:rsid w:val="00A97F27"/>
    <w:rsid w:val="00AA039F"/>
    <w:rsid w:val="00AA075E"/>
    <w:rsid w:val="00AA0A72"/>
    <w:rsid w:val="00AA0B51"/>
    <w:rsid w:val="00AA1123"/>
    <w:rsid w:val="00AA1B50"/>
    <w:rsid w:val="00AA208D"/>
    <w:rsid w:val="00AA3268"/>
    <w:rsid w:val="00AA33E0"/>
    <w:rsid w:val="00AA47DB"/>
    <w:rsid w:val="00AA6075"/>
    <w:rsid w:val="00AB0A11"/>
    <w:rsid w:val="00AB0B1B"/>
    <w:rsid w:val="00AB2EC4"/>
    <w:rsid w:val="00AB37B6"/>
    <w:rsid w:val="00AB40F2"/>
    <w:rsid w:val="00AB4769"/>
    <w:rsid w:val="00AB5E93"/>
    <w:rsid w:val="00AB6E92"/>
    <w:rsid w:val="00AB7029"/>
    <w:rsid w:val="00AC0C5E"/>
    <w:rsid w:val="00AC1116"/>
    <w:rsid w:val="00AC1483"/>
    <w:rsid w:val="00AC209E"/>
    <w:rsid w:val="00AC29DB"/>
    <w:rsid w:val="00AC3166"/>
    <w:rsid w:val="00AC463B"/>
    <w:rsid w:val="00AC573B"/>
    <w:rsid w:val="00AC611E"/>
    <w:rsid w:val="00AC6D4F"/>
    <w:rsid w:val="00AC729B"/>
    <w:rsid w:val="00AC7EAD"/>
    <w:rsid w:val="00AD1EE9"/>
    <w:rsid w:val="00AD2823"/>
    <w:rsid w:val="00AD2BB1"/>
    <w:rsid w:val="00AD3CAF"/>
    <w:rsid w:val="00AD6208"/>
    <w:rsid w:val="00AD640A"/>
    <w:rsid w:val="00AD6E7E"/>
    <w:rsid w:val="00AD7B0F"/>
    <w:rsid w:val="00AE053A"/>
    <w:rsid w:val="00AE12FB"/>
    <w:rsid w:val="00AE3DAC"/>
    <w:rsid w:val="00AE3ED8"/>
    <w:rsid w:val="00AE4FC8"/>
    <w:rsid w:val="00AF2A40"/>
    <w:rsid w:val="00AF2B9F"/>
    <w:rsid w:val="00AF5FDE"/>
    <w:rsid w:val="00B01705"/>
    <w:rsid w:val="00B0193D"/>
    <w:rsid w:val="00B0217C"/>
    <w:rsid w:val="00B03B65"/>
    <w:rsid w:val="00B0448B"/>
    <w:rsid w:val="00B06218"/>
    <w:rsid w:val="00B0648E"/>
    <w:rsid w:val="00B12A1C"/>
    <w:rsid w:val="00B14960"/>
    <w:rsid w:val="00B14C69"/>
    <w:rsid w:val="00B150A3"/>
    <w:rsid w:val="00B16A01"/>
    <w:rsid w:val="00B16F3D"/>
    <w:rsid w:val="00B16F7D"/>
    <w:rsid w:val="00B17704"/>
    <w:rsid w:val="00B20D45"/>
    <w:rsid w:val="00B22189"/>
    <w:rsid w:val="00B23A0B"/>
    <w:rsid w:val="00B2776E"/>
    <w:rsid w:val="00B27F58"/>
    <w:rsid w:val="00B3098F"/>
    <w:rsid w:val="00B3122C"/>
    <w:rsid w:val="00B3153D"/>
    <w:rsid w:val="00B31E06"/>
    <w:rsid w:val="00B31F6C"/>
    <w:rsid w:val="00B33514"/>
    <w:rsid w:val="00B34116"/>
    <w:rsid w:val="00B34B50"/>
    <w:rsid w:val="00B35CBF"/>
    <w:rsid w:val="00B40684"/>
    <w:rsid w:val="00B43CC3"/>
    <w:rsid w:val="00B43DC9"/>
    <w:rsid w:val="00B44157"/>
    <w:rsid w:val="00B4429E"/>
    <w:rsid w:val="00B444A7"/>
    <w:rsid w:val="00B46BE0"/>
    <w:rsid w:val="00B46EEB"/>
    <w:rsid w:val="00B5017B"/>
    <w:rsid w:val="00B51C73"/>
    <w:rsid w:val="00B51D5C"/>
    <w:rsid w:val="00B5306B"/>
    <w:rsid w:val="00B5442C"/>
    <w:rsid w:val="00B5480F"/>
    <w:rsid w:val="00B55460"/>
    <w:rsid w:val="00B55A64"/>
    <w:rsid w:val="00B57343"/>
    <w:rsid w:val="00B57DAB"/>
    <w:rsid w:val="00B639C9"/>
    <w:rsid w:val="00B656E8"/>
    <w:rsid w:val="00B65843"/>
    <w:rsid w:val="00B6595F"/>
    <w:rsid w:val="00B65FFD"/>
    <w:rsid w:val="00B666BC"/>
    <w:rsid w:val="00B66D17"/>
    <w:rsid w:val="00B67141"/>
    <w:rsid w:val="00B673A9"/>
    <w:rsid w:val="00B70410"/>
    <w:rsid w:val="00B70E54"/>
    <w:rsid w:val="00B71A00"/>
    <w:rsid w:val="00B71E9D"/>
    <w:rsid w:val="00B7209E"/>
    <w:rsid w:val="00B72987"/>
    <w:rsid w:val="00B7366F"/>
    <w:rsid w:val="00B737D6"/>
    <w:rsid w:val="00B73A0B"/>
    <w:rsid w:val="00B75D5B"/>
    <w:rsid w:val="00B75E3B"/>
    <w:rsid w:val="00B75FE0"/>
    <w:rsid w:val="00B76368"/>
    <w:rsid w:val="00B773F1"/>
    <w:rsid w:val="00B838E2"/>
    <w:rsid w:val="00B86562"/>
    <w:rsid w:val="00B91C9E"/>
    <w:rsid w:val="00B91E8B"/>
    <w:rsid w:val="00B94A22"/>
    <w:rsid w:val="00B94A88"/>
    <w:rsid w:val="00B94F07"/>
    <w:rsid w:val="00B9592C"/>
    <w:rsid w:val="00B9736D"/>
    <w:rsid w:val="00BA0A82"/>
    <w:rsid w:val="00BA0E0F"/>
    <w:rsid w:val="00BA2D9B"/>
    <w:rsid w:val="00BA31A4"/>
    <w:rsid w:val="00BA424C"/>
    <w:rsid w:val="00BA4944"/>
    <w:rsid w:val="00BA7679"/>
    <w:rsid w:val="00BB1597"/>
    <w:rsid w:val="00BB19C2"/>
    <w:rsid w:val="00BB1FFF"/>
    <w:rsid w:val="00BB2015"/>
    <w:rsid w:val="00BB2437"/>
    <w:rsid w:val="00BB48B9"/>
    <w:rsid w:val="00BC0A51"/>
    <w:rsid w:val="00BC0E40"/>
    <w:rsid w:val="00BC1802"/>
    <w:rsid w:val="00BC20DF"/>
    <w:rsid w:val="00BC3690"/>
    <w:rsid w:val="00BC3CB2"/>
    <w:rsid w:val="00BC581A"/>
    <w:rsid w:val="00BD0C0E"/>
    <w:rsid w:val="00BD2386"/>
    <w:rsid w:val="00BD2A8E"/>
    <w:rsid w:val="00BD3D73"/>
    <w:rsid w:val="00BD40FF"/>
    <w:rsid w:val="00BD4299"/>
    <w:rsid w:val="00BE027A"/>
    <w:rsid w:val="00BE0CCD"/>
    <w:rsid w:val="00BE2171"/>
    <w:rsid w:val="00BE294C"/>
    <w:rsid w:val="00BE3AB6"/>
    <w:rsid w:val="00BE472B"/>
    <w:rsid w:val="00BE512B"/>
    <w:rsid w:val="00BE6790"/>
    <w:rsid w:val="00BF05E2"/>
    <w:rsid w:val="00BF0FA6"/>
    <w:rsid w:val="00BF2BAF"/>
    <w:rsid w:val="00BF3D46"/>
    <w:rsid w:val="00BF3E90"/>
    <w:rsid w:val="00BF4352"/>
    <w:rsid w:val="00BF5733"/>
    <w:rsid w:val="00BF6461"/>
    <w:rsid w:val="00BF679F"/>
    <w:rsid w:val="00BF7A66"/>
    <w:rsid w:val="00C01329"/>
    <w:rsid w:val="00C01740"/>
    <w:rsid w:val="00C028D5"/>
    <w:rsid w:val="00C05855"/>
    <w:rsid w:val="00C05D4F"/>
    <w:rsid w:val="00C05F96"/>
    <w:rsid w:val="00C06023"/>
    <w:rsid w:val="00C071C1"/>
    <w:rsid w:val="00C101BB"/>
    <w:rsid w:val="00C10A1D"/>
    <w:rsid w:val="00C10B6B"/>
    <w:rsid w:val="00C11486"/>
    <w:rsid w:val="00C129A3"/>
    <w:rsid w:val="00C135C3"/>
    <w:rsid w:val="00C14432"/>
    <w:rsid w:val="00C15668"/>
    <w:rsid w:val="00C15875"/>
    <w:rsid w:val="00C158C7"/>
    <w:rsid w:val="00C15994"/>
    <w:rsid w:val="00C16591"/>
    <w:rsid w:val="00C1721F"/>
    <w:rsid w:val="00C2010A"/>
    <w:rsid w:val="00C204EA"/>
    <w:rsid w:val="00C21515"/>
    <w:rsid w:val="00C2363C"/>
    <w:rsid w:val="00C24197"/>
    <w:rsid w:val="00C24A35"/>
    <w:rsid w:val="00C2513B"/>
    <w:rsid w:val="00C253A2"/>
    <w:rsid w:val="00C26D30"/>
    <w:rsid w:val="00C27103"/>
    <w:rsid w:val="00C302AC"/>
    <w:rsid w:val="00C31503"/>
    <w:rsid w:val="00C31724"/>
    <w:rsid w:val="00C31D54"/>
    <w:rsid w:val="00C342D4"/>
    <w:rsid w:val="00C3493C"/>
    <w:rsid w:val="00C36154"/>
    <w:rsid w:val="00C37A26"/>
    <w:rsid w:val="00C40C8E"/>
    <w:rsid w:val="00C450B9"/>
    <w:rsid w:val="00C457EB"/>
    <w:rsid w:val="00C47B89"/>
    <w:rsid w:val="00C52E51"/>
    <w:rsid w:val="00C532EB"/>
    <w:rsid w:val="00C537AD"/>
    <w:rsid w:val="00C552AA"/>
    <w:rsid w:val="00C56307"/>
    <w:rsid w:val="00C56533"/>
    <w:rsid w:val="00C6098C"/>
    <w:rsid w:val="00C610F5"/>
    <w:rsid w:val="00C6167E"/>
    <w:rsid w:val="00C61CED"/>
    <w:rsid w:val="00C62FEC"/>
    <w:rsid w:val="00C63241"/>
    <w:rsid w:val="00C63C10"/>
    <w:rsid w:val="00C64257"/>
    <w:rsid w:val="00C64420"/>
    <w:rsid w:val="00C66273"/>
    <w:rsid w:val="00C674E0"/>
    <w:rsid w:val="00C70078"/>
    <w:rsid w:val="00C70296"/>
    <w:rsid w:val="00C7077E"/>
    <w:rsid w:val="00C714D6"/>
    <w:rsid w:val="00C71BFB"/>
    <w:rsid w:val="00C71FC7"/>
    <w:rsid w:val="00C72C64"/>
    <w:rsid w:val="00C73D0A"/>
    <w:rsid w:val="00C7451D"/>
    <w:rsid w:val="00C7462E"/>
    <w:rsid w:val="00C75282"/>
    <w:rsid w:val="00C80592"/>
    <w:rsid w:val="00C8077D"/>
    <w:rsid w:val="00C80F54"/>
    <w:rsid w:val="00C818E7"/>
    <w:rsid w:val="00C82F7F"/>
    <w:rsid w:val="00C85DC3"/>
    <w:rsid w:val="00C860D6"/>
    <w:rsid w:val="00C90BC6"/>
    <w:rsid w:val="00C91633"/>
    <w:rsid w:val="00C924D6"/>
    <w:rsid w:val="00C92AEA"/>
    <w:rsid w:val="00C94B87"/>
    <w:rsid w:val="00C960A0"/>
    <w:rsid w:val="00CA0376"/>
    <w:rsid w:val="00CA0F78"/>
    <w:rsid w:val="00CA1DFF"/>
    <w:rsid w:val="00CA2CBC"/>
    <w:rsid w:val="00CA30F2"/>
    <w:rsid w:val="00CA323D"/>
    <w:rsid w:val="00CA3A4E"/>
    <w:rsid w:val="00CA49D6"/>
    <w:rsid w:val="00CA5408"/>
    <w:rsid w:val="00CA6086"/>
    <w:rsid w:val="00CA6A94"/>
    <w:rsid w:val="00CA765C"/>
    <w:rsid w:val="00CB145D"/>
    <w:rsid w:val="00CB1BEE"/>
    <w:rsid w:val="00CB3E78"/>
    <w:rsid w:val="00CB51D5"/>
    <w:rsid w:val="00CB5C68"/>
    <w:rsid w:val="00CB6380"/>
    <w:rsid w:val="00CB6863"/>
    <w:rsid w:val="00CC0C86"/>
    <w:rsid w:val="00CC1641"/>
    <w:rsid w:val="00CC2096"/>
    <w:rsid w:val="00CC3F8B"/>
    <w:rsid w:val="00CC40C0"/>
    <w:rsid w:val="00CC4D54"/>
    <w:rsid w:val="00CC580A"/>
    <w:rsid w:val="00CC61F6"/>
    <w:rsid w:val="00CC7057"/>
    <w:rsid w:val="00CD3400"/>
    <w:rsid w:val="00CD3C03"/>
    <w:rsid w:val="00CD3D33"/>
    <w:rsid w:val="00CD3EBC"/>
    <w:rsid w:val="00CD4556"/>
    <w:rsid w:val="00CD49C1"/>
    <w:rsid w:val="00CD4E40"/>
    <w:rsid w:val="00CD696E"/>
    <w:rsid w:val="00CD77DA"/>
    <w:rsid w:val="00CE0E24"/>
    <w:rsid w:val="00CE17D0"/>
    <w:rsid w:val="00CE3C4D"/>
    <w:rsid w:val="00CE54FD"/>
    <w:rsid w:val="00CE5AB4"/>
    <w:rsid w:val="00CE767A"/>
    <w:rsid w:val="00CF070C"/>
    <w:rsid w:val="00CF1753"/>
    <w:rsid w:val="00CF31C5"/>
    <w:rsid w:val="00CF60C3"/>
    <w:rsid w:val="00CF66E2"/>
    <w:rsid w:val="00CF6D8F"/>
    <w:rsid w:val="00D00042"/>
    <w:rsid w:val="00D00467"/>
    <w:rsid w:val="00D018C6"/>
    <w:rsid w:val="00D01998"/>
    <w:rsid w:val="00D01EC4"/>
    <w:rsid w:val="00D02F7A"/>
    <w:rsid w:val="00D036FE"/>
    <w:rsid w:val="00D03F54"/>
    <w:rsid w:val="00D055B1"/>
    <w:rsid w:val="00D05C97"/>
    <w:rsid w:val="00D077A5"/>
    <w:rsid w:val="00D07DF8"/>
    <w:rsid w:val="00D07E42"/>
    <w:rsid w:val="00D114A0"/>
    <w:rsid w:val="00D13B53"/>
    <w:rsid w:val="00D147E5"/>
    <w:rsid w:val="00D14EDC"/>
    <w:rsid w:val="00D16CF1"/>
    <w:rsid w:val="00D172D0"/>
    <w:rsid w:val="00D17C17"/>
    <w:rsid w:val="00D207E5"/>
    <w:rsid w:val="00D20F1D"/>
    <w:rsid w:val="00D2102D"/>
    <w:rsid w:val="00D211AC"/>
    <w:rsid w:val="00D23FBB"/>
    <w:rsid w:val="00D24090"/>
    <w:rsid w:val="00D24605"/>
    <w:rsid w:val="00D3026B"/>
    <w:rsid w:val="00D324F6"/>
    <w:rsid w:val="00D355DD"/>
    <w:rsid w:val="00D360AA"/>
    <w:rsid w:val="00D37FC4"/>
    <w:rsid w:val="00D42132"/>
    <w:rsid w:val="00D428DE"/>
    <w:rsid w:val="00D43100"/>
    <w:rsid w:val="00D43A60"/>
    <w:rsid w:val="00D44B42"/>
    <w:rsid w:val="00D45361"/>
    <w:rsid w:val="00D4594C"/>
    <w:rsid w:val="00D47F6C"/>
    <w:rsid w:val="00D50375"/>
    <w:rsid w:val="00D5080F"/>
    <w:rsid w:val="00D50A52"/>
    <w:rsid w:val="00D5202C"/>
    <w:rsid w:val="00D52557"/>
    <w:rsid w:val="00D5294B"/>
    <w:rsid w:val="00D600B5"/>
    <w:rsid w:val="00D611F4"/>
    <w:rsid w:val="00D67DBF"/>
    <w:rsid w:val="00D718D8"/>
    <w:rsid w:val="00D764FA"/>
    <w:rsid w:val="00D77F84"/>
    <w:rsid w:val="00D82580"/>
    <w:rsid w:val="00D83214"/>
    <w:rsid w:val="00D83F83"/>
    <w:rsid w:val="00D8574A"/>
    <w:rsid w:val="00D85B21"/>
    <w:rsid w:val="00D85D24"/>
    <w:rsid w:val="00D9077F"/>
    <w:rsid w:val="00D90850"/>
    <w:rsid w:val="00D9095D"/>
    <w:rsid w:val="00D91464"/>
    <w:rsid w:val="00D919DA"/>
    <w:rsid w:val="00D91D48"/>
    <w:rsid w:val="00D93823"/>
    <w:rsid w:val="00D93A6B"/>
    <w:rsid w:val="00D954B5"/>
    <w:rsid w:val="00D95A45"/>
    <w:rsid w:val="00D95A4F"/>
    <w:rsid w:val="00D962FC"/>
    <w:rsid w:val="00D974BB"/>
    <w:rsid w:val="00D97C54"/>
    <w:rsid w:val="00DA04D9"/>
    <w:rsid w:val="00DA057B"/>
    <w:rsid w:val="00DA270B"/>
    <w:rsid w:val="00DA2C57"/>
    <w:rsid w:val="00DB0099"/>
    <w:rsid w:val="00DB0E4A"/>
    <w:rsid w:val="00DB0E4B"/>
    <w:rsid w:val="00DB110F"/>
    <w:rsid w:val="00DB231E"/>
    <w:rsid w:val="00DB2B29"/>
    <w:rsid w:val="00DB76F2"/>
    <w:rsid w:val="00DC1DCB"/>
    <w:rsid w:val="00DC33A2"/>
    <w:rsid w:val="00DC4E62"/>
    <w:rsid w:val="00DC5278"/>
    <w:rsid w:val="00DC5C2D"/>
    <w:rsid w:val="00DD0070"/>
    <w:rsid w:val="00DD186C"/>
    <w:rsid w:val="00DD1D1A"/>
    <w:rsid w:val="00DE0D7F"/>
    <w:rsid w:val="00DE107D"/>
    <w:rsid w:val="00DE19C6"/>
    <w:rsid w:val="00DE2FA1"/>
    <w:rsid w:val="00DE45AA"/>
    <w:rsid w:val="00DE497E"/>
    <w:rsid w:val="00DE54B3"/>
    <w:rsid w:val="00DE6BDC"/>
    <w:rsid w:val="00DE7701"/>
    <w:rsid w:val="00DF0530"/>
    <w:rsid w:val="00DF4A94"/>
    <w:rsid w:val="00DF5BE4"/>
    <w:rsid w:val="00DF7165"/>
    <w:rsid w:val="00DF768F"/>
    <w:rsid w:val="00E05581"/>
    <w:rsid w:val="00E05F46"/>
    <w:rsid w:val="00E05FB1"/>
    <w:rsid w:val="00E06842"/>
    <w:rsid w:val="00E079A4"/>
    <w:rsid w:val="00E07F68"/>
    <w:rsid w:val="00E109A9"/>
    <w:rsid w:val="00E12825"/>
    <w:rsid w:val="00E130EB"/>
    <w:rsid w:val="00E1323A"/>
    <w:rsid w:val="00E135A9"/>
    <w:rsid w:val="00E1405D"/>
    <w:rsid w:val="00E141A9"/>
    <w:rsid w:val="00E1590E"/>
    <w:rsid w:val="00E15FF8"/>
    <w:rsid w:val="00E16610"/>
    <w:rsid w:val="00E17519"/>
    <w:rsid w:val="00E1769C"/>
    <w:rsid w:val="00E229C8"/>
    <w:rsid w:val="00E22DEA"/>
    <w:rsid w:val="00E22E24"/>
    <w:rsid w:val="00E2547D"/>
    <w:rsid w:val="00E25907"/>
    <w:rsid w:val="00E26E47"/>
    <w:rsid w:val="00E27983"/>
    <w:rsid w:val="00E304AD"/>
    <w:rsid w:val="00E30BF6"/>
    <w:rsid w:val="00E3187D"/>
    <w:rsid w:val="00E324DF"/>
    <w:rsid w:val="00E32CC4"/>
    <w:rsid w:val="00E33200"/>
    <w:rsid w:val="00E33402"/>
    <w:rsid w:val="00E33572"/>
    <w:rsid w:val="00E34C7E"/>
    <w:rsid w:val="00E3508C"/>
    <w:rsid w:val="00E35F73"/>
    <w:rsid w:val="00E372E2"/>
    <w:rsid w:val="00E37AB5"/>
    <w:rsid w:val="00E402A9"/>
    <w:rsid w:val="00E40317"/>
    <w:rsid w:val="00E418D0"/>
    <w:rsid w:val="00E43DFD"/>
    <w:rsid w:val="00E4629E"/>
    <w:rsid w:val="00E502E8"/>
    <w:rsid w:val="00E50B00"/>
    <w:rsid w:val="00E519F9"/>
    <w:rsid w:val="00E51BB6"/>
    <w:rsid w:val="00E52B90"/>
    <w:rsid w:val="00E537DA"/>
    <w:rsid w:val="00E54CCB"/>
    <w:rsid w:val="00E56880"/>
    <w:rsid w:val="00E62F5A"/>
    <w:rsid w:val="00E63677"/>
    <w:rsid w:val="00E64737"/>
    <w:rsid w:val="00E657BE"/>
    <w:rsid w:val="00E671B0"/>
    <w:rsid w:val="00E701DA"/>
    <w:rsid w:val="00E7278F"/>
    <w:rsid w:val="00E73A99"/>
    <w:rsid w:val="00E74831"/>
    <w:rsid w:val="00E74CA0"/>
    <w:rsid w:val="00E75067"/>
    <w:rsid w:val="00E7562D"/>
    <w:rsid w:val="00E763F3"/>
    <w:rsid w:val="00E76740"/>
    <w:rsid w:val="00E80D88"/>
    <w:rsid w:val="00E80DAD"/>
    <w:rsid w:val="00E8149A"/>
    <w:rsid w:val="00E81EA9"/>
    <w:rsid w:val="00E83181"/>
    <w:rsid w:val="00E84097"/>
    <w:rsid w:val="00E845F5"/>
    <w:rsid w:val="00E85933"/>
    <w:rsid w:val="00E868BC"/>
    <w:rsid w:val="00E86FAF"/>
    <w:rsid w:val="00E872B3"/>
    <w:rsid w:val="00E87F5C"/>
    <w:rsid w:val="00E92278"/>
    <w:rsid w:val="00E9450E"/>
    <w:rsid w:val="00E95B45"/>
    <w:rsid w:val="00E96521"/>
    <w:rsid w:val="00E9659E"/>
    <w:rsid w:val="00E97A89"/>
    <w:rsid w:val="00EA1F46"/>
    <w:rsid w:val="00EA475E"/>
    <w:rsid w:val="00EA51CB"/>
    <w:rsid w:val="00EA5960"/>
    <w:rsid w:val="00EA6188"/>
    <w:rsid w:val="00EB0D21"/>
    <w:rsid w:val="00EB21A2"/>
    <w:rsid w:val="00EB23B3"/>
    <w:rsid w:val="00EB2D48"/>
    <w:rsid w:val="00EB43D5"/>
    <w:rsid w:val="00EB4FF6"/>
    <w:rsid w:val="00EB6BCD"/>
    <w:rsid w:val="00EB7A8B"/>
    <w:rsid w:val="00EC1477"/>
    <w:rsid w:val="00EC3BEA"/>
    <w:rsid w:val="00EC424C"/>
    <w:rsid w:val="00EC4B14"/>
    <w:rsid w:val="00EC5689"/>
    <w:rsid w:val="00EC60CA"/>
    <w:rsid w:val="00ED3634"/>
    <w:rsid w:val="00ED394D"/>
    <w:rsid w:val="00ED4026"/>
    <w:rsid w:val="00ED4F45"/>
    <w:rsid w:val="00ED5B40"/>
    <w:rsid w:val="00ED68A4"/>
    <w:rsid w:val="00ED7D67"/>
    <w:rsid w:val="00EE120B"/>
    <w:rsid w:val="00EE1ACA"/>
    <w:rsid w:val="00EE3485"/>
    <w:rsid w:val="00EE46CE"/>
    <w:rsid w:val="00EE6B1B"/>
    <w:rsid w:val="00EF00EE"/>
    <w:rsid w:val="00EF086A"/>
    <w:rsid w:val="00EF1E4B"/>
    <w:rsid w:val="00EF669E"/>
    <w:rsid w:val="00EF7C7C"/>
    <w:rsid w:val="00F025FA"/>
    <w:rsid w:val="00F03B29"/>
    <w:rsid w:val="00F04B25"/>
    <w:rsid w:val="00F05BB2"/>
    <w:rsid w:val="00F05CEB"/>
    <w:rsid w:val="00F06F83"/>
    <w:rsid w:val="00F07FA1"/>
    <w:rsid w:val="00F11323"/>
    <w:rsid w:val="00F12C40"/>
    <w:rsid w:val="00F137D8"/>
    <w:rsid w:val="00F14556"/>
    <w:rsid w:val="00F146E9"/>
    <w:rsid w:val="00F15499"/>
    <w:rsid w:val="00F17244"/>
    <w:rsid w:val="00F177F9"/>
    <w:rsid w:val="00F17DF8"/>
    <w:rsid w:val="00F2168B"/>
    <w:rsid w:val="00F22032"/>
    <w:rsid w:val="00F220FE"/>
    <w:rsid w:val="00F22A6E"/>
    <w:rsid w:val="00F23D80"/>
    <w:rsid w:val="00F24001"/>
    <w:rsid w:val="00F24EAB"/>
    <w:rsid w:val="00F25D97"/>
    <w:rsid w:val="00F25F32"/>
    <w:rsid w:val="00F264DC"/>
    <w:rsid w:val="00F27D13"/>
    <w:rsid w:val="00F32519"/>
    <w:rsid w:val="00F34BEE"/>
    <w:rsid w:val="00F3562B"/>
    <w:rsid w:val="00F36BAC"/>
    <w:rsid w:val="00F36BAF"/>
    <w:rsid w:val="00F36FC9"/>
    <w:rsid w:val="00F376BE"/>
    <w:rsid w:val="00F37B62"/>
    <w:rsid w:val="00F400AF"/>
    <w:rsid w:val="00F41535"/>
    <w:rsid w:val="00F41B5A"/>
    <w:rsid w:val="00F41C30"/>
    <w:rsid w:val="00F42926"/>
    <w:rsid w:val="00F447D9"/>
    <w:rsid w:val="00F4543A"/>
    <w:rsid w:val="00F47BB5"/>
    <w:rsid w:val="00F47F5A"/>
    <w:rsid w:val="00F513CD"/>
    <w:rsid w:val="00F534A6"/>
    <w:rsid w:val="00F55AC1"/>
    <w:rsid w:val="00F5655E"/>
    <w:rsid w:val="00F56722"/>
    <w:rsid w:val="00F56734"/>
    <w:rsid w:val="00F5723C"/>
    <w:rsid w:val="00F604CE"/>
    <w:rsid w:val="00F60CBE"/>
    <w:rsid w:val="00F6106E"/>
    <w:rsid w:val="00F6232D"/>
    <w:rsid w:val="00F632D0"/>
    <w:rsid w:val="00F64070"/>
    <w:rsid w:val="00F6416C"/>
    <w:rsid w:val="00F645F6"/>
    <w:rsid w:val="00F6471F"/>
    <w:rsid w:val="00F64E0C"/>
    <w:rsid w:val="00F6561E"/>
    <w:rsid w:val="00F675ED"/>
    <w:rsid w:val="00F676CB"/>
    <w:rsid w:val="00F677D0"/>
    <w:rsid w:val="00F70973"/>
    <w:rsid w:val="00F7231A"/>
    <w:rsid w:val="00F735AC"/>
    <w:rsid w:val="00F736C3"/>
    <w:rsid w:val="00F74C17"/>
    <w:rsid w:val="00F7591B"/>
    <w:rsid w:val="00F76475"/>
    <w:rsid w:val="00F76AD6"/>
    <w:rsid w:val="00F779C4"/>
    <w:rsid w:val="00F77FF7"/>
    <w:rsid w:val="00F82D76"/>
    <w:rsid w:val="00F844AD"/>
    <w:rsid w:val="00F85136"/>
    <w:rsid w:val="00F90A93"/>
    <w:rsid w:val="00F916C6"/>
    <w:rsid w:val="00F91DE7"/>
    <w:rsid w:val="00F92752"/>
    <w:rsid w:val="00F92DFC"/>
    <w:rsid w:val="00F95999"/>
    <w:rsid w:val="00FA11FB"/>
    <w:rsid w:val="00FA2020"/>
    <w:rsid w:val="00FA3A9C"/>
    <w:rsid w:val="00FA3D29"/>
    <w:rsid w:val="00FA5380"/>
    <w:rsid w:val="00FA5731"/>
    <w:rsid w:val="00FA6788"/>
    <w:rsid w:val="00FA7DA1"/>
    <w:rsid w:val="00FB051C"/>
    <w:rsid w:val="00FB13EF"/>
    <w:rsid w:val="00FB21B4"/>
    <w:rsid w:val="00FB29F3"/>
    <w:rsid w:val="00FB2D09"/>
    <w:rsid w:val="00FB50AB"/>
    <w:rsid w:val="00FB5B98"/>
    <w:rsid w:val="00FB5EF9"/>
    <w:rsid w:val="00FB6028"/>
    <w:rsid w:val="00FB689A"/>
    <w:rsid w:val="00FB7233"/>
    <w:rsid w:val="00FC012C"/>
    <w:rsid w:val="00FC041A"/>
    <w:rsid w:val="00FC0E94"/>
    <w:rsid w:val="00FC271E"/>
    <w:rsid w:val="00FC5D92"/>
    <w:rsid w:val="00FC68FD"/>
    <w:rsid w:val="00FD2C40"/>
    <w:rsid w:val="00FD423C"/>
    <w:rsid w:val="00FD43AA"/>
    <w:rsid w:val="00FD45FF"/>
    <w:rsid w:val="00FD4863"/>
    <w:rsid w:val="00FD5208"/>
    <w:rsid w:val="00FD5B46"/>
    <w:rsid w:val="00FD6653"/>
    <w:rsid w:val="00FD72CB"/>
    <w:rsid w:val="00FE2EAA"/>
    <w:rsid w:val="00FE62FD"/>
    <w:rsid w:val="00FE63C8"/>
    <w:rsid w:val="00FE7202"/>
    <w:rsid w:val="00FE7CBC"/>
    <w:rsid w:val="00FF21EE"/>
    <w:rsid w:val="00FF24FF"/>
    <w:rsid w:val="00FF2877"/>
    <w:rsid w:val="00FF58AF"/>
    <w:rsid w:val="00FF7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F2ECEA8"/>
  <w15:docId w15:val="{FD400E40-E959-403C-97DA-0C62EB1A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78"/>
    <w:pPr>
      <w:spacing w:before="0" w:after="0"/>
      <w:ind w:firstLine="0"/>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76"/>
    <w:rPr>
      <w:rFonts w:ascii="Tahoma" w:hAnsi="Tahoma" w:cs="Tahoma"/>
      <w:sz w:val="16"/>
      <w:szCs w:val="16"/>
    </w:rPr>
  </w:style>
  <w:style w:type="character" w:customStyle="1" w:styleId="BalloonTextChar">
    <w:name w:val="Balloon Text Char"/>
    <w:basedOn w:val="DefaultParagraphFont"/>
    <w:link w:val="BalloonText"/>
    <w:uiPriority w:val="99"/>
    <w:semiHidden/>
    <w:rsid w:val="00F82D76"/>
    <w:rPr>
      <w:rFonts w:ascii="Tahoma" w:eastAsia="Times New Roman" w:hAnsi="Tahoma" w:cs="Tahoma"/>
      <w:sz w:val="16"/>
      <w:szCs w:val="16"/>
    </w:rPr>
  </w:style>
  <w:style w:type="paragraph" w:styleId="Header">
    <w:name w:val="header"/>
    <w:basedOn w:val="Normal"/>
    <w:link w:val="HeaderChar"/>
    <w:uiPriority w:val="99"/>
    <w:unhideWhenUsed/>
    <w:rsid w:val="00432419"/>
    <w:pPr>
      <w:tabs>
        <w:tab w:val="center" w:pos="4680"/>
        <w:tab w:val="right" w:pos="9360"/>
      </w:tabs>
    </w:pPr>
  </w:style>
  <w:style w:type="character" w:customStyle="1" w:styleId="HeaderChar">
    <w:name w:val="Header Char"/>
    <w:basedOn w:val="DefaultParagraphFont"/>
    <w:link w:val="Header"/>
    <w:uiPriority w:val="99"/>
    <w:rsid w:val="00432419"/>
    <w:rPr>
      <w:rFonts w:eastAsia="Times New Roman" w:cs="Times New Roman"/>
      <w:szCs w:val="28"/>
    </w:rPr>
  </w:style>
  <w:style w:type="paragraph" w:styleId="Footer">
    <w:name w:val="footer"/>
    <w:basedOn w:val="Normal"/>
    <w:link w:val="FooterChar"/>
    <w:uiPriority w:val="99"/>
    <w:unhideWhenUsed/>
    <w:rsid w:val="00432419"/>
    <w:pPr>
      <w:tabs>
        <w:tab w:val="center" w:pos="4680"/>
        <w:tab w:val="right" w:pos="9360"/>
      </w:tabs>
    </w:pPr>
  </w:style>
  <w:style w:type="character" w:customStyle="1" w:styleId="FooterChar">
    <w:name w:val="Footer Char"/>
    <w:basedOn w:val="DefaultParagraphFont"/>
    <w:link w:val="Footer"/>
    <w:uiPriority w:val="99"/>
    <w:rsid w:val="00432419"/>
    <w:rPr>
      <w:rFonts w:eastAsia="Times New Roman" w:cs="Times New Roman"/>
      <w:szCs w:val="28"/>
    </w:rPr>
  </w:style>
  <w:style w:type="paragraph" w:styleId="ListParagraph">
    <w:name w:val="List Paragraph"/>
    <w:basedOn w:val="Normal"/>
    <w:uiPriority w:val="34"/>
    <w:qFormat/>
    <w:rsid w:val="00F56722"/>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unhideWhenUsed/>
    <w:qFormat/>
    <w:rsid w:val="00057ABF"/>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qFormat/>
    <w:rsid w:val="00057ABF"/>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SUPERS,R,10 p,f11"/>
    <w:basedOn w:val="DefaultParagraphFont"/>
    <w:link w:val="CarattereCarattereCharCharCharCharCharCharZchn"/>
    <w:uiPriority w:val="99"/>
    <w:unhideWhenUsed/>
    <w:qFormat/>
    <w:rsid w:val="00057ABF"/>
    <w:rPr>
      <w:vertAlign w:val="superscript"/>
    </w:rPr>
  </w:style>
  <w:style w:type="character" w:styleId="CommentReference">
    <w:name w:val="annotation reference"/>
    <w:basedOn w:val="DefaultParagraphFont"/>
    <w:uiPriority w:val="99"/>
    <w:semiHidden/>
    <w:unhideWhenUsed/>
    <w:rsid w:val="00C27103"/>
    <w:rPr>
      <w:sz w:val="16"/>
      <w:szCs w:val="16"/>
    </w:rPr>
  </w:style>
  <w:style w:type="paragraph" w:styleId="CommentText">
    <w:name w:val="annotation text"/>
    <w:basedOn w:val="Normal"/>
    <w:link w:val="CommentTextChar"/>
    <w:uiPriority w:val="99"/>
    <w:semiHidden/>
    <w:unhideWhenUsed/>
    <w:rsid w:val="00C27103"/>
    <w:rPr>
      <w:sz w:val="20"/>
      <w:szCs w:val="20"/>
    </w:rPr>
  </w:style>
  <w:style w:type="character" w:customStyle="1" w:styleId="CommentTextChar">
    <w:name w:val="Comment Text Char"/>
    <w:basedOn w:val="DefaultParagraphFont"/>
    <w:link w:val="CommentText"/>
    <w:uiPriority w:val="99"/>
    <w:semiHidden/>
    <w:rsid w:val="00C2710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7103"/>
    <w:rPr>
      <w:b/>
      <w:bCs/>
    </w:rPr>
  </w:style>
  <w:style w:type="character" w:customStyle="1" w:styleId="CommentSubjectChar">
    <w:name w:val="Comment Subject Char"/>
    <w:basedOn w:val="CommentTextChar"/>
    <w:link w:val="CommentSubject"/>
    <w:uiPriority w:val="99"/>
    <w:semiHidden/>
    <w:rsid w:val="00C27103"/>
    <w:rPr>
      <w:rFonts w:eastAsia="Times New Roman" w:cs="Times New Roman"/>
      <w:b/>
      <w:bCs/>
      <w:sz w:val="20"/>
      <w:szCs w:val="20"/>
    </w:rPr>
  </w:style>
  <w:style w:type="paragraph" w:styleId="Revision">
    <w:name w:val="Revision"/>
    <w:hidden/>
    <w:uiPriority w:val="99"/>
    <w:semiHidden/>
    <w:rsid w:val="00627823"/>
    <w:pPr>
      <w:spacing w:before="0" w:after="0"/>
      <w:ind w:firstLine="0"/>
      <w:jc w:val="left"/>
    </w:pPr>
    <w:rPr>
      <w:rFonts w:eastAsia="Times New Roman" w:cs="Times New Roman"/>
      <w:szCs w:val="28"/>
    </w:rPr>
  </w:style>
  <w:style w:type="table" w:styleId="TableGrid">
    <w:name w:val="Table Grid"/>
    <w:basedOn w:val="TableNormal"/>
    <w:uiPriority w:val="59"/>
    <w:rsid w:val="006762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65537D"/>
    <w:pPr>
      <w:spacing w:after="160" w:line="240" w:lineRule="exact"/>
    </w:pPr>
    <w:rPr>
      <w:rFonts w:eastAsiaTheme="minorHAnsi" w:cstheme="minorBidi"/>
      <w:szCs w:val="22"/>
      <w:vertAlign w:val="superscript"/>
    </w:rPr>
  </w:style>
  <w:style w:type="character" w:customStyle="1" w:styleId="fontstyle01">
    <w:name w:val="fontstyle01"/>
    <w:basedOn w:val="DefaultParagraphFont"/>
    <w:rsid w:val="007655EE"/>
    <w:rPr>
      <w:rFonts w:ascii="Times New Roman" w:hAnsi="Times New Roman" w:cs="Times New Roman" w:hint="default"/>
      <w:b w:val="0"/>
      <w:bCs w:val="0"/>
      <w:i w:val="0"/>
      <w:iCs w:val="0"/>
      <w:color w:val="000000"/>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574EFD"/>
    <w:pPr>
      <w:tabs>
        <w:tab w:val="left" w:pos="567"/>
      </w:tabs>
      <w:spacing w:before="100" w:line="240" w:lineRule="exact"/>
      <w:jc w:val="both"/>
    </w:pPr>
    <w:rPr>
      <w:sz w:val="20"/>
      <w:szCs w:val="20"/>
      <w:vertAlign w:val="superscript"/>
    </w:rPr>
  </w:style>
  <w:style w:type="paragraph" w:styleId="NormalWeb">
    <w:name w:val="Normal (Web)"/>
    <w:basedOn w:val="Normal"/>
    <w:uiPriority w:val="99"/>
    <w:semiHidden/>
    <w:unhideWhenUsed/>
    <w:rsid w:val="00C129A3"/>
    <w:pPr>
      <w:spacing w:before="100" w:beforeAutospacing="1" w:after="100" w:afterAutospacing="1"/>
    </w:pPr>
    <w:rPr>
      <w:sz w:val="24"/>
      <w:szCs w:val="24"/>
    </w:rPr>
  </w:style>
  <w:style w:type="character" w:styleId="Strong">
    <w:name w:val="Strong"/>
    <w:basedOn w:val="DefaultParagraphFont"/>
    <w:uiPriority w:val="22"/>
    <w:qFormat/>
    <w:rsid w:val="00C12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2281">
      <w:bodyDiv w:val="1"/>
      <w:marLeft w:val="0"/>
      <w:marRight w:val="0"/>
      <w:marTop w:val="0"/>
      <w:marBottom w:val="0"/>
      <w:divBdr>
        <w:top w:val="none" w:sz="0" w:space="0" w:color="auto"/>
        <w:left w:val="none" w:sz="0" w:space="0" w:color="auto"/>
        <w:bottom w:val="none" w:sz="0" w:space="0" w:color="auto"/>
        <w:right w:val="none" w:sz="0" w:space="0" w:color="auto"/>
      </w:divBdr>
    </w:div>
    <w:div w:id="1164272958">
      <w:bodyDiv w:val="1"/>
      <w:marLeft w:val="0"/>
      <w:marRight w:val="0"/>
      <w:marTop w:val="0"/>
      <w:marBottom w:val="0"/>
      <w:divBdr>
        <w:top w:val="none" w:sz="0" w:space="0" w:color="auto"/>
        <w:left w:val="none" w:sz="0" w:space="0" w:color="auto"/>
        <w:bottom w:val="none" w:sz="0" w:space="0" w:color="auto"/>
        <w:right w:val="none" w:sz="0" w:space="0" w:color="auto"/>
      </w:divBdr>
    </w:div>
    <w:div w:id="1584682579">
      <w:bodyDiv w:val="1"/>
      <w:marLeft w:val="0"/>
      <w:marRight w:val="0"/>
      <w:marTop w:val="0"/>
      <w:marBottom w:val="0"/>
      <w:divBdr>
        <w:top w:val="none" w:sz="0" w:space="0" w:color="auto"/>
        <w:left w:val="none" w:sz="0" w:space="0" w:color="auto"/>
        <w:bottom w:val="none" w:sz="0" w:space="0" w:color="auto"/>
        <w:right w:val="none" w:sz="0" w:space="0" w:color="auto"/>
      </w:divBdr>
    </w:div>
    <w:div w:id="1936135041">
      <w:bodyDiv w:val="1"/>
      <w:marLeft w:val="0"/>
      <w:marRight w:val="0"/>
      <w:marTop w:val="0"/>
      <w:marBottom w:val="0"/>
      <w:divBdr>
        <w:top w:val="none" w:sz="0" w:space="0" w:color="auto"/>
        <w:left w:val="none" w:sz="0" w:space="0" w:color="auto"/>
        <w:bottom w:val="none" w:sz="0" w:space="0" w:color="auto"/>
        <w:right w:val="none" w:sz="0" w:space="0" w:color="auto"/>
      </w:divBdr>
    </w:div>
    <w:div w:id="19452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E6F6-DC73-4E66-ABB7-6730051A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Microsoft</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thanhsen</dc:creator>
  <cp:lastModifiedBy>TPC</cp:lastModifiedBy>
  <cp:revision>2</cp:revision>
  <cp:lastPrinted>2023-09-08T02:29:00Z</cp:lastPrinted>
  <dcterms:created xsi:type="dcterms:W3CDTF">2025-06-26T04:35:00Z</dcterms:created>
  <dcterms:modified xsi:type="dcterms:W3CDTF">2025-06-26T04:35:00Z</dcterms:modified>
</cp:coreProperties>
</file>