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Look w:val="0000" w:firstRow="0" w:lastRow="0" w:firstColumn="0" w:lastColumn="0" w:noHBand="0" w:noVBand="0"/>
      </w:tblPr>
      <w:tblGrid>
        <w:gridCol w:w="5446"/>
        <w:gridCol w:w="9690"/>
      </w:tblGrid>
      <w:tr w:rsidR="00E468C8" w:rsidRPr="005F1782" w:rsidTr="00F76737">
        <w:trPr>
          <w:trHeight w:val="1005"/>
          <w:jc w:val="center"/>
        </w:trPr>
        <w:tc>
          <w:tcPr>
            <w:tcW w:w="1799" w:type="pct"/>
          </w:tcPr>
          <w:p w:rsidR="00B85501" w:rsidRDefault="00B85501" w:rsidP="00B85501">
            <w:pPr>
              <w:jc w:val="center"/>
              <w:rPr>
                <w:sz w:val="27"/>
                <w:szCs w:val="27"/>
              </w:rPr>
            </w:pPr>
            <w:r>
              <w:rPr>
                <w:sz w:val="27"/>
                <w:szCs w:val="27"/>
              </w:rPr>
              <w:t>UBND TỈNH HÀ TĨNH</w:t>
            </w:r>
          </w:p>
          <w:p w:rsidR="00B85501" w:rsidRDefault="00B85501" w:rsidP="00B85501">
            <w:pPr>
              <w:keepNext/>
              <w:jc w:val="center"/>
              <w:outlineLvl w:val="2"/>
              <w:rPr>
                <w:b/>
                <w:bCs/>
                <w:sz w:val="27"/>
                <w:szCs w:val="27"/>
              </w:rPr>
            </w:pPr>
            <w:r>
              <w:rPr>
                <w:b/>
                <w:bCs/>
                <w:sz w:val="27"/>
                <w:szCs w:val="27"/>
              </w:rPr>
              <w:t>SỞ GIAO THÔNG VẬN TẢI</w:t>
            </w:r>
          </w:p>
          <w:p w:rsidR="00E468C8" w:rsidRPr="005F1782" w:rsidRDefault="00E468C8" w:rsidP="00C831FA">
            <w:pPr>
              <w:rPr>
                <w:sz w:val="23"/>
                <w:szCs w:val="23"/>
              </w:rPr>
            </w:pPr>
            <w:r w:rsidRPr="005F1782">
              <w:rPr>
                <w:noProof/>
                <w:sz w:val="23"/>
                <w:szCs w:val="23"/>
                <w:lang w:val="en-US"/>
              </w:rPr>
              <mc:AlternateContent>
                <mc:Choice Requires="wps">
                  <w:drawing>
                    <wp:anchor distT="0" distB="0" distL="114300" distR="114300" simplePos="0" relativeHeight="251659264" behindDoc="0" locked="0" layoutInCell="1" allowOverlap="1" wp14:anchorId="368ECE6F" wp14:editId="1F924CEC">
                      <wp:simplePos x="0" y="0"/>
                      <wp:positionH relativeFrom="column">
                        <wp:posOffset>1341755</wp:posOffset>
                      </wp:positionH>
                      <wp:positionV relativeFrom="paragraph">
                        <wp:posOffset>39370</wp:posOffset>
                      </wp:positionV>
                      <wp:extent cx="6858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CFED1"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65pt,3.1pt" to="159.6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UVEQIAACc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"/>
                  </w:pict>
                </mc:Fallback>
              </mc:AlternateContent>
            </w:r>
          </w:p>
          <w:p w:rsidR="00E468C8" w:rsidRPr="005F1782" w:rsidRDefault="00E468C8" w:rsidP="00C831FA">
            <w:pPr>
              <w:jc w:val="center"/>
              <w:rPr>
                <w:sz w:val="13"/>
                <w:szCs w:val="23"/>
              </w:rPr>
            </w:pPr>
          </w:p>
          <w:p w:rsidR="00E468C8" w:rsidRPr="005F1782" w:rsidRDefault="00E468C8" w:rsidP="00C831FA">
            <w:pPr>
              <w:rPr>
                <w:sz w:val="13"/>
                <w:szCs w:val="23"/>
              </w:rPr>
            </w:pPr>
          </w:p>
          <w:p w:rsidR="00E468C8" w:rsidRPr="005F1782" w:rsidRDefault="00E468C8" w:rsidP="00C831FA">
            <w:pPr>
              <w:jc w:val="center"/>
              <w:rPr>
                <w:sz w:val="23"/>
                <w:szCs w:val="23"/>
              </w:rPr>
            </w:pPr>
          </w:p>
        </w:tc>
        <w:tc>
          <w:tcPr>
            <w:tcW w:w="3201" w:type="pct"/>
          </w:tcPr>
          <w:p w:rsidR="00E468C8" w:rsidRPr="005F1782" w:rsidRDefault="00E468C8" w:rsidP="00F76737">
            <w:pPr>
              <w:jc w:val="center"/>
              <w:rPr>
                <w:sz w:val="26"/>
                <w:szCs w:val="26"/>
              </w:rPr>
            </w:pPr>
            <w:r w:rsidRPr="005F1782">
              <w:rPr>
                <w:b/>
                <w:sz w:val="26"/>
                <w:szCs w:val="26"/>
              </w:rPr>
              <w:t>CỘNG HOÀ XÃ HỘI CHỦ NGHĨA VIỆT NAM</w:t>
            </w:r>
          </w:p>
          <w:p w:rsidR="00E468C8" w:rsidRPr="005F1782" w:rsidRDefault="00E468C8" w:rsidP="00F76737">
            <w:pPr>
              <w:jc w:val="center"/>
            </w:pPr>
            <w:r w:rsidRPr="005F1782">
              <w:rPr>
                <w:b/>
              </w:rPr>
              <w:t>Độc lập - Tự do - Hạnh phúc</w:t>
            </w:r>
          </w:p>
          <w:p w:rsidR="00E468C8" w:rsidRPr="005F1782" w:rsidRDefault="00E468C8" w:rsidP="00C831FA">
            <w:pPr>
              <w:jc w:val="center"/>
              <w:rPr>
                <w:b/>
                <w:i/>
                <w:sz w:val="29"/>
                <w:szCs w:val="17"/>
              </w:rPr>
            </w:pPr>
            <w:r w:rsidRPr="005F1782">
              <w:rPr>
                <w:noProof/>
                <w:sz w:val="35"/>
                <w:szCs w:val="23"/>
                <w:vertAlign w:val="superscript"/>
                <w:lang w:val="en-US"/>
              </w:rPr>
              <mc:AlternateContent>
                <mc:Choice Requires="wps">
                  <w:drawing>
                    <wp:anchor distT="0" distB="0" distL="114300" distR="114300" simplePos="0" relativeHeight="251660288" behindDoc="0" locked="0" layoutInCell="1" allowOverlap="1" wp14:anchorId="4A9DAFFB" wp14:editId="1E751D82">
                      <wp:simplePos x="0" y="0"/>
                      <wp:positionH relativeFrom="column">
                        <wp:posOffset>1948815</wp:posOffset>
                      </wp:positionH>
                      <wp:positionV relativeFrom="paragraph">
                        <wp:posOffset>22860</wp:posOffset>
                      </wp:positionV>
                      <wp:extent cx="2055495" cy="0"/>
                      <wp:effectExtent l="0" t="0" r="2095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5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BCC73"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45pt,1.8pt" to="315.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VIh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"/>
                  </w:pict>
                </mc:Fallback>
              </mc:AlternateContent>
            </w:r>
            <w:r w:rsidRPr="005F1782">
              <w:rPr>
                <w:sz w:val="35"/>
                <w:szCs w:val="23"/>
                <w:vertAlign w:val="superscript"/>
              </w:rPr>
              <w:t xml:space="preserve"> </w:t>
            </w:r>
            <w:r w:rsidRPr="005F1782">
              <w:rPr>
                <w:sz w:val="39"/>
                <w:szCs w:val="23"/>
                <w:vertAlign w:val="superscript"/>
              </w:rPr>
              <w:t xml:space="preserve"> </w:t>
            </w:r>
            <w:r w:rsidRPr="005F1782">
              <w:rPr>
                <w:sz w:val="35"/>
                <w:szCs w:val="23"/>
                <w:vertAlign w:val="superscript"/>
              </w:rPr>
              <w:t xml:space="preserve">                                                                                                                                        </w:t>
            </w:r>
          </w:p>
          <w:p w:rsidR="00E468C8" w:rsidRPr="005F1782" w:rsidRDefault="002B1F04" w:rsidP="00082B06">
            <w:pPr>
              <w:jc w:val="center"/>
              <w:rPr>
                <w:lang w:val="en-US"/>
              </w:rPr>
            </w:pPr>
            <w:r>
              <w:rPr>
                <w:i/>
                <w:lang w:val="en-US"/>
              </w:rPr>
              <w:t xml:space="preserve">                                    </w:t>
            </w:r>
            <w:r w:rsidR="00E468C8" w:rsidRPr="005F1782">
              <w:rPr>
                <w:i/>
              </w:rPr>
              <w:t xml:space="preserve">Hà Tĩnh, ngày </w:t>
            </w:r>
            <w:r w:rsidR="00E468C8">
              <w:rPr>
                <w:i/>
                <w:lang w:val="en-US"/>
              </w:rPr>
              <w:t xml:space="preserve"> </w:t>
            </w:r>
            <w:r w:rsidR="00082B06">
              <w:rPr>
                <w:i/>
                <w:lang w:val="en-US"/>
              </w:rPr>
              <w:t>03</w:t>
            </w:r>
            <w:r w:rsidR="00E468C8">
              <w:rPr>
                <w:i/>
                <w:lang w:val="en-US"/>
              </w:rPr>
              <w:t xml:space="preserve"> </w:t>
            </w:r>
            <w:r w:rsidR="00E468C8" w:rsidRPr="005F1782">
              <w:rPr>
                <w:i/>
              </w:rPr>
              <w:t xml:space="preserve">tháng </w:t>
            </w:r>
            <w:r w:rsidR="00E468C8">
              <w:rPr>
                <w:i/>
                <w:lang w:val="en-US"/>
              </w:rPr>
              <w:t>12</w:t>
            </w:r>
            <w:r w:rsidR="00E468C8" w:rsidRPr="005F1782">
              <w:rPr>
                <w:i/>
              </w:rPr>
              <w:t xml:space="preserve"> năm 20</w:t>
            </w:r>
            <w:r w:rsidR="00E468C8" w:rsidRPr="005F1782">
              <w:rPr>
                <w:i/>
                <w:lang w:val="en-US"/>
              </w:rPr>
              <w:t>20</w:t>
            </w:r>
          </w:p>
        </w:tc>
      </w:tr>
    </w:tbl>
    <w:p w:rsidR="00153AD1" w:rsidRPr="00F76737" w:rsidRDefault="00E468C8" w:rsidP="00F76737">
      <w:pPr>
        <w:jc w:val="center"/>
        <w:rPr>
          <w:b/>
          <w:lang w:val="en-US"/>
        </w:rPr>
      </w:pPr>
      <w:r w:rsidRPr="00F76737">
        <w:rPr>
          <w:b/>
          <w:lang w:val="en-US"/>
        </w:rPr>
        <w:t>BÁO CÁO</w:t>
      </w:r>
    </w:p>
    <w:p w:rsidR="00E468C8" w:rsidRDefault="00E468C8" w:rsidP="00F76737">
      <w:pPr>
        <w:jc w:val="center"/>
        <w:rPr>
          <w:b/>
          <w:lang w:val="en-US"/>
        </w:rPr>
      </w:pPr>
      <w:r w:rsidRPr="00F76737">
        <w:rPr>
          <w:b/>
          <w:lang w:val="en-US"/>
        </w:rPr>
        <w:t>Kết quả thực hiện các nội dung chất vấn từ đầu nhiệm kỳ đến nay</w:t>
      </w:r>
    </w:p>
    <w:p w:rsidR="00AD2CD7" w:rsidRPr="00AD2CD7" w:rsidRDefault="00AD2CD7" w:rsidP="00F76737">
      <w:pPr>
        <w:jc w:val="center"/>
        <w:rPr>
          <w:i/>
          <w:lang w:val="en-US"/>
        </w:rPr>
      </w:pPr>
      <w:r w:rsidRPr="00AD2CD7">
        <w:rPr>
          <w:lang w:val="en-US"/>
        </w:rPr>
        <w:t>(</w:t>
      </w:r>
      <w:r w:rsidRPr="00AD2CD7">
        <w:rPr>
          <w:i/>
          <w:lang w:val="en-US"/>
        </w:rPr>
        <w:t>Kèm theo Văn bản số……./SGTVT-KH1 ngày…./12/2020)</w:t>
      </w:r>
    </w:p>
    <w:tbl>
      <w:tblPr>
        <w:tblStyle w:val="TableGrid"/>
        <w:tblW w:w="15134" w:type="dxa"/>
        <w:tblLook w:val="04A0" w:firstRow="1" w:lastRow="0" w:firstColumn="1" w:lastColumn="0" w:noHBand="0" w:noVBand="1"/>
      </w:tblPr>
      <w:tblGrid>
        <w:gridCol w:w="590"/>
        <w:gridCol w:w="1928"/>
        <w:gridCol w:w="6237"/>
        <w:gridCol w:w="1701"/>
        <w:gridCol w:w="3402"/>
        <w:gridCol w:w="1276"/>
      </w:tblGrid>
      <w:tr w:rsidR="00E468C8" w:rsidRPr="00F76737" w:rsidTr="009711D0">
        <w:tc>
          <w:tcPr>
            <w:tcW w:w="590" w:type="dxa"/>
            <w:vAlign w:val="center"/>
          </w:tcPr>
          <w:p w:rsidR="00E468C8" w:rsidRPr="00F76737" w:rsidRDefault="00E468C8" w:rsidP="007A5EEB">
            <w:pPr>
              <w:jc w:val="center"/>
              <w:rPr>
                <w:b/>
                <w:lang w:val="en-US"/>
              </w:rPr>
            </w:pPr>
            <w:r w:rsidRPr="00F76737">
              <w:rPr>
                <w:b/>
                <w:lang w:val="en-US"/>
              </w:rPr>
              <w:t>TT</w:t>
            </w:r>
          </w:p>
        </w:tc>
        <w:tc>
          <w:tcPr>
            <w:tcW w:w="1928" w:type="dxa"/>
            <w:vAlign w:val="center"/>
          </w:tcPr>
          <w:p w:rsidR="00E468C8" w:rsidRPr="00F76737" w:rsidRDefault="00E468C8" w:rsidP="007A5EEB">
            <w:pPr>
              <w:jc w:val="center"/>
              <w:rPr>
                <w:b/>
                <w:lang w:val="en-US"/>
              </w:rPr>
            </w:pPr>
            <w:r w:rsidRPr="00F76737">
              <w:rPr>
                <w:b/>
                <w:lang w:val="en-US"/>
              </w:rPr>
              <w:t>Nội dung chất vấn</w:t>
            </w:r>
          </w:p>
        </w:tc>
        <w:tc>
          <w:tcPr>
            <w:tcW w:w="6237" w:type="dxa"/>
            <w:vAlign w:val="center"/>
          </w:tcPr>
          <w:p w:rsidR="00E468C8" w:rsidRPr="00F76737" w:rsidRDefault="00E468C8" w:rsidP="007A5EEB">
            <w:pPr>
              <w:jc w:val="center"/>
              <w:rPr>
                <w:b/>
                <w:lang w:val="en-US"/>
              </w:rPr>
            </w:pPr>
            <w:r w:rsidRPr="00F76737">
              <w:rPr>
                <w:b/>
                <w:lang w:val="en-US"/>
              </w:rPr>
              <w:t>Kết quả thực hiện</w:t>
            </w:r>
          </w:p>
        </w:tc>
        <w:tc>
          <w:tcPr>
            <w:tcW w:w="1701" w:type="dxa"/>
            <w:vAlign w:val="center"/>
          </w:tcPr>
          <w:p w:rsidR="00E468C8" w:rsidRPr="00F76737" w:rsidRDefault="00E468C8" w:rsidP="007A5EEB">
            <w:pPr>
              <w:jc w:val="center"/>
              <w:rPr>
                <w:b/>
                <w:lang w:val="en-US"/>
              </w:rPr>
            </w:pPr>
            <w:r w:rsidRPr="00F76737">
              <w:rPr>
                <w:b/>
                <w:lang w:val="en-US"/>
              </w:rPr>
              <w:t>Nguyên nhân, trách nhiệm (nếu chậm trễ, chưa giải quyết)</w:t>
            </w:r>
          </w:p>
        </w:tc>
        <w:tc>
          <w:tcPr>
            <w:tcW w:w="3402" w:type="dxa"/>
            <w:vAlign w:val="center"/>
          </w:tcPr>
          <w:p w:rsidR="00E468C8" w:rsidRPr="00F76737" w:rsidRDefault="00E468C8" w:rsidP="007A5EEB">
            <w:pPr>
              <w:jc w:val="center"/>
              <w:rPr>
                <w:b/>
                <w:lang w:val="en-US"/>
              </w:rPr>
            </w:pPr>
            <w:r w:rsidRPr="00F76737">
              <w:rPr>
                <w:b/>
                <w:lang w:val="en-US"/>
              </w:rPr>
              <w:t>Giải pháp thời gian tới</w:t>
            </w:r>
          </w:p>
        </w:tc>
        <w:tc>
          <w:tcPr>
            <w:tcW w:w="1276" w:type="dxa"/>
            <w:vAlign w:val="center"/>
          </w:tcPr>
          <w:p w:rsidR="00E468C8" w:rsidRPr="00F76737" w:rsidRDefault="00E468C8" w:rsidP="007A5EEB">
            <w:pPr>
              <w:jc w:val="center"/>
              <w:rPr>
                <w:b/>
                <w:lang w:val="en-US"/>
              </w:rPr>
            </w:pPr>
            <w:r w:rsidRPr="00F76737">
              <w:rPr>
                <w:b/>
                <w:lang w:val="en-US"/>
              </w:rPr>
              <w:t>Ghi chú</w:t>
            </w:r>
          </w:p>
        </w:tc>
      </w:tr>
      <w:tr w:rsidR="00E468C8" w:rsidTr="009711D0">
        <w:tc>
          <w:tcPr>
            <w:tcW w:w="590" w:type="dxa"/>
            <w:vAlign w:val="center"/>
          </w:tcPr>
          <w:p w:rsidR="00E468C8" w:rsidRPr="00DC0E20" w:rsidRDefault="00F76737" w:rsidP="00DC0E20">
            <w:pPr>
              <w:jc w:val="center"/>
              <w:rPr>
                <w:sz w:val="24"/>
                <w:szCs w:val="24"/>
                <w:lang w:val="en-US"/>
              </w:rPr>
            </w:pPr>
            <w:r w:rsidRPr="00DC0E20">
              <w:rPr>
                <w:sz w:val="24"/>
                <w:szCs w:val="24"/>
                <w:lang w:val="en-US"/>
              </w:rPr>
              <w:t>1</w:t>
            </w:r>
          </w:p>
        </w:tc>
        <w:tc>
          <w:tcPr>
            <w:tcW w:w="1928" w:type="dxa"/>
            <w:vAlign w:val="center"/>
          </w:tcPr>
          <w:p w:rsidR="00E468C8" w:rsidRPr="00DC0E20" w:rsidRDefault="00F74CB2" w:rsidP="005D171D">
            <w:pPr>
              <w:rPr>
                <w:sz w:val="24"/>
                <w:szCs w:val="24"/>
                <w:lang w:val="en-US"/>
              </w:rPr>
            </w:pPr>
            <w:r w:rsidRPr="00DC0E20">
              <w:rPr>
                <w:sz w:val="24"/>
                <w:szCs w:val="24"/>
              </w:rPr>
              <w:t>Kinh phí của Quỹ bảo trì đường bộ ngày càng giảm, vận hành phức tạp, gây khó khăn cho công tác bảo trì, duy tu đường bộ của các địa phương(gửi đến kỳ họp thứ 5)</w:t>
            </w:r>
          </w:p>
        </w:tc>
        <w:tc>
          <w:tcPr>
            <w:tcW w:w="6237" w:type="dxa"/>
            <w:vAlign w:val="center"/>
          </w:tcPr>
          <w:p w:rsidR="00A85EC0" w:rsidRPr="00A85EC0" w:rsidRDefault="00A85EC0" w:rsidP="00A85EC0">
            <w:pPr>
              <w:spacing w:before="60"/>
              <w:jc w:val="both"/>
              <w:rPr>
                <w:iCs/>
                <w:sz w:val="24"/>
                <w:szCs w:val="24"/>
              </w:rPr>
            </w:pPr>
            <w:r w:rsidRPr="00A85EC0">
              <w:rPr>
                <w:iCs/>
                <w:sz w:val="24"/>
                <w:szCs w:val="24"/>
              </w:rPr>
              <w:t xml:space="preserve">Theo quy định của dự án LRAMP các địa phương phải đáp ứng suất đầu tư ở mức </w:t>
            </w:r>
            <w:r w:rsidRPr="00A85EC0">
              <w:rPr>
                <w:b/>
                <w:i/>
                <w:iCs/>
                <w:sz w:val="24"/>
                <w:szCs w:val="24"/>
                <w:u w:val="single"/>
              </w:rPr>
              <w:t>tối thiểu</w:t>
            </w:r>
            <w:r w:rsidRPr="00A85EC0">
              <w:rPr>
                <w:b/>
                <w:i/>
                <w:iCs/>
                <w:sz w:val="24"/>
                <w:szCs w:val="24"/>
              </w:rPr>
              <w:t xml:space="preserve"> </w:t>
            </w:r>
            <w:r w:rsidRPr="00A85EC0">
              <w:rPr>
                <w:iCs/>
                <w:sz w:val="24"/>
                <w:szCs w:val="24"/>
              </w:rPr>
              <w:t xml:space="preserve">cho công tác </w:t>
            </w:r>
            <w:r w:rsidRPr="00A85EC0">
              <w:rPr>
                <w:iCs/>
                <w:spacing w:val="2"/>
                <w:sz w:val="24"/>
                <w:szCs w:val="24"/>
              </w:rPr>
              <w:t>duy tu, bảo dưỡng thường xuyên hệ thống đường địa phương</w:t>
            </w:r>
            <w:r w:rsidRPr="00A85EC0">
              <w:rPr>
                <w:iCs/>
                <w:sz w:val="24"/>
                <w:szCs w:val="24"/>
              </w:rPr>
              <w:t xml:space="preserve"> cho các loại đường là: Đường tỉnh 23,3 triệu đồng/km/năm; đường huyện 8,2 triệu đồng/km/năm; đường xã 1,5 triệu đồng/km/năm </w:t>
            </w:r>
            <w:r w:rsidRPr="00A85EC0">
              <w:rPr>
                <w:spacing w:val="-4"/>
                <w:sz w:val="24"/>
                <w:szCs w:val="24"/>
              </w:rPr>
              <w:t>(tại V</w:t>
            </w:r>
            <w:r w:rsidRPr="00A85EC0">
              <w:rPr>
                <w:iCs/>
                <w:sz w:val="24"/>
                <w:szCs w:val="24"/>
              </w:rPr>
              <w:t>ăn bản số 954/TCĐBVN-QLBTĐB ngày 23/02/2017 của Tổng cục Đường bộ Việt Nam).</w:t>
            </w:r>
          </w:p>
          <w:p w:rsidR="00A85EC0" w:rsidRPr="00A85EC0" w:rsidRDefault="00A85EC0" w:rsidP="00A85EC0">
            <w:pPr>
              <w:rPr>
                <w:sz w:val="24"/>
                <w:szCs w:val="24"/>
                <w:lang w:val="en-US"/>
              </w:rPr>
            </w:pPr>
            <w:r w:rsidRPr="00A85EC0">
              <w:rPr>
                <w:iCs/>
                <w:sz w:val="24"/>
                <w:szCs w:val="24"/>
              </w:rPr>
              <w:t xml:space="preserve">Tuy nhiên, mặc dù ngân sách tỉnh và nguồn Quỹ bảo trì còn khó khăn nhưng những năm qua, UBND tỉnh đã quan tâm bố trí hỗ trợ, điều tiết nguồn kinh cho công tác bảo trì đường địa phương ngày càng được nâng lên. Năm 2018, UBND tỉnh bố trí tại </w:t>
            </w:r>
            <w:r w:rsidRPr="00A85EC0">
              <w:rPr>
                <w:spacing w:val="-4"/>
                <w:sz w:val="24"/>
                <w:szCs w:val="24"/>
              </w:rPr>
              <w:t xml:space="preserve">Quyết định số 32/QĐ-QBTĐB ngày 29/6/2018 cho hệ thống đường địa phương, với tổng số kinh phí 22,136 tỷ đồng, bình quân cho đường huyện 10 triệu/01km/năm và đường xã là 2 triệu/01km/năm. Năm 2019 UBND tỉnh bố trí tại quyết định số 34/QĐ-QBTĐB ngày 13/11/2019, với kinh phí 28,084 tỷ đồng bình quân đường huyện 12,5 triệu/Km, đường xã 2,5 triệu/Km. Năm 2020, UBND tỉnh bố trí tại Quyết định số 2894/QĐ-UBND ngày 03/9/2020, với kinh phí 76,412 tỷ đồng, bình quân đường </w:t>
            </w:r>
            <w:r w:rsidRPr="00A85EC0">
              <w:rPr>
                <w:spacing w:val="-4"/>
                <w:sz w:val="24"/>
                <w:szCs w:val="24"/>
              </w:rPr>
              <w:lastRenderedPageBreak/>
              <w:t>huyện kể cả BDTX và sữa chữa định kỳ 35 triệu/Km, đường xã 2,8 triệu đồng.</w:t>
            </w:r>
          </w:p>
        </w:tc>
        <w:tc>
          <w:tcPr>
            <w:tcW w:w="1701" w:type="dxa"/>
            <w:vAlign w:val="center"/>
          </w:tcPr>
          <w:p w:rsidR="00E468C8" w:rsidRPr="00DC0E20" w:rsidRDefault="00E468C8" w:rsidP="005D171D">
            <w:pPr>
              <w:rPr>
                <w:sz w:val="24"/>
                <w:szCs w:val="24"/>
                <w:lang w:val="en-US"/>
              </w:rPr>
            </w:pPr>
          </w:p>
        </w:tc>
        <w:tc>
          <w:tcPr>
            <w:tcW w:w="3402" w:type="dxa"/>
            <w:vAlign w:val="center"/>
          </w:tcPr>
          <w:p w:rsidR="00E468C8" w:rsidRPr="00DC0E20" w:rsidRDefault="00A85EC0" w:rsidP="00723826">
            <w:pPr>
              <w:rPr>
                <w:sz w:val="24"/>
                <w:szCs w:val="24"/>
                <w:lang w:val="en-US"/>
              </w:rPr>
            </w:pPr>
            <w:r w:rsidRPr="00A85EC0">
              <w:rPr>
                <w:spacing w:val="-4"/>
                <w:sz w:val="24"/>
              </w:rPr>
              <w:t>Trong thời gian tới,</w:t>
            </w:r>
            <w:r w:rsidRPr="00A85EC0">
              <w:rPr>
                <w:color w:val="222222"/>
                <w:sz w:val="26"/>
                <w:szCs w:val="30"/>
              </w:rPr>
              <w:t xml:space="preserve"> </w:t>
            </w:r>
            <w:r w:rsidR="00723826">
              <w:rPr>
                <w:color w:val="222222"/>
                <w:sz w:val="26"/>
                <w:szCs w:val="30"/>
                <w:lang w:val="en-US"/>
              </w:rPr>
              <w:t xml:space="preserve">với việc </w:t>
            </w:r>
            <w:r w:rsidRPr="00A85EC0">
              <w:rPr>
                <w:color w:val="222222"/>
                <w:sz w:val="24"/>
              </w:rPr>
              <w:t>Hội đồng quỹ đã giải thể</w:t>
            </w:r>
            <w:r w:rsidR="00723826">
              <w:rPr>
                <w:color w:val="222222"/>
                <w:sz w:val="24"/>
                <w:lang w:val="en-US"/>
              </w:rPr>
              <w:t>;</w:t>
            </w:r>
            <w:r w:rsidRPr="00A85EC0">
              <w:rPr>
                <w:color w:val="222222"/>
                <w:sz w:val="24"/>
              </w:rPr>
              <w:t xml:space="preserve"> </w:t>
            </w:r>
            <w:r w:rsidR="00723826">
              <w:rPr>
                <w:color w:val="222222"/>
                <w:sz w:val="24"/>
                <w:lang w:val="en-US"/>
              </w:rPr>
              <w:t>v</w:t>
            </w:r>
            <w:r w:rsidRPr="00A85EC0">
              <w:rPr>
                <w:color w:val="222222"/>
                <w:sz w:val="24"/>
              </w:rPr>
              <w:t>iệc thu, nộp, quản lý nguồn kinh phí quỹ bảo trì đường bộ được thống nhất quản lý theo pháp luật phí, Ngân sách nhà nước. UBND tỉnh đang chờ hướng dẫn của Trung ương về mức phân bổ; nguyên tắc, tiêu chí để áp dụng phù hợp trên địa bàn tỉnh, kịp thời phân bổ nguồn kinh phí cho các địa phương khi có cân đối của TW, không thực hiện theo cơ chế quản lý phân bổ như Hội đồng quỹ như trước đây</w:t>
            </w:r>
          </w:p>
        </w:tc>
        <w:tc>
          <w:tcPr>
            <w:tcW w:w="1276" w:type="dxa"/>
            <w:vAlign w:val="center"/>
          </w:tcPr>
          <w:p w:rsidR="00E468C8" w:rsidRPr="00DC0E20" w:rsidRDefault="00E468C8" w:rsidP="005D171D">
            <w:pPr>
              <w:rPr>
                <w:sz w:val="24"/>
                <w:szCs w:val="24"/>
                <w:lang w:val="en-US"/>
              </w:rPr>
            </w:pPr>
          </w:p>
        </w:tc>
      </w:tr>
      <w:tr w:rsidR="00E468C8" w:rsidTr="009711D0">
        <w:tc>
          <w:tcPr>
            <w:tcW w:w="590" w:type="dxa"/>
            <w:vAlign w:val="center"/>
          </w:tcPr>
          <w:p w:rsidR="00E468C8" w:rsidRPr="00DC0E20" w:rsidRDefault="00F76737" w:rsidP="00DC0E20">
            <w:pPr>
              <w:jc w:val="center"/>
              <w:rPr>
                <w:sz w:val="24"/>
                <w:szCs w:val="24"/>
                <w:lang w:val="en-US"/>
              </w:rPr>
            </w:pPr>
            <w:r w:rsidRPr="00DC0E20">
              <w:rPr>
                <w:sz w:val="24"/>
                <w:szCs w:val="24"/>
                <w:lang w:val="en-US"/>
              </w:rPr>
              <w:t>2</w:t>
            </w:r>
          </w:p>
        </w:tc>
        <w:tc>
          <w:tcPr>
            <w:tcW w:w="1928" w:type="dxa"/>
            <w:vAlign w:val="center"/>
          </w:tcPr>
          <w:p w:rsidR="00E468C8" w:rsidRPr="00DC0E20" w:rsidRDefault="005D171D" w:rsidP="000B6B0B">
            <w:pPr>
              <w:rPr>
                <w:sz w:val="24"/>
                <w:szCs w:val="24"/>
                <w:lang w:val="en-US"/>
              </w:rPr>
            </w:pPr>
            <w:r w:rsidRPr="00DC0E20">
              <w:rPr>
                <w:sz w:val="24"/>
                <w:szCs w:val="24"/>
              </w:rPr>
              <w:t>Một số tuyến giao thông trên địa bàn tỉnh xuống cấp nghiêm trọng do ảnh hưởng thi công của một số dự án lớn (như Dự án Ngàn Trươi – Cẩm Trang...) hoặc do thiên tai lũ lụt, hoặc do chất lượng thi công kém nhưng chậm được duy tu, bảo dưỡng, gây khó khăn trong đi lại và vận chuyển hàng hoá của người dân, doanh nghiệp (gửi đến kỳ họp thứ 5)</w:t>
            </w:r>
          </w:p>
        </w:tc>
        <w:tc>
          <w:tcPr>
            <w:tcW w:w="6237" w:type="dxa"/>
            <w:vAlign w:val="center"/>
          </w:tcPr>
          <w:p w:rsidR="00B11BC1" w:rsidRDefault="00B11BC1" w:rsidP="00B11BC1">
            <w:pPr>
              <w:tabs>
                <w:tab w:val="left" w:pos="1571"/>
              </w:tabs>
              <w:spacing w:before="120"/>
              <w:jc w:val="both"/>
              <w:rPr>
                <w:sz w:val="24"/>
                <w:lang w:val="en-US"/>
              </w:rPr>
            </w:pPr>
            <w:r>
              <w:rPr>
                <w:sz w:val="24"/>
                <w:lang w:val="en-US"/>
              </w:rPr>
              <w:t xml:space="preserve">UBND tỉnh </w:t>
            </w:r>
            <w:r w:rsidRPr="00B11BC1">
              <w:rPr>
                <w:sz w:val="24"/>
              </w:rPr>
              <w:t xml:space="preserve">đã </w:t>
            </w:r>
            <w:r>
              <w:rPr>
                <w:sz w:val="24"/>
                <w:lang w:val="en-US"/>
              </w:rPr>
              <w:t>chỉ đạo</w:t>
            </w:r>
            <w:r w:rsidRPr="00B11BC1">
              <w:rPr>
                <w:sz w:val="24"/>
              </w:rPr>
              <w:t xml:space="preserve"> Sở Nông ngiệp và Phát triển nông thôn đẩy nhanh tiến độ thi công hoàn trả ĐT.552 đoạn tuyến từ Chợ Bộng đến Thị trấn Vũ Quang, hiện nay đoạn tuyến đã cơ bản hoàn thành mặt đường được thảm bê tông nhựa</w:t>
            </w:r>
            <w:r>
              <w:rPr>
                <w:sz w:val="24"/>
                <w:lang w:val="en-US"/>
              </w:rPr>
              <w:t>;</w:t>
            </w:r>
            <w:r w:rsidRPr="00B11BC1">
              <w:rPr>
                <w:sz w:val="24"/>
              </w:rPr>
              <w:t xml:space="preserve"> đoạn còn lại từ Q</w:t>
            </w:r>
            <w:r>
              <w:rPr>
                <w:sz w:val="24"/>
                <w:lang w:val="en-US"/>
              </w:rPr>
              <w:t>L</w:t>
            </w:r>
            <w:r w:rsidRPr="00B11BC1">
              <w:rPr>
                <w:sz w:val="24"/>
              </w:rPr>
              <w:t>8 đến Đức Lạng  UBND tỉnh cho đầu tư sữa chữa gia</w:t>
            </w:r>
            <w:r>
              <w:rPr>
                <w:sz w:val="24"/>
                <w:lang w:val="en-US"/>
              </w:rPr>
              <w:t>i</w:t>
            </w:r>
            <w:r w:rsidRPr="00B11BC1">
              <w:rPr>
                <w:sz w:val="24"/>
              </w:rPr>
              <w:t xml:space="preserve"> đoạn 1 năm 2019 đã hoàn thành với kinh phí 11,5 tỷ, hiện nay đang </w:t>
            </w:r>
            <w:r>
              <w:rPr>
                <w:sz w:val="24"/>
                <w:lang w:val="en-US"/>
              </w:rPr>
              <w:t>chức</w:t>
            </w:r>
            <w:r w:rsidRPr="00B11BC1">
              <w:rPr>
                <w:sz w:val="24"/>
              </w:rPr>
              <w:t xml:space="preserve"> chức lựa chọn nhà thầu, triển khai giai đoạn 2 trong năm 2020, với tổng kinh phí 18,5 tỷ kết cấu mặt đường thảm bê tông nhựa. Ngoài ra, trong khu vực thi công Dự án Ngàn trươi - Cẩm Trang có tuyến QL.281 đi qua các xã Tân Hương, Đức Lạng, Đức Đồng, trước sự xuống cấp của tuyến QL, Sở GTVT đã lập dự án sữa chữa định kỳ và được Tổng cục ĐBVN phê duyệt nguồn vốn năm 2020, hiện nay đã thi công cơ bản hoàn thành đoạn tuyến từ Tân Hương đến cầu Đồng Văn, với kinh phí 23 tỷ đồng. Đối với các tuyến đường huyện, đường giao thông nông thôn của huyện Đức Thọ, Sở GTVT đã phối hợp Sở tài chính phân khai nguồn vốn tỉnh hỗ trợ sữa chữa định kỳ cho huyên Đức Thọ 1,58 tỷ và kinh phí bảo dưỡng thường xuyện 1,27 tỷ, đối với huyện Vũ Quang hỗ trợ sữa chữa định kỳ 1,99 tỷ, BDTX 1,24 tỷ. Nhìn chung đến nay, các tuyến đường công vụ xây dựng Dự án Ngàn Trươi - Cẩm Trang cơ bản được sữa chữa đảm bảo giao thông êm thuận.</w:t>
            </w:r>
          </w:p>
          <w:p w:rsidR="00E468C8" w:rsidRPr="00DC0E20" w:rsidRDefault="00B11BC1" w:rsidP="00B11BC1">
            <w:pPr>
              <w:tabs>
                <w:tab w:val="left" w:pos="1571"/>
              </w:tabs>
              <w:spacing w:before="120"/>
              <w:jc w:val="both"/>
              <w:rPr>
                <w:sz w:val="24"/>
                <w:szCs w:val="24"/>
                <w:lang w:val="en-US"/>
              </w:rPr>
            </w:pPr>
            <w:r w:rsidRPr="00B11BC1">
              <w:rPr>
                <w:sz w:val="24"/>
              </w:rPr>
              <w:t>Đối với các dự án khác như Dự án xây dượng tuyến ven biển, tuyến công vụ chở vật liệu chủ yếu chạy trên QL.281 đoạn An Lộc – mỏ đất Hồng Lộc, trước sự hư hỏng, xuống cấp, Sở GTVT đã trình chủ trương và được Tổng cục ĐBVN chấp thuận cho phép sữa chữa đột xuất cục bộ năm 2019 và 2020 với kinh phí trên 3 tỷ đồng, hiện nay tuyến được lưu thông khá êm thuận, trên tuyến này đang được Ban quản lý dự án xây dựng công trình dân dụng triển khai thi công đầu tư nâng cấp, mở rộng.</w:t>
            </w:r>
          </w:p>
        </w:tc>
        <w:tc>
          <w:tcPr>
            <w:tcW w:w="1701" w:type="dxa"/>
            <w:vAlign w:val="center"/>
          </w:tcPr>
          <w:p w:rsidR="00E468C8" w:rsidRPr="00DC0E20" w:rsidRDefault="00E468C8" w:rsidP="005D171D">
            <w:pPr>
              <w:rPr>
                <w:sz w:val="24"/>
                <w:szCs w:val="24"/>
                <w:lang w:val="en-US"/>
              </w:rPr>
            </w:pPr>
          </w:p>
        </w:tc>
        <w:tc>
          <w:tcPr>
            <w:tcW w:w="3402" w:type="dxa"/>
            <w:vAlign w:val="center"/>
          </w:tcPr>
          <w:p w:rsidR="00E468C8" w:rsidRPr="00DC0E20" w:rsidRDefault="00037724" w:rsidP="005D171D">
            <w:pPr>
              <w:rPr>
                <w:sz w:val="24"/>
                <w:szCs w:val="24"/>
                <w:lang w:val="en-US"/>
              </w:rPr>
            </w:pPr>
            <w:r>
              <w:rPr>
                <w:sz w:val="24"/>
                <w:szCs w:val="24"/>
                <w:lang w:val="en-US"/>
              </w:rPr>
              <w:t xml:space="preserve">Tiếp tục </w:t>
            </w:r>
            <w:r w:rsidR="000B6B0B">
              <w:rPr>
                <w:sz w:val="24"/>
                <w:szCs w:val="24"/>
                <w:lang w:val="en-US"/>
              </w:rPr>
              <w:t>tăng cường công tác thanh tra, kiểm tra xử lý tình trạng xe chở quá tải</w:t>
            </w:r>
            <w:r w:rsidR="005C1C43">
              <w:rPr>
                <w:sz w:val="24"/>
                <w:szCs w:val="24"/>
                <w:lang w:val="en-US"/>
              </w:rPr>
              <w:t>; quan tâm duy tu, bảo dưỡng, bảo trì các tuyến đường</w:t>
            </w:r>
          </w:p>
        </w:tc>
        <w:tc>
          <w:tcPr>
            <w:tcW w:w="1276" w:type="dxa"/>
            <w:vAlign w:val="center"/>
          </w:tcPr>
          <w:p w:rsidR="00E468C8" w:rsidRPr="00DC0E20" w:rsidRDefault="00E468C8" w:rsidP="005D171D">
            <w:pPr>
              <w:rPr>
                <w:sz w:val="24"/>
                <w:szCs w:val="24"/>
                <w:lang w:val="en-US"/>
              </w:rPr>
            </w:pPr>
          </w:p>
        </w:tc>
      </w:tr>
      <w:tr w:rsidR="002024AC" w:rsidTr="009711D0">
        <w:tc>
          <w:tcPr>
            <w:tcW w:w="590" w:type="dxa"/>
            <w:vAlign w:val="center"/>
          </w:tcPr>
          <w:p w:rsidR="002024AC" w:rsidRPr="00DC0E20" w:rsidRDefault="002024AC" w:rsidP="002024AC">
            <w:pPr>
              <w:jc w:val="center"/>
              <w:rPr>
                <w:sz w:val="24"/>
                <w:szCs w:val="24"/>
                <w:lang w:val="en-US"/>
              </w:rPr>
            </w:pPr>
            <w:r w:rsidRPr="00DC0E20">
              <w:rPr>
                <w:sz w:val="24"/>
                <w:szCs w:val="24"/>
                <w:lang w:val="en-US"/>
              </w:rPr>
              <w:t>3</w:t>
            </w:r>
          </w:p>
        </w:tc>
        <w:tc>
          <w:tcPr>
            <w:tcW w:w="1928" w:type="dxa"/>
            <w:vAlign w:val="center"/>
          </w:tcPr>
          <w:p w:rsidR="002024AC" w:rsidRPr="00DC0E20" w:rsidRDefault="002024AC" w:rsidP="002024AC">
            <w:pPr>
              <w:rPr>
                <w:sz w:val="24"/>
                <w:szCs w:val="24"/>
                <w:lang w:val="en-US"/>
              </w:rPr>
            </w:pPr>
            <w:r w:rsidRPr="00DC0E20">
              <w:rPr>
                <w:sz w:val="24"/>
                <w:szCs w:val="24"/>
              </w:rPr>
              <w:t xml:space="preserve">Tình trạng lấn chiếm hành lang </w:t>
            </w:r>
            <w:r w:rsidRPr="00DC0E20">
              <w:rPr>
                <w:sz w:val="24"/>
                <w:szCs w:val="24"/>
              </w:rPr>
              <w:lastRenderedPageBreak/>
              <w:t>an toàn giao thông, tuỳ tiện mở đường giao cắt, nạn trâu bò thả rông v.v… chậm được xử lý, gây ra nhiều tai nạn giao thông</w:t>
            </w:r>
            <w:r w:rsidRPr="00DC0E20">
              <w:rPr>
                <w:sz w:val="24"/>
                <w:szCs w:val="24"/>
                <w:lang w:val="en-US"/>
              </w:rPr>
              <w:t xml:space="preserve"> (chất vấn tại kỳ họp thứ 5)</w:t>
            </w:r>
          </w:p>
        </w:tc>
        <w:tc>
          <w:tcPr>
            <w:tcW w:w="6237" w:type="dxa"/>
            <w:vAlign w:val="center"/>
          </w:tcPr>
          <w:p w:rsidR="00FB3BD7" w:rsidRDefault="00FB3BD7" w:rsidP="007C032C">
            <w:pPr>
              <w:spacing w:before="120"/>
              <w:jc w:val="both"/>
              <w:rPr>
                <w:sz w:val="24"/>
                <w:lang w:val="nl-NL"/>
              </w:rPr>
            </w:pPr>
            <w:r>
              <w:rPr>
                <w:sz w:val="24"/>
                <w:lang w:val="nl-NL"/>
              </w:rPr>
              <w:lastRenderedPageBreak/>
              <w:t xml:space="preserve">Trong </w:t>
            </w:r>
            <w:r w:rsidRPr="00FB3BD7">
              <w:rPr>
                <w:sz w:val="24"/>
                <w:lang w:val="nl-NL"/>
              </w:rPr>
              <w:t xml:space="preserve">thời gian qua, trước tình trạng </w:t>
            </w:r>
            <w:r>
              <w:rPr>
                <w:sz w:val="24"/>
                <w:lang w:val="nl-NL"/>
              </w:rPr>
              <w:t>lấn chiếm hành lang ATGT, trâu bò thả rông,</w:t>
            </w:r>
            <w:r w:rsidRPr="00FB3BD7">
              <w:rPr>
                <w:sz w:val="24"/>
                <w:lang w:val="nl-NL"/>
              </w:rPr>
              <w:t xml:space="preserve"> UBND tỉnh </w:t>
            </w:r>
            <w:r>
              <w:rPr>
                <w:sz w:val="24"/>
                <w:lang w:val="nl-NL"/>
              </w:rPr>
              <w:t xml:space="preserve">đã chỉ đạo rất quyết liệt </w:t>
            </w:r>
            <w:r>
              <w:rPr>
                <w:sz w:val="24"/>
                <w:lang w:val="nl-NL"/>
              </w:rPr>
              <w:lastRenderedPageBreak/>
              <w:t xml:space="preserve">với việc ban hành 2 Công điện, 1 Chỉ thị; sự vào cuộc của Ban ATGT tỉnh, Công an tỉnh, Sở GTVT và chính quyền các cấp nên tình trạng vi phạm giảm, số vụ tai nạn giao thông liên quan đến vi phạm này giảm (năm 2018 xẩy ra 4 vụ TNGT </w:t>
            </w:r>
            <w:r w:rsidR="007C032C">
              <w:rPr>
                <w:sz w:val="24"/>
                <w:lang w:val="nl-NL"/>
              </w:rPr>
              <w:t>liên quan</w:t>
            </w:r>
            <w:r>
              <w:rPr>
                <w:sz w:val="24"/>
                <w:lang w:val="nl-NL"/>
              </w:rPr>
              <w:t xml:space="preserve"> trâu bò thả rông, năm 2019 xẩy ra 2 vụ, năm 2020 chưa xẩy ra); với các giải pháp </w:t>
            </w:r>
            <w:r w:rsidR="00E1105E">
              <w:rPr>
                <w:sz w:val="24"/>
                <w:lang w:val="nl-NL"/>
              </w:rPr>
              <w:t>vừa tuyên truyền, vận động nhân dân tự giác chấp hành, vừa xử lý nghiêm hành vi vi phạm; mở các đợt cao điểm xử lý, giải tỏa lấn chiếm hành la</w:t>
            </w:r>
            <w:r w:rsidR="007C032C">
              <w:rPr>
                <w:sz w:val="24"/>
                <w:lang w:val="nl-NL"/>
              </w:rPr>
              <w:t>ng; Ban ATGT đưa tiêu chí đảm bảo hành lang ATGT, tình trạng thả rông trâu bò vào tiêu chí đánh giá, chấm điểm, xếp loại cuối năm đối với các địa phương, đơn vị.</w:t>
            </w:r>
          </w:p>
          <w:p w:rsidR="002024AC" w:rsidRPr="00DC0E20" w:rsidRDefault="007C032C" w:rsidP="00004EE6">
            <w:pPr>
              <w:spacing w:before="120"/>
              <w:jc w:val="both"/>
              <w:rPr>
                <w:sz w:val="24"/>
                <w:szCs w:val="24"/>
                <w:lang w:val="en-US"/>
              </w:rPr>
            </w:pPr>
            <w:r>
              <w:rPr>
                <w:sz w:val="24"/>
                <w:lang w:val="nl-NL"/>
              </w:rPr>
              <w:t>Tuy vậy, nhiều lúc, nhiều nơi, nhất là cứ đến mùa vụ tình trạng sử dụng lòng lề đường vẫn còn xẩy ra</w:t>
            </w:r>
            <w:r w:rsidR="00BC6268">
              <w:rPr>
                <w:sz w:val="24"/>
                <w:lang w:val="nl-NL"/>
              </w:rPr>
              <w:t>, tình trạng vi phạm san lấp hành lang, đấu nối trái phép vẫn còn, nhất là các hộ gia đình đã được cấp đất từ trước</w:t>
            </w:r>
          </w:p>
        </w:tc>
        <w:tc>
          <w:tcPr>
            <w:tcW w:w="1701" w:type="dxa"/>
            <w:vAlign w:val="center"/>
          </w:tcPr>
          <w:p w:rsidR="002024AC" w:rsidRDefault="002024AC" w:rsidP="002024AC">
            <w:pPr>
              <w:tabs>
                <w:tab w:val="left" w:pos="488"/>
                <w:tab w:val="left" w:pos="12333"/>
              </w:tabs>
              <w:jc w:val="both"/>
              <w:rPr>
                <w:sz w:val="22"/>
                <w:lang w:val="nl-NL"/>
              </w:rPr>
            </w:pPr>
            <w:r>
              <w:rPr>
                <w:sz w:val="22"/>
                <w:lang w:val="nl-NL"/>
              </w:rPr>
              <w:lastRenderedPageBreak/>
              <w:t xml:space="preserve">Đây là tình trạng diễn ra theo từng </w:t>
            </w:r>
            <w:r>
              <w:rPr>
                <w:sz w:val="22"/>
                <w:lang w:val="nl-NL"/>
              </w:rPr>
              <w:lastRenderedPageBreak/>
              <w:t>thời điểm, phụ thuộc nhiều vào ý thức tự giác của nhân dân; trách nhiệm trực tiếp là chính quyền cơ sở</w:t>
            </w:r>
            <w:r w:rsidRPr="00812FCE">
              <w:rPr>
                <w:sz w:val="22"/>
                <w:lang w:val="nl-NL"/>
              </w:rPr>
              <w:t xml:space="preserve"> nhưng sự vào cuộc của một số nơi chưa được quan tâm</w:t>
            </w:r>
            <w:r>
              <w:rPr>
                <w:sz w:val="22"/>
                <w:lang w:val="nl-NL"/>
              </w:rPr>
              <w:t>; sự phối hợp giữa các cấp nhiều nơi chưa hiệu quả</w:t>
            </w:r>
          </w:p>
        </w:tc>
        <w:tc>
          <w:tcPr>
            <w:tcW w:w="3402" w:type="dxa"/>
            <w:vAlign w:val="center"/>
          </w:tcPr>
          <w:p w:rsidR="002024AC" w:rsidRPr="00DC0E20" w:rsidRDefault="00BC6268" w:rsidP="00004EE6">
            <w:pPr>
              <w:spacing w:before="120"/>
              <w:jc w:val="both"/>
              <w:rPr>
                <w:sz w:val="24"/>
                <w:szCs w:val="24"/>
                <w:lang w:val="en-US"/>
              </w:rPr>
            </w:pPr>
            <w:r>
              <w:rPr>
                <w:sz w:val="24"/>
                <w:lang w:val="nl-NL"/>
              </w:rPr>
              <w:lastRenderedPageBreak/>
              <w:t>Trong thời gian tới, t</w:t>
            </w:r>
            <w:r w:rsidR="002024AC" w:rsidRPr="002024AC">
              <w:rPr>
                <w:sz w:val="24"/>
                <w:lang w:val="nl-NL"/>
              </w:rPr>
              <w:t xml:space="preserve">iếp tục nâng cao vai trò trách nhiệm của các cơ </w:t>
            </w:r>
            <w:r w:rsidR="002024AC" w:rsidRPr="002024AC">
              <w:rPr>
                <w:sz w:val="24"/>
                <w:lang w:val="nl-NL"/>
              </w:rPr>
              <w:lastRenderedPageBreak/>
              <w:t>quan tham mưu và đặc biệt là sự vào cuộc của chính quyền địa phương; ra sức tuyên truyền, vận động nhân dân không chăn thả trâu bò, phơi, tuốt lúa... trên đường bộ làm mất an toàn giao tông, vi phạm ATGT, gây nguy cơ tai nạn; tăng cường phối hợp, xử lý nghiêm các trường hợp vi phạm; tổ chức điều ra, xử lý đối với những vụ vi phạm gây hậu quả trọng để nâng cao tính răn đe, cảnh báo; tăng cường kiểm tra, giám sát, đôn đốc của Ban ATGT tỉnh, Sở GTVT</w:t>
            </w:r>
            <w:r>
              <w:rPr>
                <w:sz w:val="24"/>
                <w:lang w:val="nl-NL"/>
              </w:rPr>
              <w:t xml:space="preserve">, </w:t>
            </w:r>
            <w:r w:rsidR="002024AC" w:rsidRPr="002024AC">
              <w:rPr>
                <w:sz w:val="24"/>
                <w:lang w:val="nl-NL"/>
              </w:rPr>
              <w:t>các lực lượng chức năng cấp tỉnh, cấp huyện</w:t>
            </w:r>
          </w:p>
        </w:tc>
        <w:tc>
          <w:tcPr>
            <w:tcW w:w="1276" w:type="dxa"/>
            <w:vAlign w:val="center"/>
          </w:tcPr>
          <w:p w:rsidR="002024AC" w:rsidRPr="00DC0E20" w:rsidRDefault="002024AC" w:rsidP="002024AC">
            <w:pPr>
              <w:rPr>
                <w:sz w:val="24"/>
                <w:szCs w:val="24"/>
                <w:lang w:val="en-US"/>
              </w:rPr>
            </w:pPr>
          </w:p>
        </w:tc>
      </w:tr>
      <w:tr w:rsidR="002024AC" w:rsidTr="009711D0">
        <w:tc>
          <w:tcPr>
            <w:tcW w:w="590" w:type="dxa"/>
            <w:vAlign w:val="center"/>
          </w:tcPr>
          <w:p w:rsidR="002024AC" w:rsidRPr="00DC0E20" w:rsidRDefault="002024AC" w:rsidP="00432044">
            <w:pPr>
              <w:jc w:val="center"/>
              <w:rPr>
                <w:sz w:val="24"/>
                <w:szCs w:val="24"/>
                <w:lang w:val="en-US"/>
              </w:rPr>
            </w:pPr>
            <w:bookmarkStart w:id="0" w:name="_GoBack"/>
            <w:bookmarkEnd w:id="0"/>
            <w:r w:rsidRPr="00DC0E20">
              <w:rPr>
                <w:sz w:val="24"/>
                <w:szCs w:val="24"/>
                <w:lang w:val="en-US"/>
              </w:rPr>
              <w:t>1</w:t>
            </w:r>
          </w:p>
        </w:tc>
        <w:tc>
          <w:tcPr>
            <w:tcW w:w="1928" w:type="dxa"/>
            <w:vAlign w:val="center"/>
          </w:tcPr>
          <w:p w:rsidR="002024AC" w:rsidRPr="00DC0E20" w:rsidRDefault="002024AC" w:rsidP="00393B1F">
            <w:pPr>
              <w:rPr>
                <w:sz w:val="24"/>
                <w:szCs w:val="24"/>
                <w:lang w:val="en-US"/>
              </w:rPr>
            </w:pPr>
            <w:r w:rsidRPr="00DC0E20">
              <w:rPr>
                <w:sz w:val="24"/>
                <w:szCs w:val="24"/>
              </w:rPr>
              <w:t>Giải pháp xử lý một số tuyến đường giao thông gây ngập lụt trong mùa mưa lũ do hệ thống cầu, cống tiêu thoát nước không đảm bảo; tuyến đường tránh quốc lộ 1A đoạn qua thành phố Hà Tĩnh, tỉnh lộ 17 qua các xã Thạch Tân, Thạch Lâm, Thạch Điền huyện Thạch Hà…(gửi đến kỳ hợp thứ 7)</w:t>
            </w:r>
          </w:p>
        </w:tc>
        <w:tc>
          <w:tcPr>
            <w:tcW w:w="6237" w:type="dxa"/>
            <w:vAlign w:val="center"/>
          </w:tcPr>
          <w:p w:rsidR="00393B1F" w:rsidRPr="00393B1F" w:rsidRDefault="00393B1F" w:rsidP="00393B1F">
            <w:pPr>
              <w:pStyle w:val="Default"/>
              <w:widowControl w:val="0"/>
              <w:spacing w:before="60" w:line="380" w:lineRule="exact"/>
              <w:rPr>
                <w:i/>
                <w:color w:val="auto"/>
              </w:rPr>
            </w:pPr>
            <w:r w:rsidRPr="00393B1F">
              <w:rPr>
                <w:color w:val="auto"/>
              </w:rPr>
              <w:t>Sau khi có ý kiến nghị của cử tri huyện Thạch Hà, thời gian qua UBND tỉnh Hà Tĩnh đã có các văn bản số 2825/UBND-GT</w:t>
            </w:r>
            <w:r w:rsidRPr="00393B1F">
              <w:rPr>
                <w:color w:val="auto"/>
                <w:vertAlign w:val="subscript"/>
              </w:rPr>
              <w:t>1</w:t>
            </w:r>
            <w:r w:rsidRPr="00393B1F">
              <w:rPr>
                <w:color w:val="auto"/>
              </w:rPr>
              <w:t xml:space="preserve"> ngày 08/05/2019, số 6241/UBND-GT</w:t>
            </w:r>
            <w:r w:rsidRPr="00393B1F">
              <w:rPr>
                <w:color w:val="auto"/>
                <w:vertAlign w:val="subscript"/>
              </w:rPr>
              <w:t xml:space="preserve">1 </w:t>
            </w:r>
            <w:r w:rsidRPr="00393B1F">
              <w:rPr>
                <w:color w:val="auto"/>
              </w:rPr>
              <w:t>ngày 20/9/2019 và số 623/UBND-GT</w:t>
            </w:r>
            <w:r w:rsidRPr="00393B1F">
              <w:rPr>
                <w:color w:val="auto"/>
                <w:vertAlign w:val="subscript"/>
              </w:rPr>
              <w:t xml:space="preserve">1 </w:t>
            </w:r>
            <w:r w:rsidRPr="00393B1F">
              <w:rPr>
                <w:color w:val="auto"/>
              </w:rPr>
              <w:t xml:space="preserve"> ngày 07/02/2020 gửi Bộ Giao thông vận tải, Tổng cục Đường bộ Việt Nam </w:t>
            </w:r>
            <w:r w:rsidRPr="00393B1F">
              <w:rPr>
                <w:i/>
                <w:color w:val="auto"/>
              </w:rPr>
              <w:t xml:space="preserve">đề nghị xem xét đánh giá cụ thể khả năng thoát nước từng đoạn tuyến để có phương án bổ sung hệ thống thoát nước phù hợp trên tuyến tránh QL.1 và các dự án liên quan qua tuyến tránh QL.1 như TL17… và giải quyết dứt điểm kiến nghị của cử tri huyện Thạch Hà. </w:t>
            </w:r>
            <w:r w:rsidRPr="00393B1F">
              <w:rPr>
                <w:color w:val="auto"/>
                <w:spacing w:val="-4"/>
              </w:rPr>
              <w:t xml:space="preserve">Tiếp đó, Tổng Cục Đường bộ Việt Nam có Văn bản số 1600/TCĐBVN-QLBTĐB, ngày 19/3/2020; Bộ Giao thông vận tải đã có Văn bản số 58/BGTVT-KCHT ngày 03/01/2020, số 5569/BGTVT-KCHT ngày 09/6/2020 với nội dung trả lời: </w:t>
            </w:r>
            <w:r w:rsidRPr="00393B1F">
              <w:rPr>
                <w:color w:val="auto"/>
                <w:spacing w:val="-4"/>
              </w:rPr>
              <w:lastRenderedPageBreak/>
              <w:t>“</w:t>
            </w:r>
            <w:r w:rsidRPr="00393B1F">
              <w:rPr>
                <w:i/>
                <w:color w:val="auto"/>
              </w:rPr>
              <w:t>Trước mắt tiếp tục yêu cầu đơn vị quản lý bảo trì đoạn tuyến tăng cường công tác nạo vét, khơi thông hệ thống thoát nước ngang hiện hữu. Sau khi tiếp nhận bàn giao từ Nhà đầu tư sẽ xem xét quyết định cho phép sữa chữa hệ thống thoát nước để xử lý ngập lụt trong khu vực.</w:t>
            </w:r>
            <w:r w:rsidRPr="00393B1F">
              <w:rPr>
                <w:color w:val="auto"/>
              </w:rPr>
              <w:t xml:space="preserve"> </w:t>
            </w:r>
            <w:r w:rsidRPr="00393B1F">
              <w:rPr>
                <w:i/>
                <w:color w:val="auto"/>
              </w:rPr>
              <w:t>Trong đó đề xuất phương án xử lý phải đảm bảo phù hợp về nguồn vốn, thực trạng công trình và quy hoạch của địa phương”.</w:t>
            </w:r>
          </w:p>
          <w:p w:rsidR="002024AC" w:rsidRPr="00DC0E20" w:rsidRDefault="00393B1F" w:rsidP="00393B1F">
            <w:pPr>
              <w:rPr>
                <w:sz w:val="24"/>
                <w:szCs w:val="24"/>
                <w:lang w:val="en-US"/>
              </w:rPr>
            </w:pPr>
            <w:r w:rsidRPr="00393B1F">
              <w:rPr>
                <w:spacing w:val="-4"/>
                <w:sz w:val="24"/>
                <w:szCs w:val="24"/>
              </w:rPr>
              <w:t>Hiện nay, UBND tỉnh đang giao Sở Giao thông vận tải lập Báo cáo đề xuất chủ trương đầu tư dự án xây dựng đường gom và hệ thống thoát nước gắn kết với dự án tiêu thoát lũ hai bên tuyến QL.1, đoạn tránh thành phố Hà Tĩnh theo kế hoạch đầu tư công trung hạn giai đoạn 2021-2025; đối với các công trình thoát nước trên đường gom và tuyến tránh QL.1 đảm bảo kết nối thoát nước với hệ thống thoát nước trong Dự án tiêu thoát lũ vùng hạ du hồ Kẻ Gỗ</w:t>
            </w:r>
          </w:p>
        </w:tc>
        <w:tc>
          <w:tcPr>
            <w:tcW w:w="1701" w:type="dxa"/>
          </w:tcPr>
          <w:p w:rsidR="002024AC" w:rsidRPr="00DC0E20" w:rsidRDefault="00393B1F" w:rsidP="00393B1F">
            <w:pPr>
              <w:rPr>
                <w:sz w:val="24"/>
                <w:szCs w:val="24"/>
                <w:lang w:val="en-US"/>
              </w:rPr>
            </w:pPr>
            <w:r>
              <w:rPr>
                <w:sz w:val="24"/>
                <w:szCs w:val="24"/>
                <w:lang w:val="en-US"/>
              </w:rPr>
              <w:lastRenderedPageBreak/>
              <w:t xml:space="preserve">Thẩm quyền quản lý và đầu tư tuyến QL1 đoạn tránh TP Hà Tĩnh do Bộ GTVT; UBND tỉnh đã kiến nghị đề xuất nhưng </w:t>
            </w:r>
            <w:r w:rsidR="009947A7">
              <w:rPr>
                <w:sz w:val="24"/>
                <w:szCs w:val="24"/>
                <w:lang w:val="en-US"/>
              </w:rPr>
              <w:t>Bộ GTVT đang xem xét</w:t>
            </w:r>
          </w:p>
        </w:tc>
        <w:tc>
          <w:tcPr>
            <w:tcW w:w="3402" w:type="dxa"/>
          </w:tcPr>
          <w:p w:rsidR="002024AC" w:rsidRPr="00DC0E20" w:rsidRDefault="00393B1F" w:rsidP="00393B1F">
            <w:pPr>
              <w:pStyle w:val="Default"/>
              <w:widowControl w:val="0"/>
              <w:spacing w:before="60" w:line="380" w:lineRule="exact"/>
              <w:jc w:val="both"/>
            </w:pPr>
            <w:r w:rsidRPr="00393B1F">
              <w:rPr>
                <w:color w:val="auto"/>
              </w:rPr>
              <w:t xml:space="preserve">Trong quá trình triển khai thực hiện </w:t>
            </w:r>
            <w:r w:rsidRPr="00393B1F">
              <w:rPr>
                <w:color w:val="auto"/>
                <w:spacing w:val="-4"/>
              </w:rPr>
              <w:t>đầu tư dự án xây dựng đường gom và hệ thống thoát nước gắn kết với dự án tiêu thoát lũ hai bên tuyến QL.1, đoạn tránh thành phố Hà Tĩnh</w:t>
            </w:r>
            <w:r w:rsidRPr="00393B1F">
              <w:rPr>
                <w:color w:val="auto"/>
              </w:rPr>
              <w:t xml:space="preserve">, UBND tỉnh Hà Tĩnh sẽ chỉ đạo Sở GTVT và các đơn vị liên quan phối hợp chặt chẽ với Bộ Giao thông vận tải, Tổng cục Đường bộ Việt Nam xử lý kiến nghị của cử tri huyện Thạch Hà về thoát nước qua đường tránh QL.1 để xử lý ngập lụt trong khu </w:t>
            </w:r>
            <w:r w:rsidRPr="00393B1F">
              <w:rPr>
                <w:color w:val="auto"/>
              </w:rPr>
              <w:lastRenderedPageBreak/>
              <w:t>vực.</w:t>
            </w:r>
          </w:p>
        </w:tc>
        <w:tc>
          <w:tcPr>
            <w:tcW w:w="1276" w:type="dxa"/>
          </w:tcPr>
          <w:p w:rsidR="002024AC" w:rsidRPr="00DC0E20" w:rsidRDefault="002024AC" w:rsidP="002024AC">
            <w:pPr>
              <w:rPr>
                <w:sz w:val="24"/>
                <w:szCs w:val="24"/>
                <w:lang w:val="en-US"/>
              </w:rPr>
            </w:pPr>
          </w:p>
        </w:tc>
      </w:tr>
    </w:tbl>
    <w:p w:rsidR="00E468C8" w:rsidRPr="00E468C8" w:rsidRDefault="00E468C8">
      <w:pPr>
        <w:rPr>
          <w:lang w:val="en-US"/>
        </w:rPr>
      </w:pPr>
    </w:p>
    <w:sectPr w:rsidR="00E468C8" w:rsidRPr="00E468C8" w:rsidSect="002B1F04">
      <w:pgSz w:w="16838" w:h="11906" w:orient="landscape" w:code="9"/>
      <w:pgMar w:top="1134" w:right="851" w:bottom="964" w:left="85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C8"/>
    <w:rsid w:val="00004EE6"/>
    <w:rsid w:val="0002446F"/>
    <w:rsid w:val="00037724"/>
    <w:rsid w:val="00082B06"/>
    <w:rsid w:val="0008327F"/>
    <w:rsid w:val="000B4917"/>
    <w:rsid w:val="000B6B0B"/>
    <w:rsid w:val="00141A27"/>
    <w:rsid w:val="00153AD1"/>
    <w:rsid w:val="002024AC"/>
    <w:rsid w:val="00275D69"/>
    <w:rsid w:val="002B1F04"/>
    <w:rsid w:val="002E5F40"/>
    <w:rsid w:val="0031375E"/>
    <w:rsid w:val="00393B1F"/>
    <w:rsid w:val="003B1ACA"/>
    <w:rsid w:val="00432044"/>
    <w:rsid w:val="0048220A"/>
    <w:rsid w:val="005729FF"/>
    <w:rsid w:val="00592510"/>
    <w:rsid w:val="005C1C43"/>
    <w:rsid w:val="005D171D"/>
    <w:rsid w:val="006B25D1"/>
    <w:rsid w:val="00723826"/>
    <w:rsid w:val="007A5EEB"/>
    <w:rsid w:val="007C032C"/>
    <w:rsid w:val="009711D0"/>
    <w:rsid w:val="009947A7"/>
    <w:rsid w:val="00A479B3"/>
    <w:rsid w:val="00A85EC0"/>
    <w:rsid w:val="00A93CE3"/>
    <w:rsid w:val="00AD2CD7"/>
    <w:rsid w:val="00B11BC1"/>
    <w:rsid w:val="00B85501"/>
    <w:rsid w:val="00BA1157"/>
    <w:rsid w:val="00BC6268"/>
    <w:rsid w:val="00CA21BF"/>
    <w:rsid w:val="00CC3DF8"/>
    <w:rsid w:val="00DC0E20"/>
    <w:rsid w:val="00E1105E"/>
    <w:rsid w:val="00E468C8"/>
    <w:rsid w:val="00E60820"/>
    <w:rsid w:val="00F74CB2"/>
    <w:rsid w:val="00F76737"/>
    <w:rsid w:val="00FB3BD7"/>
    <w:rsid w:val="00FC7B30"/>
    <w:rsid w:val="00FD67E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41CF70-CD7F-48CE-8FDB-2522A8FDD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8C8"/>
    <w:pPr>
      <w:spacing w:after="0" w:line="240" w:lineRule="auto"/>
      <w:jc w:val="left"/>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6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3B1F"/>
    <w:pPr>
      <w:autoSpaceDE w:val="0"/>
      <w:autoSpaceDN w:val="0"/>
      <w:adjustRightInd w:val="0"/>
      <w:spacing w:after="0" w:line="240" w:lineRule="auto"/>
      <w:jc w:val="left"/>
    </w:pPr>
    <w:rPr>
      <w:rFonts w:eastAsia="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2020-12-03T00:34:00Z</cp:lastPrinted>
  <dcterms:created xsi:type="dcterms:W3CDTF">2020-12-03T09:42:00Z</dcterms:created>
  <dcterms:modified xsi:type="dcterms:W3CDTF">2020-12-07T06:18:00Z</dcterms:modified>
</cp:coreProperties>
</file>