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737" w:rsidRPr="00141290" w:rsidRDefault="00493BC5" w:rsidP="00F76737">
      <w:pPr>
        <w:jc w:val="center"/>
        <w:rPr>
          <w:rFonts w:asciiTheme="majorHAnsi" w:hAnsiTheme="majorHAnsi" w:cstheme="majorHAnsi"/>
          <w:b/>
          <w:noProof/>
          <w:sz w:val="22"/>
          <w:szCs w:val="22"/>
          <w:lang w:val="en-US"/>
        </w:rPr>
      </w:pPr>
      <w:r w:rsidRPr="00141290">
        <w:rPr>
          <w:rFonts w:asciiTheme="majorHAnsi" w:hAnsiTheme="majorHAnsi" w:cstheme="majorHAnsi"/>
          <w:b/>
          <w:noProof/>
          <w:sz w:val="22"/>
          <w:szCs w:val="22"/>
          <w:lang w:val="en-US"/>
        </w:rPr>
        <w:t>PHỤ LỤC:</w:t>
      </w:r>
    </w:p>
    <w:p w:rsidR="00DA1C2D" w:rsidRPr="00141290" w:rsidRDefault="00DA1C2D" w:rsidP="00DA1C2D">
      <w:pPr>
        <w:tabs>
          <w:tab w:val="left" w:pos="3261"/>
        </w:tabs>
        <w:jc w:val="center"/>
        <w:rPr>
          <w:rFonts w:asciiTheme="majorHAnsi" w:hAnsiTheme="majorHAnsi" w:cstheme="majorHAnsi"/>
          <w:b/>
          <w:noProof/>
          <w:sz w:val="22"/>
          <w:szCs w:val="22"/>
        </w:rPr>
      </w:pPr>
      <w:r w:rsidRPr="00141290">
        <w:rPr>
          <w:rFonts w:asciiTheme="majorHAnsi" w:hAnsiTheme="majorHAnsi" w:cstheme="majorHAnsi"/>
          <w:b/>
          <w:noProof/>
          <w:sz w:val="22"/>
          <w:szCs w:val="22"/>
        </w:rPr>
        <w:t xml:space="preserve">Tổng hợp kết quả </w:t>
      </w:r>
      <w:r w:rsidR="00E468C8" w:rsidRPr="00141290">
        <w:rPr>
          <w:rFonts w:asciiTheme="majorHAnsi" w:hAnsiTheme="majorHAnsi" w:cstheme="majorHAnsi"/>
          <w:b/>
          <w:noProof/>
          <w:sz w:val="22"/>
          <w:szCs w:val="22"/>
        </w:rPr>
        <w:t xml:space="preserve">thực hiện các nội dung chất vấn </w:t>
      </w:r>
      <w:r w:rsidRPr="00141290">
        <w:rPr>
          <w:rFonts w:asciiTheme="majorHAnsi" w:hAnsiTheme="majorHAnsi" w:cstheme="majorHAnsi"/>
          <w:b/>
          <w:noProof/>
          <w:sz w:val="22"/>
          <w:szCs w:val="22"/>
        </w:rPr>
        <w:t>tại các Kỳ họp HĐND tỉnh khóa XVI (từ đầu nhiệm kỳ đến nay)</w:t>
      </w:r>
    </w:p>
    <w:p w:rsidR="00E468C8" w:rsidRPr="00141290" w:rsidRDefault="00DA1C2D" w:rsidP="00E904EA">
      <w:pPr>
        <w:jc w:val="center"/>
        <w:rPr>
          <w:rFonts w:asciiTheme="majorHAnsi" w:hAnsiTheme="majorHAnsi" w:cstheme="majorHAnsi"/>
          <w:i/>
          <w:noProof/>
          <w:sz w:val="22"/>
          <w:szCs w:val="22"/>
        </w:rPr>
      </w:pPr>
      <w:r w:rsidRPr="00141290">
        <w:rPr>
          <w:rFonts w:asciiTheme="majorHAnsi" w:hAnsiTheme="majorHAnsi" w:cstheme="majorHAnsi"/>
          <w:i/>
          <w:noProof/>
          <w:sz w:val="22"/>
          <w:szCs w:val="22"/>
        </w:rPr>
        <w:t xml:space="preserve">(Kèm theo Văn bản số </w:t>
      </w:r>
      <w:r w:rsidR="00E904EA" w:rsidRPr="00141290">
        <w:rPr>
          <w:rFonts w:asciiTheme="majorHAnsi" w:hAnsiTheme="majorHAnsi" w:cstheme="majorHAnsi"/>
          <w:i/>
          <w:noProof/>
          <w:sz w:val="22"/>
          <w:szCs w:val="22"/>
        </w:rPr>
        <w:t>3228</w:t>
      </w:r>
      <w:r w:rsidRPr="00141290">
        <w:rPr>
          <w:rFonts w:asciiTheme="majorHAnsi" w:hAnsiTheme="majorHAnsi" w:cstheme="majorHAnsi"/>
          <w:i/>
          <w:noProof/>
          <w:sz w:val="22"/>
          <w:szCs w:val="22"/>
        </w:rPr>
        <w:t>/S</w:t>
      </w:r>
      <w:r w:rsidR="00E904EA" w:rsidRPr="00141290">
        <w:rPr>
          <w:rFonts w:asciiTheme="majorHAnsi" w:hAnsiTheme="majorHAnsi" w:cstheme="majorHAnsi"/>
          <w:i/>
          <w:noProof/>
          <w:sz w:val="22"/>
          <w:szCs w:val="22"/>
        </w:rPr>
        <w:t>KHĐT</w:t>
      </w:r>
      <w:r w:rsidRPr="00141290">
        <w:rPr>
          <w:rFonts w:asciiTheme="majorHAnsi" w:hAnsiTheme="majorHAnsi" w:cstheme="majorHAnsi"/>
          <w:i/>
          <w:noProof/>
          <w:sz w:val="22"/>
          <w:szCs w:val="22"/>
        </w:rPr>
        <w:t>-</w:t>
      </w:r>
      <w:r w:rsidR="00E904EA" w:rsidRPr="00141290">
        <w:rPr>
          <w:rFonts w:asciiTheme="majorHAnsi" w:hAnsiTheme="majorHAnsi" w:cstheme="majorHAnsi"/>
          <w:i/>
          <w:noProof/>
          <w:sz w:val="22"/>
          <w:szCs w:val="22"/>
        </w:rPr>
        <w:t>T</w:t>
      </w:r>
      <w:r w:rsidRPr="00141290">
        <w:rPr>
          <w:rFonts w:asciiTheme="majorHAnsi" w:hAnsiTheme="majorHAnsi" w:cstheme="majorHAnsi"/>
          <w:i/>
          <w:noProof/>
          <w:sz w:val="22"/>
          <w:szCs w:val="22"/>
        </w:rPr>
        <w:t xml:space="preserve">H ngày </w:t>
      </w:r>
      <w:r w:rsidR="00E904EA" w:rsidRPr="00141290">
        <w:rPr>
          <w:rFonts w:asciiTheme="majorHAnsi" w:hAnsiTheme="majorHAnsi" w:cstheme="majorHAnsi"/>
          <w:i/>
          <w:noProof/>
          <w:sz w:val="22"/>
          <w:szCs w:val="22"/>
        </w:rPr>
        <w:t>04</w:t>
      </w:r>
      <w:r w:rsidRPr="00141290">
        <w:rPr>
          <w:rFonts w:asciiTheme="majorHAnsi" w:hAnsiTheme="majorHAnsi" w:cstheme="majorHAnsi"/>
          <w:i/>
          <w:noProof/>
          <w:sz w:val="22"/>
          <w:szCs w:val="22"/>
        </w:rPr>
        <w:t xml:space="preserve">/12/2020 của Sở </w:t>
      </w:r>
      <w:r w:rsidR="00E904EA" w:rsidRPr="00141290">
        <w:rPr>
          <w:rFonts w:asciiTheme="majorHAnsi" w:hAnsiTheme="majorHAnsi" w:cstheme="majorHAnsi"/>
          <w:i/>
          <w:noProof/>
          <w:sz w:val="22"/>
          <w:szCs w:val="22"/>
        </w:rPr>
        <w:t>Kế hoạch và Đầu tư</w:t>
      </w:r>
      <w:r w:rsidRPr="00141290">
        <w:rPr>
          <w:rFonts w:asciiTheme="majorHAnsi" w:hAnsiTheme="majorHAnsi" w:cstheme="majorHAnsi"/>
          <w:i/>
          <w:noProof/>
          <w:sz w:val="22"/>
          <w:szCs w:val="22"/>
        </w:rPr>
        <w:t>)</w:t>
      </w:r>
    </w:p>
    <w:p w:rsidR="00E468C8" w:rsidRPr="00141290" w:rsidRDefault="00E468C8">
      <w:pPr>
        <w:rPr>
          <w:rFonts w:asciiTheme="majorHAnsi" w:hAnsiTheme="majorHAnsi" w:cstheme="majorHAnsi"/>
          <w:noProof/>
          <w:sz w:val="22"/>
          <w:szCs w:val="22"/>
        </w:rPr>
      </w:pPr>
    </w:p>
    <w:tbl>
      <w:tblPr>
        <w:tblStyle w:val="TableGrid"/>
        <w:tblW w:w="16302" w:type="dxa"/>
        <w:tblInd w:w="-856" w:type="dxa"/>
        <w:tblLayout w:type="fixed"/>
        <w:tblLook w:val="04A0" w:firstRow="1" w:lastRow="0" w:firstColumn="1" w:lastColumn="0" w:noHBand="0" w:noVBand="1"/>
      </w:tblPr>
      <w:tblGrid>
        <w:gridCol w:w="680"/>
        <w:gridCol w:w="2954"/>
        <w:gridCol w:w="5835"/>
        <w:gridCol w:w="2977"/>
        <w:gridCol w:w="3273"/>
        <w:gridCol w:w="583"/>
      </w:tblGrid>
      <w:tr w:rsidR="00E468C8" w:rsidRPr="00141290" w:rsidTr="008A1501">
        <w:trPr>
          <w:trHeight w:val="688"/>
          <w:tblHeader/>
        </w:trPr>
        <w:tc>
          <w:tcPr>
            <w:tcW w:w="680" w:type="dxa"/>
            <w:vAlign w:val="center"/>
          </w:tcPr>
          <w:p w:rsidR="00E468C8" w:rsidRPr="00141290" w:rsidRDefault="00E468C8" w:rsidP="007A5EEB">
            <w:pPr>
              <w:jc w:val="center"/>
              <w:rPr>
                <w:rFonts w:asciiTheme="majorHAnsi" w:hAnsiTheme="majorHAnsi" w:cstheme="majorHAnsi"/>
                <w:b/>
                <w:noProof/>
                <w:sz w:val="22"/>
                <w:szCs w:val="22"/>
              </w:rPr>
            </w:pPr>
            <w:r w:rsidRPr="00141290">
              <w:rPr>
                <w:rFonts w:asciiTheme="majorHAnsi" w:hAnsiTheme="majorHAnsi" w:cstheme="majorHAnsi"/>
                <w:b/>
                <w:noProof/>
                <w:sz w:val="22"/>
                <w:szCs w:val="22"/>
              </w:rPr>
              <w:t>TT</w:t>
            </w:r>
          </w:p>
        </w:tc>
        <w:tc>
          <w:tcPr>
            <w:tcW w:w="2954" w:type="dxa"/>
            <w:vAlign w:val="center"/>
          </w:tcPr>
          <w:p w:rsidR="00E468C8" w:rsidRPr="00141290" w:rsidRDefault="005A635E" w:rsidP="001C706F">
            <w:pPr>
              <w:jc w:val="center"/>
              <w:rPr>
                <w:rFonts w:asciiTheme="majorHAnsi" w:hAnsiTheme="majorHAnsi" w:cstheme="majorHAnsi"/>
                <w:b/>
                <w:noProof/>
                <w:sz w:val="22"/>
                <w:szCs w:val="22"/>
              </w:rPr>
            </w:pPr>
            <w:r w:rsidRPr="00141290">
              <w:rPr>
                <w:rFonts w:asciiTheme="majorHAnsi" w:hAnsiTheme="majorHAnsi" w:cstheme="majorHAnsi"/>
                <w:b/>
                <w:noProof/>
                <w:sz w:val="22"/>
                <w:szCs w:val="22"/>
                <w:lang w:val="en-US"/>
              </w:rPr>
              <w:t>N</w:t>
            </w:r>
            <w:r w:rsidR="00E468C8" w:rsidRPr="00141290">
              <w:rPr>
                <w:rFonts w:asciiTheme="majorHAnsi" w:hAnsiTheme="majorHAnsi" w:cstheme="majorHAnsi"/>
                <w:b/>
                <w:noProof/>
                <w:sz w:val="22"/>
                <w:szCs w:val="22"/>
              </w:rPr>
              <w:t>ội dung chất vấn</w:t>
            </w:r>
          </w:p>
        </w:tc>
        <w:tc>
          <w:tcPr>
            <w:tcW w:w="5835" w:type="dxa"/>
            <w:vAlign w:val="center"/>
          </w:tcPr>
          <w:p w:rsidR="00E468C8" w:rsidRPr="00141290" w:rsidRDefault="00E468C8" w:rsidP="007A5EEB">
            <w:pPr>
              <w:jc w:val="center"/>
              <w:rPr>
                <w:rFonts w:asciiTheme="majorHAnsi" w:hAnsiTheme="majorHAnsi" w:cstheme="majorHAnsi"/>
                <w:b/>
                <w:noProof/>
                <w:sz w:val="22"/>
                <w:szCs w:val="22"/>
              </w:rPr>
            </w:pPr>
            <w:r w:rsidRPr="00141290">
              <w:rPr>
                <w:rFonts w:asciiTheme="majorHAnsi" w:hAnsiTheme="majorHAnsi" w:cstheme="majorHAnsi"/>
                <w:b/>
                <w:noProof/>
                <w:sz w:val="22"/>
                <w:szCs w:val="22"/>
              </w:rPr>
              <w:t>Kết quả thực hiện</w:t>
            </w:r>
            <w:r w:rsidR="00E3181C" w:rsidRPr="00141290">
              <w:rPr>
                <w:rFonts w:asciiTheme="majorHAnsi" w:hAnsiTheme="majorHAnsi" w:cstheme="majorHAnsi"/>
                <w:b/>
                <w:noProof/>
                <w:sz w:val="22"/>
                <w:szCs w:val="22"/>
              </w:rPr>
              <w:t xml:space="preserve"> đến nay</w:t>
            </w:r>
          </w:p>
        </w:tc>
        <w:tc>
          <w:tcPr>
            <w:tcW w:w="2977" w:type="dxa"/>
            <w:vAlign w:val="center"/>
          </w:tcPr>
          <w:p w:rsidR="00E468C8" w:rsidRPr="00141290" w:rsidRDefault="00E468C8" w:rsidP="007A5EEB">
            <w:pPr>
              <w:jc w:val="center"/>
              <w:rPr>
                <w:rFonts w:asciiTheme="majorHAnsi" w:hAnsiTheme="majorHAnsi" w:cstheme="majorHAnsi"/>
                <w:b/>
                <w:noProof/>
                <w:sz w:val="22"/>
                <w:szCs w:val="22"/>
              </w:rPr>
            </w:pPr>
            <w:r w:rsidRPr="00141290">
              <w:rPr>
                <w:rFonts w:asciiTheme="majorHAnsi" w:hAnsiTheme="majorHAnsi" w:cstheme="majorHAnsi"/>
                <w:b/>
                <w:noProof/>
                <w:sz w:val="22"/>
                <w:szCs w:val="22"/>
              </w:rPr>
              <w:t xml:space="preserve">Nguyên nhân, trách nhiệm </w:t>
            </w:r>
            <w:r w:rsidRPr="00141290">
              <w:rPr>
                <w:rFonts w:asciiTheme="majorHAnsi" w:hAnsiTheme="majorHAnsi" w:cstheme="majorHAnsi"/>
                <w:noProof/>
                <w:sz w:val="22"/>
                <w:szCs w:val="22"/>
              </w:rPr>
              <w:t>(nếu chậm trễ, chưa giải quyết)</w:t>
            </w:r>
          </w:p>
        </w:tc>
        <w:tc>
          <w:tcPr>
            <w:tcW w:w="3273" w:type="dxa"/>
            <w:vAlign w:val="center"/>
          </w:tcPr>
          <w:p w:rsidR="00E468C8" w:rsidRPr="00141290" w:rsidRDefault="00E468C8" w:rsidP="007A5EEB">
            <w:pPr>
              <w:jc w:val="center"/>
              <w:rPr>
                <w:rFonts w:asciiTheme="majorHAnsi" w:hAnsiTheme="majorHAnsi" w:cstheme="majorHAnsi"/>
                <w:b/>
                <w:noProof/>
                <w:sz w:val="22"/>
                <w:szCs w:val="22"/>
              </w:rPr>
            </w:pPr>
            <w:r w:rsidRPr="00141290">
              <w:rPr>
                <w:rFonts w:asciiTheme="majorHAnsi" w:hAnsiTheme="majorHAnsi" w:cstheme="majorHAnsi"/>
                <w:b/>
                <w:noProof/>
                <w:sz w:val="22"/>
                <w:szCs w:val="22"/>
              </w:rPr>
              <w:t>Giải pháp thời gian tới</w:t>
            </w:r>
          </w:p>
        </w:tc>
        <w:tc>
          <w:tcPr>
            <w:tcW w:w="583" w:type="dxa"/>
            <w:vAlign w:val="center"/>
          </w:tcPr>
          <w:p w:rsidR="00E468C8" w:rsidRPr="00141290" w:rsidRDefault="00E468C8" w:rsidP="007A5EEB">
            <w:pPr>
              <w:jc w:val="center"/>
              <w:rPr>
                <w:rFonts w:asciiTheme="majorHAnsi" w:hAnsiTheme="majorHAnsi" w:cstheme="majorHAnsi"/>
                <w:b/>
                <w:noProof/>
                <w:sz w:val="22"/>
                <w:szCs w:val="22"/>
              </w:rPr>
            </w:pPr>
            <w:r w:rsidRPr="00141290">
              <w:rPr>
                <w:rFonts w:asciiTheme="majorHAnsi" w:hAnsiTheme="majorHAnsi" w:cstheme="majorHAnsi"/>
                <w:b/>
                <w:noProof/>
                <w:sz w:val="22"/>
                <w:szCs w:val="22"/>
              </w:rPr>
              <w:t>Ghi chú</w:t>
            </w:r>
          </w:p>
        </w:tc>
      </w:tr>
      <w:tr w:rsidR="00E904EA" w:rsidRPr="00141290" w:rsidTr="008A1501">
        <w:trPr>
          <w:trHeight w:val="475"/>
        </w:trPr>
        <w:tc>
          <w:tcPr>
            <w:tcW w:w="680" w:type="dxa"/>
          </w:tcPr>
          <w:p w:rsidR="00E904EA" w:rsidRPr="00141290" w:rsidRDefault="00E904EA" w:rsidP="00B92068">
            <w:pPr>
              <w:jc w:val="center"/>
              <w:rPr>
                <w:rFonts w:asciiTheme="majorHAnsi" w:hAnsiTheme="majorHAnsi" w:cstheme="majorHAnsi"/>
                <w:sz w:val="22"/>
                <w:szCs w:val="22"/>
                <w:lang w:val="en-US"/>
              </w:rPr>
            </w:pPr>
            <w:bookmarkStart w:id="0" w:name="_GoBack"/>
            <w:bookmarkEnd w:id="0"/>
            <w:r w:rsidRPr="00141290">
              <w:rPr>
                <w:rFonts w:asciiTheme="majorHAnsi" w:hAnsiTheme="majorHAnsi" w:cstheme="majorHAnsi"/>
                <w:sz w:val="22"/>
                <w:szCs w:val="22"/>
                <w:lang w:val="en-US"/>
              </w:rPr>
              <w:t>Câu 16</w:t>
            </w:r>
          </w:p>
        </w:tc>
        <w:tc>
          <w:tcPr>
            <w:tcW w:w="2954" w:type="dxa"/>
          </w:tcPr>
          <w:p w:rsidR="00E904EA" w:rsidRPr="00141290" w:rsidRDefault="00E904EA" w:rsidP="00B92068">
            <w:pPr>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Năm 2016, tốc độ tăng trưởng kinh tế giảm sâu, đề nghị UBND tỉnh phân tích thật cụ thể ngoài nguyên nhân khách quan cần phân tích nguyên nhân chủ quan; có giải pháp để đạt được tốc độ tăng trưởng kinh tế bền vững trong năm 2017 và những năm tiếp theo.</w:t>
            </w:r>
          </w:p>
        </w:tc>
        <w:tc>
          <w:tcPr>
            <w:tcW w:w="5835" w:type="dxa"/>
          </w:tcPr>
          <w:p w:rsidR="00E904EA" w:rsidRPr="00141290" w:rsidRDefault="00E904EA" w:rsidP="00B92068">
            <w:pPr>
              <w:pStyle w:val="Body1"/>
              <w:spacing w:before="120"/>
              <w:jc w:val="both"/>
              <w:outlineLvl w:val="9"/>
              <w:rPr>
                <w:rFonts w:asciiTheme="majorHAnsi" w:hAnsiTheme="majorHAnsi" w:cstheme="majorHAnsi"/>
                <w:color w:val="auto"/>
                <w:spacing w:val="-2"/>
                <w:sz w:val="22"/>
                <w:szCs w:val="22"/>
                <w:lang w:val="es-NI"/>
              </w:rPr>
            </w:pPr>
            <w:r w:rsidRPr="00141290">
              <w:rPr>
                <w:rFonts w:asciiTheme="majorHAnsi" w:hAnsiTheme="majorHAnsi" w:cstheme="majorHAnsi"/>
                <w:color w:val="auto"/>
                <w:sz w:val="22"/>
                <w:szCs w:val="22"/>
                <w:lang w:val="es-NI"/>
              </w:rPr>
              <w:t xml:space="preserve">Năm 2016, sự cố môi trường biển và các đợt lũ lụt diện rộng trong tháng 10 ảnh hưởng nặng nề đến phát triển kinh tế, hoạt động sản xuất kinh doanh và </w:t>
            </w:r>
            <w:r w:rsidRPr="00141290">
              <w:rPr>
                <w:rFonts w:asciiTheme="majorHAnsi" w:hAnsiTheme="majorHAnsi" w:cstheme="majorHAnsi"/>
                <w:color w:val="auto"/>
                <w:spacing w:val="-2"/>
                <w:sz w:val="22"/>
                <w:szCs w:val="22"/>
                <w:lang w:val="es-NI"/>
              </w:rPr>
              <w:t xml:space="preserve">đời sống của người dân; tốc tăng trưởng kinh tế của tỉnh âm 14,58%, trong đó: khu vực nông nghiệp tăng 2,93%; khu vực công nghiệp xây dựng giảm 29,13%; khu vục dịch vụ giảm 9,6%. Để khôi phục lại đà tăng trưởng, UBND tỉnh đã đề ra nhiều giải pháp quan trọng, cả trước mắt và lâu dài như tập trung thực hiện tái cơ cấu lại nông nghiệp; khôi phục, phát triển sản xuất nuôi trồng, khai thác thủy sản, gắn với phục hồi, tái tạo nguồn lợi thủy sản sau sự cố môi trường; đẩy nhanh tiến độ các dự án công nghiệp để sớm đưa vào hoạt động có hiệu quả, trong đó tập trung chỉ đạo Công ty Formosa khẩn trương khắc phục đầy đủ các vi phạm để sớm đưa dự án Khu liên hợp gang thép và cảng Sơn Dương đi vào hoạt động; thực hiện các giải pháp khôi phục hoạt động ngành du lịch biển; đẩy mạnh cải cách hành chính, cải thiện môi trường đầu tư kinh doanh, thúc đẩy phát triển doanh nghiệp, tăng cường thu hút đầu tư, huy động tối đa và sử dụng hiệu quả các nguồn lực cho đầu tư phát triển... </w:t>
            </w:r>
          </w:p>
          <w:p w:rsidR="00E904EA" w:rsidRPr="00141290" w:rsidRDefault="00E904EA" w:rsidP="00B92068">
            <w:pPr>
              <w:pStyle w:val="Body1"/>
              <w:spacing w:before="120"/>
              <w:jc w:val="both"/>
              <w:outlineLvl w:val="9"/>
              <w:rPr>
                <w:rFonts w:asciiTheme="majorHAnsi" w:hAnsiTheme="majorHAnsi" w:cstheme="majorHAnsi"/>
                <w:color w:val="auto"/>
                <w:spacing w:val="-2"/>
                <w:sz w:val="22"/>
                <w:szCs w:val="22"/>
                <w:lang w:val="es-NI"/>
              </w:rPr>
            </w:pPr>
            <w:r w:rsidRPr="00141290">
              <w:rPr>
                <w:rFonts w:asciiTheme="majorHAnsi" w:hAnsiTheme="majorHAnsi" w:cstheme="majorHAnsi"/>
                <w:color w:val="auto"/>
                <w:spacing w:val="-2"/>
                <w:sz w:val="22"/>
                <w:szCs w:val="22"/>
                <w:lang w:val="es-NI"/>
              </w:rPr>
              <w:t xml:space="preserve">Nhờ vậy, kinh tế của tỉnh đã nhanh chóng phục hồi vào năm 2017, với tốc độ tăng trưởng đạt 9,9%, trong đó riêng công nghiệp tăng 58,7%.  Tiếp sang năm 2018, mặc dù vẫn còn nhiều khó khăn, thách thức, nhưng với sự nổ lực của cả hệ thống chính trị, cộng đồng doanh nghiệp và nhân dân tỉnh nhà, tốc độ tăng trưởng kinh tế đạt 20,8%; là năm chúng ta đạt kết quả cao nhất, chuyển biến tích cực nhất sau 2 năm đầu nhiệm kỳ gặp nhiều khó khăn thách thức.  </w:t>
            </w:r>
          </w:p>
        </w:tc>
        <w:tc>
          <w:tcPr>
            <w:tcW w:w="2977" w:type="dxa"/>
          </w:tcPr>
          <w:p w:rsidR="00E904EA" w:rsidRPr="00141290" w:rsidRDefault="00E904EA" w:rsidP="00B92068">
            <w:pPr>
              <w:rPr>
                <w:rFonts w:asciiTheme="majorHAnsi" w:hAnsiTheme="majorHAnsi" w:cstheme="majorHAnsi"/>
                <w:sz w:val="22"/>
                <w:szCs w:val="22"/>
                <w:lang w:val="es-NI"/>
              </w:rPr>
            </w:pPr>
          </w:p>
        </w:tc>
        <w:tc>
          <w:tcPr>
            <w:tcW w:w="3273" w:type="dxa"/>
          </w:tcPr>
          <w:p w:rsidR="00E904EA" w:rsidRPr="00141290" w:rsidRDefault="00E904EA">
            <w:pPr>
              <w:rPr>
                <w:rFonts w:asciiTheme="majorHAnsi" w:hAnsiTheme="majorHAnsi" w:cstheme="majorHAnsi"/>
                <w:noProof/>
                <w:sz w:val="22"/>
                <w:szCs w:val="22"/>
              </w:rPr>
            </w:pPr>
          </w:p>
        </w:tc>
        <w:tc>
          <w:tcPr>
            <w:tcW w:w="583" w:type="dxa"/>
          </w:tcPr>
          <w:p w:rsidR="00E904EA" w:rsidRPr="00141290" w:rsidRDefault="00E904EA">
            <w:pPr>
              <w:rPr>
                <w:rFonts w:asciiTheme="majorHAnsi" w:hAnsiTheme="majorHAnsi" w:cstheme="majorHAnsi"/>
                <w:noProof/>
                <w:sz w:val="22"/>
                <w:szCs w:val="22"/>
              </w:rPr>
            </w:pPr>
          </w:p>
        </w:tc>
      </w:tr>
      <w:tr w:rsidR="00E904EA" w:rsidRPr="00141290" w:rsidTr="008A1501">
        <w:trPr>
          <w:trHeight w:val="699"/>
        </w:trPr>
        <w:tc>
          <w:tcPr>
            <w:tcW w:w="680" w:type="dxa"/>
          </w:tcPr>
          <w:p w:rsidR="00E904EA" w:rsidRPr="00141290" w:rsidRDefault="00E904EA" w:rsidP="00B92068">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t>Câu 149</w:t>
            </w:r>
          </w:p>
        </w:tc>
        <w:tc>
          <w:tcPr>
            <w:tcW w:w="2954" w:type="dxa"/>
          </w:tcPr>
          <w:p w:rsidR="00E904EA" w:rsidRPr="00141290" w:rsidRDefault="00E904EA" w:rsidP="00B92068">
            <w:pPr>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Tốc độ tăng trưởng năm 2019 của ngành nông nghiệp không đạt kế hoạch đề ra. Đề nghị Ủy </w:t>
            </w:r>
            <w:r w:rsidRPr="00141290">
              <w:rPr>
                <w:rFonts w:asciiTheme="majorHAnsi" w:hAnsiTheme="majorHAnsi" w:cstheme="majorHAnsi"/>
                <w:sz w:val="22"/>
                <w:szCs w:val="22"/>
                <w:lang w:val="en-US"/>
              </w:rPr>
              <w:lastRenderedPageBreak/>
              <w:t>ban nhân dân tỉnh cho biết nguyên nhân, trách nhiệm và giải pháp.</w:t>
            </w:r>
          </w:p>
        </w:tc>
        <w:tc>
          <w:tcPr>
            <w:tcW w:w="5835" w:type="dxa"/>
          </w:tcPr>
          <w:p w:rsidR="00E904EA" w:rsidRPr="00141290" w:rsidRDefault="00E904EA" w:rsidP="00B92068">
            <w:pPr>
              <w:pStyle w:val="Body1"/>
              <w:spacing w:before="120"/>
              <w:jc w:val="both"/>
              <w:outlineLvl w:val="9"/>
              <w:rPr>
                <w:rFonts w:asciiTheme="majorHAnsi" w:hAnsiTheme="majorHAnsi" w:cstheme="majorHAnsi"/>
                <w:sz w:val="22"/>
                <w:szCs w:val="22"/>
              </w:rPr>
            </w:pPr>
            <w:r w:rsidRPr="00141290">
              <w:rPr>
                <w:rFonts w:asciiTheme="majorHAnsi" w:hAnsiTheme="majorHAnsi" w:cstheme="majorHAnsi"/>
                <w:sz w:val="22"/>
                <w:szCs w:val="22"/>
              </w:rPr>
              <w:lastRenderedPageBreak/>
              <w:t xml:space="preserve">Năm 2019, mặc dù tốc độ tăng trưởng kinh tế chung của tỉnh tăng trưởng khá, đạt trên 9,4%, nhưng riêng tăng trưởng của ngành nông nghiệp lại giảm 1,58%. Nguyên nhân giảm chủ yếu </w:t>
            </w:r>
            <w:r w:rsidRPr="00141290">
              <w:rPr>
                <w:rFonts w:asciiTheme="majorHAnsi" w:hAnsiTheme="majorHAnsi" w:cstheme="majorHAnsi"/>
                <w:sz w:val="22"/>
                <w:szCs w:val="22"/>
              </w:rPr>
              <w:lastRenderedPageBreak/>
              <w:t>do dịch tả lợn Châu Phi ảnh hưởng đến ngành chăn nuôi, tổng đàn lợn trên địa bàn giảm 9,6% so với năm 2018.  Nhằm khôi phục lại sản xuất ngành nông nghiệp, tỉnh đã triển khai nhiều giải pháp đồng bộ, như (i) tiếp tục kiên trì, chỉ đạo thực hiện có hiệu quả các nội dung, giải pháp cơ cấu lại ngành nông nghiệp; (ii) rà soát, chuyển đổi linh hoạt cơ cấu cây trồng, mùa vụ sản xuất; (iii) chỉ đạo quyết liệt, đồng bộ các giải pháp phòng, chống, kiểm soát, khống chế dịch tả lợn Châu Phi, tổ chức lại chăn nuôi gia súc, gia cầm theo hướng tập trung, đảm bảo an toàn dịch bệnh, an toàn thực phẩm, bảo vệ môi trường; (iv) thực hiện các giải pháp đẩy mạnh nuôi trồng và đánh bắt thủy hải sản…</w:t>
            </w:r>
          </w:p>
          <w:p w:rsidR="00E904EA" w:rsidRPr="00141290" w:rsidRDefault="00E904EA" w:rsidP="00B92068">
            <w:pPr>
              <w:pStyle w:val="Body1"/>
              <w:spacing w:before="120"/>
              <w:jc w:val="both"/>
              <w:outlineLvl w:val="9"/>
              <w:rPr>
                <w:rFonts w:asciiTheme="majorHAnsi" w:hAnsiTheme="majorHAnsi" w:cstheme="majorHAnsi"/>
                <w:sz w:val="22"/>
                <w:szCs w:val="22"/>
              </w:rPr>
            </w:pPr>
            <w:r w:rsidRPr="00141290">
              <w:rPr>
                <w:rFonts w:asciiTheme="majorHAnsi" w:hAnsiTheme="majorHAnsi" w:cstheme="majorHAnsi"/>
                <w:sz w:val="22"/>
                <w:szCs w:val="22"/>
              </w:rPr>
              <w:t>Do vậy, năm 2020 sản xuất nông nghiệp đạt kết quả khá toàn diện, tốc độ tăng trưởng đạt 3,76%, giá trị sản xuất trên 90 triệu đồng/ha, tổng sản lượng lương thực đạt trên 58 vạn tấn; dịch bệnh trong chăn nuôi, nhất là dịch tả lợn Châu Phi cơ bản được kiểm soát tốt, chăn nuôi lợn, bò, gia cầm đều có mức tăng khá.</w:t>
            </w:r>
          </w:p>
        </w:tc>
        <w:tc>
          <w:tcPr>
            <w:tcW w:w="2977" w:type="dxa"/>
          </w:tcPr>
          <w:p w:rsidR="00E904EA" w:rsidRPr="00141290" w:rsidRDefault="00E904EA" w:rsidP="00B92068">
            <w:pPr>
              <w:rPr>
                <w:rFonts w:asciiTheme="majorHAnsi" w:hAnsiTheme="majorHAnsi" w:cstheme="majorHAnsi"/>
                <w:sz w:val="22"/>
                <w:szCs w:val="22"/>
                <w:lang w:val="en-US"/>
              </w:rPr>
            </w:pPr>
          </w:p>
        </w:tc>
        <w:tc>
          <w:tcPr>
            <w:tcW w:w="3273" w:type="dxa"/>
            <w:vAlign w:val="center"/>
          </w:tcPr>
          <w:p w:rsidR="00E904EA" w:rsidRPr="00141290" w:rsidRDefault="00E904EA" w:rsidP="00BA2135">
            <w:pPr>
              <w:jc w:val="both"/>
              <w:rPr>
                <w:rFonts w:asciiTheme="majorHAnsi" w:hAnsiTheme="majorHAnsi" w:cstheme="majorHAnsi"/>
                <w:noProof/>
                <w:sz w:val="22"/>
                <w:szCs w:val="22"/>
              </w:rPr>
            </w:pPr>
          </w:p>
        </w:tc>
        <w:tc>
          <w:tcPr>
            <w:tcW w:w="583" w:type="dxa"/>
            <w:vAlign w:val="center"/>
          </w:tcPr>
          <w:p w:rsidR="00E904EA" w:rsidRPr="00141290" w:rsidRDefault="00E904EA">
            <w:pPr>
              <w:rPr>
                <w:rFonts w:asciiTheme="majorHAnsi" w:hAnsiTheme="majorHAnsi" w:cstheme="majorHAnsi"/>
                <w:noProof/>
                <w:color w:val="FF0000"/>
                <w:sz w:val="22"/>
                <w:szCs w:val="22"/>
              </w:rPr>
            </w:pPr>
          </w:p>
        </w:tc>
      </w:tr>
      <w:tr w:rsidR="00E904EA" w:rsidRPr="00141290" w:rsidTr="008A1501">
        <w:trPr>
          <w:trHeight w:val="983"/>
        </w:trPr>
        <w:tc>
          <w:tcPr>
            <w:tcW w:w="680" w:type="dxa"/>
          </w:tcPr>
          <w:p w:rsidR="00E904EA" w:rsidRPr="00141290" w:rsidRDefault="00E904EA" w:rsidP="00B92068">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t>Câu 171</w:t>
            </w:r>
          </w:p>
        </w:tc>
        <w:tc>
          <w:tcPr>
            <w:tcW w:w="2954" w:type="dxa"/>
          </w:tcPr>
          <w:p w:rsidR="00E904EA" w:rsidRPr="00141290" w:rsidRDefault="00E904EA" w:rsidP="00B92068">
            <w:pPr>
              <w:tabs>
                <w:tab w:val="left" w:pos="2294"/>
              </w:tabs>
              <w:rPr>
                <w:rFonts w:asciiTheme="majorHAnsi" w:hAnsiTheme="majorHAnsi" w:cstheme="majorHAnsi"/>
                <w:sz w:val="22"/>
                <w:szCs w:val="22"/>
                <w:lang w:val="en-US"/>
              </w:rPr>
            </w:pPr>
            <w:r w:rsidRPr="00141290">
              <w:rPr>
                <w:rFonts w:asciiTheme="majorHAnsi" w:hAnsiTheme="majorHAnsi" w:cstheme="majorHAnsi"/>
                <w:sz w:val="22"/>
                <w:szCs w:val="22"/>
                <w:lang w:val="en-US"/>
              </w:rPr>
              <w:t>Về tăng trưởng kinh tế 6 tháng đầu năm 2020 thấp nhất so với các tỉnh trong khu vực</w:t>
            </w:r>
          </w:p>
        </w:tc>
        <w:tc>
          <w:tcPr>
            <w:tcW w:w="5835" w:type="dxa"/>
          </w:tcPr>
          <w:p w:rsidR="00E904EA" w:rsidRPr="00141290" w:rsidRDefault="00E904EA" w:rsidP="00B92068">
            <w:pPr>
              <w:pStyle w:val="Normal1"/>
              <w:widowControl w:val="0"/>
              <w:spacing w:before="60" w:beforeAutospacing="0" w:after="0" w:afterAutospacing="0"/>
              <w:ind w:firstLine="720"/>
              <w:jc w:val="both"/>
              <w:rPr>
                <w:rFonts w:asciiTheme="majorHAnsi" w:hAnsiTheme="majorHAnsi" w:cstheme="majorHAnsi"/>
                <w:sz w:val="22"/>
                <w:szCs w:val="22"/>
                <w:lang w:val="en-AU"/>
              </w:rPr>
            </w:pPr>
            <w:r w:rsidRPr="00141290">
              <w:rPr>
                <w:rFonts w:asciiTheme="majorHAnsi" w:hAnsiTheme="majorHAnsi" w:cstheme="majorHAnsi"/>
                <w:sz w:val="22"/>
                <w:szCs w:val="22"/>
                <w:lang w:val="en-AU"/>
              </w:rPr>
              <w:t>Tăng trưởng kinh tế của tỉnh 6 tháng đầu năm 2020 đạt thấp. Sau kỳ họp, UBND tỉnh đã chỉ đạo triển khai kịp thời các nhiệm vụ giải pháp phát triển kinh tế - xã hội 06 tháng cuối năm 2020 theo Nghị quyết số 213/2020/NQ-HĐND ngày 10/7/2020 của HĐND tỉnh; giao Sở Kế hoạch và Đầu tư chủ trì, phối hợp với sở, ngành, đơn vị liên quan khẩn trương rà soát dư địa tăng trưởng từng ngành, lĩnh vực, xây dựng các kịch bản tăng trưởng kinh tế 6 tháng cuối năm và cả năm 2020 để lựa chọn kịch bản tăng trưởng thể hiện quyết tâm chính trị cao, khả thi, phấn đấu ở mức cao nhất. Theo đó, có 3 kịch bản tăng trưởng kinh tế của tỉnh: (i) kịch bản cơ sở- phương án tăng trưởng kinh tế vừa phải, tăng 3,65%); (ii) kịch bản tích cực - phương án tăng trưởng kinh tế trong trạng thái bình thường mới với mức tăng 4,35%; (iii) kịch bản tiêu cực - phương án tăng trưởng kinh tế trong điều kiện dịch diễn biến phức tạp, tăng trưởng chỉ đạt 0,39%. Các kịch bản này được xây dựng trước khi dịch Covid-19 bùng phát đợt 2.</w:t>
            </w:r>
          </w:p>
          <w:p w:rsidR="00E904EA" w:rsidRPr="00141290" w:rsidRDefault="00E904EA" w:rsidP="00B92068">
            <w:pPr>
              <w:pStyle w:val="Normal1"/>
              <w:widowControl w:val="0"/>
              <w:spacing w:before="60" w:beforeAutospacing="0" w:after="0" w:afterAutospacing="0"/>
              <w:ind w:firstLine="720"/>
              <w:jc w:val="both"/>
              <w:rPr>
                <w:rFonts w:asciiTheme="majorHAnsi" w:hAnsiTheme="majorHAnsi" w:cstheme="majorHAnsi"/>
                <w:sz w:val="22"/>
                <w:szCs w:val="22"/>
                <w:lang w:val="en-AU"/>
              </w:rPr>
            </w:pPr>
            <w:r w:rsidRPr="00141290">
              <w:rPr>
                <w:rFonts w:asciiTheme="majorHAnsi" w:hAnsiTheme="majorHAnsi" w:cstheme="majorHAnsi"/>
                <w:sz w:val="22"/>
                <w:szCs w:val="22"/>
                <w:lang w:val="en-AU"/>
              </w:rPr>
              <w:t xml:space="preserve">Tuy vậy, dịch bệnh tiếp tục diễn biến phức tạp, bước vào </w:t>
            </w:r>
            <w:r w:rsidRPr="00141290">
              <w:rPr>
                <w:rFonts w:asciiTheme="majorHAnsi" w:hAnsiTheme="majorHAnsi" w:cstheme="majorHAnsi"/>
                <w:sz w:val="22"/>
                <w:szCs w:val="22"/>
                <w:lang w:val="en-AU"/>
              </w:rPr>
              <w:lastRenderedPageBreak/>
              <w:t xml:space="preserve">giai đoạn 2 và tình hình có nhiều thay đổi. Ngày 04/9/2020, UBND tỉnh đã tổ chức Hội nghị bàn về các kịch bản tăng trưởng kinh tế tỉnh năm 2020 (sau thời điểm bùng phát dịch Covd-19 lần 2). Sau khi phân tích, thảo luận kỹ đã thống nhất chọn kịch bản tăng trưởng theo phương án 1 (kịch bản cơ sở) nhưng cần rà soát lại theo tình hình mới. UBND tỉnh đã chỉ đạo Sở Kế hoạch và Đầu tư chủ trì tiếp tục rà soát, cập nhật tình hình sát với thực tế, có tính khả thi cao, đặc biệt là tình hình sản xuất kinh doanh của các ngành đóng góp chính vào tăng trưởng kinh tế chung của tỉnh trong những tháng còn lại cuối năm. </w:t>
            </w:r>
          </w:p>
          <w:p w:rsidR="00E904EA" w:rsidRPr="00141290" w:rsidRDefault="00E904EA" w:rsidP="00B92068">
            <w:pPr>
              <w:pStyle w:val="Normal1"/>
              <w:widowControl w:val="0"/>
              <w:spacing w:before="60" w:beforeAutospacing="0" w:after="0" w:afterAutospacing="0"/>
              <w:ind w:firstLine="720"/>
              <w:jc w:val="both"/>
              <w:rPr>
                <w:rFonts w:asciiTheme="majorHAnsi" w:hAnsiTheme="majorHAnsi" w:cstheme="majorHAnsi"/>
                <w:sz w:val="22"/>
                <w:szCs w:val="22"/>
                <w:lang w:val="en-AU"/>
              </w:rPr>
            </w:pPr>
            <w:r w:rsidRPr="00141290">
              <w:rPr>
                <w:rFonts w:asciiTheme="majorHAnsi" w:hAnsiTheme="majorHAnsi" w:cstheme="majorHAnsi"/>
                <w:sz w:val="22"/>
                <w:szCs w:val="22"/>
                <w:lang w:val="en-AU"/>
              </w:rPr>
              <w:t>Với yêu cầu phải đề ra mục tiêu cao hơn để nỗ lực phấn đấu, trên cơ sở đề xuất của Sở Kế hoạch và Đầu tư, UBND tỉnh chọn kịch bản tăng trưởng cao hơn số dự kiến của Tổng cục Thống kê (2,32%); theo đó tăng trưởng kinh tế năm 2020 của tỉnh tính toán ước đạt 2,5-3%, phấn đấu trên 3%. Để thực hiện mục tiêu tăng trưởng theo kịch bản lựa chọn, đã chỉ đạo các ngành, địa phương tập trung thực hiện đồng bộ 3 nhóm nhiệm vụ giải pháp: (i) Thực hiện hiệu quả mục tiêu “kép”, vừa phòng chống dịch Covid-19 vừa nỗ lực tháo gỡ khó khăn, thúc đẩy sản xuất kinh doanh, phục hồi phát triển kinh tế; (ii) tiếp tục cải thiện môi trường đầu tư kinh doanh để thu hút phát huy hiệu quả các nguồn lực đầu tư phát triển; (iii) đẩy nhanh tiến độ triển khai và giải ngân đầu tư công kế hoạch 2020.</w:t>
            </w:r>
          </w:p>
          <w:p w:rsidR="00E904EA" w:rsidRPr="00141290" w:rsidRDefault="00E904EA" w:rsidP="00B92068">
            <w:pPr>
              <w:pStyle w:val="Normal1"/>
              <w:widowControl w:val="0"/>
              <w:spacing w:before="60" w:beforeAutospacing="0" w:after="0" w:afterAutospacing="0"/>
              <w:ind w:firstLine="720"/>
              <w:jc w:val="both"/>
              <w:rPr>
                <w:rFonts w:asciiTheme="majorHAnsi" w:hAnsiTheme="majorHAnsi" w:cstheme="majorHAnsi"/>
                <w:sz w:val="22"/>
                <w:szCs w:val="22"/>
                <w:lang w:val="en-AU"/>
              </w:rPr>
            </w:pPr>
            <w:r w:rsidRPr="00141290">
              <w:rPr>
                <w:rFonts w:asciiTheme="majorHAnsi" w:hAnsiTheme="majorHAnsi" w:cstheme="majorHAnsi"/>
                <w:sz w:val="22"/>
                <w:szCs w:val="22"/>
                <w:lang w:val="en-AU"/>
              </w:rPr>
              <w:t xml:space="preserve">Tuy vậy, cùng với tác động của dịch bệnh, thiên tai xảy ra vào tháng 10 gây hậu quả nặng nề, tiếp tục tác động tiêu cực đến tăng trưởng kinh tế. Theo công bố của Tổng Cục thống kê tại Văn bản số 1621/TCTK-TKQG ngày 30/11/2020, dự kiến tăng trưởng kinh tế năm 2020 của tỉnh đạt khoảng 0,53%. Trong bối cảnh đặc biệt khó khăn thách thức, rủi ro khó lường của năm 2020, kinh tế vẫn có tăng trưởng dương là sự cố gắng nỗ lực lớn của cả hệ thống chính trị và cộng đồng doanh nghiệp, nhân dân. Bên cạnh đó, vẫn còn không ít tồn tại hạn chế trong thực hiện mục tiêu nhiệm vụ kế hoạch năm 2020 cần phải được tập trung khắc phục, đã được UBND tỉnh nêu tại Báo cáo kinh tế - xã hội </w:t>
            </w:r>
            <w:r w:rsidRPr="00141290">
              <w:rPr>
                <w:rFonts w:asciiTheme="majorHAnsi" w:hAnsiTheme="majorHAnsi" w:cstheme="majorHAnsi"/>
                <w:sz w:val="22"/>
                <w:szCs w:val="22"/>
                <w:lang w:val="en-AU"/>
              </w:rPr>
              <w:lastRenderedPageBreak/>
              <w:t>trình kỳ họp, đòi hỏi quyết tâm nỗ lực lớn hơn để đạt kết quả cao nhất trong năm 2021, năm đầu tiên thực hiện Nghị quyết Đại hội Đảng bộ tỉnh lần thứ XIX.</w:t>
            </w:r>
          </w:p>
        </w:tc>
        <w:tc>
          <w:tcPr>
            <w:tcW w:w="2977" w:type="dxa"/>
            <w:vAlign w:val="center"/>
          </w:tcPr>
          <w:p w:rsidR="00E904EA" w:rsidRPr="00141290" w:rsidRDefault="00E904EA">
            <w:pPr>
              <w:rPr>
                <w:rFonts w:asciiTheme="majorHAnsi" w:hAnsiTheme="majorHAnsi" w:cstheme="majorHAnsi"/>
                <w:noProof/>
                <w:color w:val="000000" w:themeColor="text1"/>
                <w:sz w:val="22"/>
                <w:szCs w:val="22"/>
              </w:rPr>
            </w:pPr>
          </w:p>
        </w:tc>
        <w:tc>
          <w:tcPr>
            <w:tcW w:w="3273" w:type="dxa"/>
            <w:vAlign w:val="center"/>
          </w:tcPr>
          <w:p w:rsidR="00E904EA" w:rsidRPr="00141290" w:rsidRDefault="00E904EA" w:rsidP="00BA2135">
            <w:pPr>
              <w:jc w:val="both"/>
              <w:rPr>
                <w:rFonts w:asciiTheme="majorHAnsi" w:hAnsiTheme="majorHAnsi" w:cstheme="majorHAnsi"/>
                <w:noProof/>
                <w:color w:val="000000" w:themeColor="text1"/>
                <w:sz w:val="22"/>
                <w:szCs w:val="22"/>
              </w:rPr>
            </w:pPr>
          </w:p>
        </w:tc>
        <w:tc>
          <w:tcPr>
            <w:tcW w:w="583" w:type="dxa"/>
            <w:vAlign w:val="center"/>
          </w:tcPr>
          <w:p w:rsidR="00E904EA" w:rsidRPr="00141290" w:rsidRDefault="00E904EA">
            <w:pPr>
              <w:rPr>
                <w:rFonts w:asciiTheme="majorHAnsi" w:hAnsiTheme="majorHAnsi" w:cstheme="majorHAnsi"/>
                <w:noProof/>
                <w:color w:val="000000" w:themeColor="text1"/>
                <w:sz w:val="22"/>
                <w:szCs w:val="22"/>
              </w:rPr>
            </w:pPr>
          </w:p>
        </w:tc>
      </w:tr>
      <w:tr w:rsidR="00E904EA" w:rsidRPr="00141290" w:rsidTr="008A1501">
        <w:trPr>
          <w:trHeight w:val="1833"/>
        </w:trPr>
        <w:tc>
          <w:tcPr>
            <w:tcW w:w="680" w:type="dxa"/>
          </w:tcPr>
          <w:p w:rsidR="00E904EA" w:rsidRPr="00141290" w:rsidRDefault="00E904EA" w:rsidP="00B92068">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lastRenderedPageBreak/>
              <w:t>Câu 2</w:t>
            </w:r>
          </w:p>
        </w:tc>
        <w:tc>
          <w:tcPr>
            <w:tcW w:w="2954" w:type="dxa"/>
          </w:tcPr>
          <w:p w:rsidR="00E904EA" w:rsidRPr="00141290" w:rsidRDefault="00E904EA" w:rsidP="00B92068">
            <w:pPr>
              <w:spacing w:before="120"/>
              <w:jc w:val="both"/>
              <w:rPr>
                <w:rFonts w:asciiTheme="majorHAnsi" w:hAnsiTheme="majorHAnsi" w:cstheme="majorHAnsi"/>
                <w:iCs/>
                <w:sz w:val="22"/>
                <w:szCs w:val="22"/>
                <w:lang w:val="nl-NL"/>
              </w:rPr>
            </w:pPr>
            <w:r w:rsidRPr="00141290">
              <w:rPr>
                <w:rFonts w:asciiTheme="majorHAnsi" w:hAnsiTheme="majorHAnsi" w:cstheme="majorHAnsi"/>
                <w:iCs/>
                <w:sz w:val="22"/>
                <w:szCs w:val="22"/>
                <w:lang w:val="nl-NL"/>
              </w:rPr>
              <w:t>Phát triển kinh tế tập thể giai đoạn 2010-2015 theo Nghị quyết số 122/2010/NQ-HĐND ngày 30/7/2010 của HĐND tỉnh đã đạt một số kết quả nhất định, tuy nhiên vẫn chưa đáp ứng yêu cầu. Đề nghị Ủy ban nhân dân tỉnh cho biết nguyên nhân và lộ trình cho giai đoạn mới?</w:t>
            </w:r>
          </w:p>
          <w:p w:rsidR="00E904EA" w:rsidRPr="00141290" w:rsidRDefault="00E904EA" w:rsidP="00B92068">
            <w:pPr>
              <w:spacing w:before="120"/>
              <w:rPr>
                <w:rFonts w:asciiTheme="majorHAnsi" w:hAnsiTheme="majorHAnsi" w:cstheme="majorHAnsi"/>
                <w:sz w:val="22"/>
                <w:szCs w:val="22"/>
                <w:lang w:val="nl-NL"/>
              </w:rPr>
            </w:pPr>
          </w:p>
        </w:tc>
        <w:tc>
          <w:tcPr>
            <w:tcW w:w="5835" w:type="dxa"/>
          </w:tcPr>
          <w:p w:rsidR="00E904EA" w:rsidRPr="00141290" w:rsidRDefault="00E904EA" w:rsidP="00B92068">
            <w:pPr>
              <w:spacing w:before="120"/>
              <w:ind w:firstLine="720"/>
              <w:jc w:val="both"/>
              <w:rPr>
                <w:rFonts w:asciiTheme="majorHAnsi" w:hAnsiTheme="majorHAnsi" w:cstheme="majorHAnsi"/>
                <w:sz w:val="22"/>
                <w:szCs w:val="22"/>
                <w:lang w:val="nl-NL"/>
              </w:rPr>
            </w:pPr>
            <w:r w:rsidRPr="00141290">
              <w:rPr>
                <w:rFonts w:asciiTheme="majorHAnsi" w:hAnsiTheme="majorHAnsi" w:cstheme="majorHAnsi"/>
                <w:sz w:val="22"/>
                <w:szCs w:val="22"/>
                <w:lang w:val="nl-NL"/>
              </w:rPr>
              <w:t>Sau khi Nghị quyết số 122/2010/NQ-HĐND ngày 30/7/2010 của HĐND tỉnh về Đề án Phát triển kinh tế tập thể Hà Tĩnh giai đoạn 2010 - 2015 hết hiệu lực năm 2015, nhận thấy, kinh tế tập thể tỉnh vẫn còn nhiều hạn chế, yếu kém, chưa đáp ứng được yêu cầu.</w:t>
            </w:r>
          </w:p>
          <w:p w:rsidR="00E904EA" w:rsidRPr="00141290" w:rsidRDefault="00E904EA" w:rsidP="00B92068">
            <w:pPr>
              <w:spacing w:before="120"/>
              <w:ind w:firstLine="720"/>
              <w:jc w:val="both"/>
              <w:rPr>
                <w:rFonts w:asciiTheme="majorHAnsi" w:hAnsiTheme="majorHAnsi" w:cstheme="majorHAnsi"/>
                <w:sz w:val="22"/>
                <w:szCs w:val="22"/>
                <w:lang w:val="nl-NL"/>
              </w:rPr>
            </w:pPr>
            <w:r w:rsidRPr="00141290">
              <w:rPr>
                <w:rFonts w:asciiTheme="majorHAnsi" w:hAnsiTheme="majorHAnsi" w:cstheme="majorHAnsi"/>
                <w:sz w:val="22"/>
                <w:szCs w:val="22"/>
                <w:lang w:val="nl-NL"/>
              </w:rPr>
              <w:t>Nhằm khuyến khích, tạo điều kiện thúc đẩy phát triển hợp tác xã trên địa bàn, khắc phục những hạn chế, yếu kém của HTX; nâng cao chất lượng hoạt động của Hợp tác xã trên cơ sở đảm bảo nguyên tắc, giá trị hợp tác xã theo đúng quy định của Luật Hợp tác xã, UBND tỉnh đã chỉ đạo các sở, ngành xây dựng trình Hội đồng nhân dân tỉnh ban hành Nghị quyết số 65/2017/NQ-HĐND ngày 13/12/2017 ban hành một số chính sách hỗ trợ phát triển hợp tác xã trên địa bàn tỉnh Hà Tĩnh đến năm 2020, trong đó, ưu tiên các hợp tác xã dịch vụ nông nghiệp, các hợp tác xã có hoạt động liên kết sản xuất gắn với chế biến và tiêu thụ sản phẩm, các hợp tác xã kiểu mới điển hình, tiêu biểu. Cụ thể: Hỗ trợ 100 triệu đồng/hợp tác xã dịch vụ nông nghiệp hoạt động đa dịch vụ từ dịch vụ đầu vào đến dịch vụ tiêu thụ nông sản; Hỗ trợ 50 triệu đồng/một loại sản phẩm (hỗ trợ 01 lần) cho các hợp tác xã sản xuất sản phẩm đảm bảo vệ sinh an toàn thực phẩm, có tem truy xuất nguồn gốc; Hỗ trợ khen thưởng 200 triệu đồng/hợp tác xã đối với những hợp tác xã được công nhận mô hình hợp tác xã kiểu mới tiêu biểu, điển hình trên các lĩnh vực, được thực hiện nhân rộng trên địa bàn toàn tỉnh (mỗi huyện lựa chọn đăng ký xây dựng từ 01-02 mô hình/năm); Bổ sung vốn điều lệ cho Quỹ hỗ trợ phát triển hợp tác xã tỉnh tối thiểu 02 tỷ đồng/năm.</w:t>
            </w:r>
          </w:p>
          <w:p w:rsidR="00E904EA" w:rsidRPr="00141290" w:rsidRDefault="00E904EA" w:rsidP="00B92068">
            <w:pPr>
              <w:spacing w:before="120"/>
              <w:ind w:firstLine="720"/>
              <w:jc w:val="both"/>
              <w:rPr>
                <w:rFonts w:asciiTheme="majorHAnsi" w:hAnsiTheme="majorHAnsi" w:cstheme="majorHAnsi"/>
                <w:sz w:val="22"/>
                <w:szCs w:val="22"/>
                <w:lang w:val="nl-NL"/>
              </w:rPr>
            </w:pPr>
            <w:r w:rsidRPr="00141290">
              <w:rPr>
                <w:rFonts w:asciiTheme="majorHAnsi" w:hAnsiTheme="majorHAnsi" w:cstheme="majorHAnsi"/>
                <w:sz w:val="22"/>
                <w:szCs w:val="22"/>
                <w:lang w:val="nl-NL"/>
              </w:rPr>
              <w:t xml:space="preserve">Đồng thời, để đánh giá, phân loại đúng thực chất hoạt động của HTX và nâng cao hiệu quả quản lý nhà nước đối với </w:t>
            </w:r>
            <w:r w:rsidRPr="00141290">
              <w:rPr>
                <w:rFonts w:asciiTheme="majorHAnsi" w:hAnsiTheme="majorHAnsi" w:cstheme="majorHAnsi"/>
                <w:sz w:val="22"/>
                <w:szCs w:val="22"/>
                <w:lang w:val="nl-NL"/>
              </w:rPr>
              <w:lastRenderedPageBreak/>
              <w:t>HTX, thực hiện hỗ trợ có hiệu quả, đúng đối tượng, UBND tỉnh cũng đã ban hành và triển khai thực hiện Quyết định số 54/2018/QĐ-UBND tỉnh ban hành quy định về tiêu chí rà soát, đánh giá, phân loại hợp tác xã trên địa bàn tỉnh Hà Tĩnh, Quyết định số 331/QĐ-UBND ngày 25/01/2019 của UBND tỉnh Hà Tĩnh quy định hướng dẫn thực hiện Nghị quyết số 65/2017/NQ-HĐND ngày 13/12/2017 của Hội đồng nhân dân tỉnh ban hành một số chính sách hỗ trợ phát triển HTX trên địa bàn tỉnh Hà Tĩnh đến năm 2020. Đến nay, kết quả đạt được như sau:</w:t>
            </w:r>
          </w:p>
          <w:p w:rsidR="00E904EA" w:rsidRPr="00141290" w:rsidRDefault="00E904EA" w:rsidP="00B92068">
            <w:pPr>
              <w:spacing w:before="120"/>
              <w:ind w:firstLine="720"/>
              <w:jc w:val="both"/>
              <w:rPr>
                <w:rFonts w:asciiTheme="majorHAnsi" w:hAnsiTheme="majorHAnsi" w:cstheme="majorHAnsi"/>
                <w:sz w:val="22"/>
                <w:szCs w:val="22"/>
                <w:lang w:val="nl-NL"/>
              </w:rPr>
            </w:pPr>
            <w:r w:rsidRPr="00141290">
              <w:rPr>
                <w:rFonts w:asciiTheme="majorHAnsi" w:hAnsiTheme="majorHAnsi" w:cstheme="majorHAnsi"/>
                <w:sz w:val="22"/>
                <w:szCs w:val="22"/>
                <w:lang w:val="nl-NL"/>
              </w:rPr>
              <w:t xml:space="preserve">Sau khi Nghị quyết 65/2017/NQ-HĐND có hiệu lực, số lượng hợp tác xã thành lập mới tuy tăng không nhiều (năm 2018, thành lập mới là 36HTX, năm 2019 là 33HTX, từ đầu năm 2020 đến nay 40HTX) nhưng các hợp tác xã được thành lập đã xuất phát từ nhu cầu thực tiễn của các thành viên và  đã hoạt động thực chất hơn. </w:t>
            </w:r>
          </w:p>
          <w:p w:rsidR="00E904EA" w:rsidRPr="00141290" w:rsidRDefault="00E904EA" w:rsidP="00B92068">
            <w:pPr>
              <w:spacing w:before="120"/>
              <w:ind w:firstLine="720"/>
              <w:jc w:val="both"/>
              <w:rPr>
                <w:rFonts w:asciiTheme="majorHAnsi" w:hAnsiTheme="majorHAnsi" w:cstheme="majorHAnsi"/>
                <w:sz w:val="22"/>
                <w:szCs w:val="22"/>
                <w:lang w:val="nl-NL"/>
              </w:rPr>
            </w:pPr>
            <w:r w:rsidRPr="00141290">
              <w:rPr>
                <w:rFonts w:asciiTheme="majorHAnsi" w:hAnsiTheme="majorHAnsi" w:cstheme="majorHAnsi"/>
                <w:sz w:val="22"/>
                <w:szCs w:val="22"/>
                <w:lang w:val="nl-NL"/>
              </w:rPr>
              <w:t xml:space="preserve">Bên cạnh đó, nhằm tinh gọn và nâng cao tỷ lệ các HTX hiệu quả hoạt động của các HTX trên địa bàn, UBND tỉnh đã chỉ đạo xử lý dứt điểm các HTX vi phạm thuộc các trường hợp giải thể bắt buộc theo quy định tại Luật Hợp tác xã năm 2012, theo đó, trong năm 2020, toàn tỉnh đã giải thể 400HTX, đến nay toàn tỉnh còn lại 1015 HTX, 04 Liên hiệp HTX. Doanh thu bình quân của các HTX đạt khoảng 700 triệu đồng/HTX, lợi nhuận bình quân đạt khoảng 110 triệu đồng/HTX, thu nhập bình quân của lao động đạt 36 triệu đồng/lao động/năm. </w:t>
            </w:r>
          </w:p>
          <w:p w:rsidR="00E904EA" w:rsidRPr="00141290" w:rsidRDefault="00E904EA" w:rsidP="00B92068">
            <w:pPr>
              <w:spacing w:before="120"/>
              <w:ind w:firstLine="720"/>
              <w:jc w:val="both"/>
              <w:rPr>
                <w:rFonts w:asciiTheme="majorHAnsi" w:hAnsiTheme="majorHAnsi" w:cstheme="majorHAnsi"/>
                <w:sz w:val="22"/>
                <w:szCs w:val="22"/>
                <w:lang w:val="nl-NL"/>
              </w:rPr>
            </w:pPr>
            <w:r w:rsidRPr="00141290">
              <w:rPr>
                <w:rFonts w:asciiTheme="majorHAnsi" w:hAnsiTheme="majorHAnsi" w:cstheme="majorHAnsi"/>
                <w:sz w:val="22"/>
                <w:szCs w:val="22"/>
                <w:lang w:val="nl-NL"/>
              </w:rPr>
              <w:t xml:space="preserve">Trên địa bàn toàn tỉnh đã xuất hiện một số mô hình HTX hoạt động hiệu quả theo đúng quy định của Luật Hợp tác xã 2012 cả về quy mô, mô hình hoạt động, cách thức tổ chức hoạt động sản xuất kinh doanh, năng lực quản trị, áp dụng công nghệ như HTX Nga Hải Nghi Xuân, HTX Gia Phúc Sơn Lộc, Can Lộc….. với thu nhập bình quân của bình quân HTX là 1-2 tỷ đồng/năm, lợi nhuận bình quân 300 - 500 triệu đồng/năm, thu nhập của người lao động 5-7 triệu đồng/tháng…, tác động rất tích cực tới </w:t>
            </w:r>
            <w:r w:rsidRPr="00141290">
              <w:rPr>
                <w:rFonts w:asciiTheme="majorHAnsi" w:hAnsiTheme="majorHAnsi" w:cstheme="majorHAnsi"/>
                <w:sz w:val="22"/>
                <w:szCs w:val="22"/>
                <w:lang w:val="nl-NL"/>
              </w:rPr>
              <w:lastRenderedPageBreak/>
              <w:t>kinh tế hộ thành viên, nâng cao đời sống cho thành viên và người lao động.</w:t>
            </w:r>
            <w:r w:rsidRPr="00141290">
              <w:rPr>
                <w:rFonts w:asciiTheme="majorHAnsi" w:hAnsiTheme="majorHAnsi" w:cstheme="majorHAnsi"/>
                <w:sz w:val="22"/>
                <w:szCs w:val="22"/>
                <w:lang w:val="nl-NL"/>
              </w:rPr>
              <w:tab/>
            </w:r>
          </w:p>
          <w:p w:rsidR="00E904EA" w:rsidRPr="00141290" w:rsidRDefault="00E904EA" w:rsidP="00B92068">
            <w:pPr>
              <w:spacing w:before="120"/>
              <w:ind w:firstLine="720"/>
              <w:jc w:val="both"/>
              <w:rPr>
                <w:rFonts w:asciiTheme="majorHAnsi" w:hAnsiTheme="majorHAnsi" w:cstheme="majorHAnsi"/>
                <w:sz w:val="22"/>
                <w:szCs w:val="22"/>
                <w:lang w:val="nl-NL"/>
              </w:rPr>
            </w:pPr>
            <w:r w:rsidRPr="00141290">
              <w:rPr>
                <w:rFonts w:asciiTheme="majorHAnsi" w:hAnsiTheme="majorHAnsi" w:cstheme="majorHAnsi"/>
                <w:sz w:val="22"/>
                <w:szCs w:val="22"/>
                <w:lang w:val="nl-NL"/>
              </w:rPr>
              <w:t>Qua kết quả rà soát phân loại HTX cho thấy, lĩnh vực kinh tế tập thể đã từng bước củng cố, nâng cao hiệu quả hoạt động cụ thể, tỷ lệ HTX hoạt động có hiệu quả khá tốt tăng lên từ 14,43% lên 26,81%; HTX hoạt động trung bình tăng từ  17, 36 % lên 31,05%; HTX hoạt động yếu kém giảm từ 32,6% xuống 27,4%, HTX thuộc trường ngừng hoạt động chờ giải thể  giảm từ 31,13 % xuống 7,32%.</w:t>
            </w:r>
          </w:p>
          <w:p w:rsidR="00E904EA" w:rsidRPr="00141290" w:rsidRDefault="00E904EA" w:rsidP="00B92068">
            <w:pPr>
              <w:spacing w:before="120"/>
              <w:ind w:firstLine="720"/>
              <w:jc w:val="both"/>
              <w:rPr>
                <w:rFonts w:asciiTheme="majorHAnsi" w:hAnsiTheme="majorHAnsi" w:cstheme="majorHAnsi"/>
                <w:sz w:val="22"/>
                <w:szCs w:val="22"/>
                <w:lang w:val="nl-NL"/>
              </w:rPr>
            </w:pPr>
            <w:r w:rsidRPr="00141290">
              <w:rPr>
                <w:rFonts w:asciiTheme="majorHAnsi" w:hAnsiTheme="majorHAnsi" w:cstheme="majorHAnsi"/>
                <w:sz w:val="22"/>
                <w:szCs w:val="22"/>
                <w:lang w:val="nl-NL"/>
              </w:rPr>
              <w:t>Mặc dù, hoạt động của các HTX trên địa bàn Hà Tĩnh trong thời gian qua đã có những bước chuyển biến tích cực nhưng vẫn còn nhiều hạn chế như quy mô nhỏ lẻ, công nghệ lạc hậu, trình độ năng lực của đội ngũ cán bộ quản lý yếu, hiệu quả hoạt động chưa cao, tỷ lệ HTX hoạt động hiệu quả khá, tốt chưa đạt được mục tiêu đề ra (mục tiêu đề ra 65% trong tổng số HTX), tỷ lệ HTX yếu kém vẫn còn cao (chiếm 27,4%).</w:t>
            </w:r>
          </w:p>
        </w:tc>
        <w:tc>
          <w:tcPr>
            <w:tcW w:w="2977" w:type="dxa"/>
            <w:vAlign w:val="center"/>
          </w:tcPr>
          <w:p w:rsidR="00E904EA" w:rsidRPr="00141290" w:rsidRDefault="00E904EA" w:rsidP="00834B38">
            <w:pPr>
              <w:rPr>
                <w:rFonts w:asciiTheme="majorHAnsi" w:hAnsiTheme="majorHAnsi" w:cstheme="majorHAnsi"/>
                <w:noProof/>
                <w:color w:val="000000" w:themeColor="text1"/>
                <w:sz w:val="22"/>
                <w:szCs w:val="22"/>
              </w:rPr>
            </w:pPr>
          </w:p>
        </w:tc>
        <w:tc>
          <w:tcPr>
            <w:tcW w:w="3273" w:type="dxa"/>
            <w:vAlign w:val="center"/>
          </w:tcPr>
          <w:p w:rsidR="00E904EA" w:rsidRPr="00141290" w:rsidRDefault="00E904EA" w:rsidP="00C0792C">
            <w:pPr>
              <w:spacing w:after="120"/>
              <w:jc w:val="both"/>
              <w:rPr>
                <w:rFonts w:asciiTheme="majorHAnsi" w:hAnsiTheme="majorHAnsi" w:cstheme="majorHAnsi"/>
                <w:noProof/>
                <w:color w:val="000000" w:themeColor="text1"/>
                <w:spacing w:val="-8"/>
                <w:sz w:val="22"/>
                <w:szCs w:val="22"/>
              </w:rPr>
            </w:pPr>
          </w:p>
        </w:tc>
        <w:tc>
          <w:tcPr>
            <w:tcW w:w="583" w:type="dxa"/>
            <w:vAlign w:val="center"/>
          </w:tcPr>
          <w:p w:rsidR="00E904EA" w:rsidRPr="00141290" w:rsidRDefault="00E904EA" w:rsidP="00834B38">
            <w:pPr>
              <w:rPr>
                <w:rFonts w:asciiTheme="majorHAnsi" w:hAnsiTheme="majorHAnsi" w:cstheme="majorHAnsi"/>
                <w:noProof/>
                <w:color w:val="000000" w:themeColor="text1"/>
                <w:sz w:val="22"/>
                <w:szCs w:val="22"/>
              </w:rPr>
            </w:pPr>
          </w:p>
        </w:tc>
      </w:tr>
      <w:tr w:rsidR="00E904EA" w:rsidRPr="00141290" w:rsidTr="008A1501">
        <w:trPr>
          <w:trHeight w:val="983"/>
        </w:trPr>
        <w:tc>
          <w:tcPr>
            <w:tcW w:w="680" w:type="dxa"/>
          </w:tcPr>
          <w:p w:rsidR="00E904EA" w:rsidRPr="00141290" w:rsidRDefault="00E904EA" w:rsidP="00B92068">
            <w:pPr>
              <w:jc w:val="center"/>
              <w:rPr>
                <w:rFonts w:asciiTheme="majorHAnsi" w:hAnsiTheme="majorHAnsi" w:cstheme="majorHAnsi"/>
                <w:bCs/>
                <w:sz w:val="22"/>
                <w:szCs w:val="22"/>
                <w:lang w:val="en-US"/>
              </w:rPr>
            </w:pPr>
            <w:r w:rsidRPr="00141290">
              <w:rPr>
                <w:rFonts w:asciiTheme="majorHAnsi" w:hAnsiTheme="majorHAnsi" w:cstheme="majorHAnsi"/>
                <w:bCs/>
                <w:sz w:val="22"/>
                <w:szCs w:val="22"/>
                <w:lang w:val="en-US"/>
              </w:rPr>
              <w:lastRenderedPageBreak/>
              <w:t>Câu 18</w:t>
            </w:r>
          </w:p>
        </w:tc>
        <w:tc>
          <w:tcPr>
            <w:tcW w:w="2954" w:type="dxa"/>
          </w:tcPr>
          <w:p w:rsidR="00E904EA" w:rsidRPr="00141290" w:rsidRDefault="00E904EA" w:rsidP="00B92068">
            <w:pPr>
              <w:rPr>
                <w:rFonts w:asciiTheme="majorHAnsi" w:hAnsiTheme="majorHAnsi" w:cstheme="majorHAnsi"/>
                <w:color w:val="000000"/>
                <w:sz w:val="22"/>
                <w:szCs w:val="22"/>
              </w:rPr>
            </w:pPr>
            <w:r w:rsidRPr="00141290">
              <w:rPr>
                <w:rFonts w:asciiTheme="majorHAnsi" w:hAnsiTheme="majorHAnsi" w:cstheme="majorHAnsi"/>
                <w:color w:val="000000"/>
                <w:sz w:val="22"/>
                <w:szCs w:val="22"/>
              </w:rPr>
              <w:t>Vấn đề chiến lược phát triển công nghiệp, xây dựng kết cấu hạ tầng đồng bộ để thu hút nguồn lực là nhiệm vụ trọng tâm đã được xác định tại Đại hội Đảng bộ tỉnh lần thứ XVIII và Nghị quyết của Hội đồng nhân dân tỉnh. Đề nghị Uỷ ban nhân dân đánh giá những tồn tại, hạn chế, bất cập trong năm vừa qua và chủ trương giải pháp trong thời gian tới.</w:t>
            </w:r>
          </w:p>
          <w:p w:rsidR="00E904EA" w:rsidRPr="00141290" w:rsidRDefault="00E904EA" w:rsidP="00B92068">
            <w:pPr>
              <w:rPr>
                <w:rFonts w:asciiTheme="majorHAnsi" w:hAnsiTheme="majorHAnsi" w:cstheme="majorHAnsi"/>
                <w:b/>
                <w:sz w:val="22"/>
                <w:szCs w:val="22"/>
              </w:rPr>
            </w:pPr>
          </w:p>
        </w:tc>
        <w:tc>
          <w:tcPr>
            <w:tcW w:w="5835" w:type="dxa"/>
          </w:tcPr>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 xml:space="preserve">Nghị quyết Đại hội XVIII và Nghị quyết Hội đồng nhân dân tỉnh về kế hoạch phát triển kinh tế - xã hội 5 năm 2016 - 2020 xác định nhiệm vụ Đa dạng hóa huy động các nguồn lực đầu tư phát triển kết cấu hạ tầng; xây dựng Khu kinh tế Vũng Áng sớm trở thành khu kinh tế động lực tầm cỡ quốc gia, quốc tế; phát triển nhanh các ngành công nghiệp nặng, cơ khí, công nghiệp phục vụ nông nghiệp và công nghiệp hỗ trợ là một trong ba nhiệm vụ đột phá tác động tích cực đến phát triển kinh tế - xã hội của tỉnh giai đoạn 2016-2020. </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 xml:space="preserve">Kết quả thực hiện giai đoạn 2016-2020 như sau: Tập trung phát triển hệ thống kết cấu hạ tầng; xây dựng Khu Kinh tế Vũng Áng trở thành khu kinh tế động lực. Ưu tiên đầu tư phát triển hạ tầng giao thông, thuỷ lợi; hoàn thành cơ bản việc đầu tư, nâng cấp các công trình giao thông trọng điểm như quốc lộ 1A, đường ven biển, giai đoạn 1 hệ thống thủy lợi Ngàn Trươi - Cẩm Trang. Thực hiện hiệu quả chính sách phát triển hạ tầng giao </w:t>
            </w:r>
            <w:r w:rsidRPr="00141290">
              <w:rPr>
                <w:rFonts w:asciiTheme="majorHAnsi" w:hAnsiTheme="majorHAnsi" w:cstheme="majorHAnsi"/>
                <w:sz w:val="22"/>
                <w:szCs w:val="22"/>
              </w:rPr>
              <w:lastRenderedPageBreak/>
              <w:t xml:space="preserve">thông nông thôn với cơ chế hỗ trợ xi măng và huy động nguồn lực trong Nhân dân. Triển khai thực hiện tốt mô hình thí điểm nhà ở xã hội , tạo điều kiện cho trên 500 hộ gia đình có nơi ở ổn định, khang trang. </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Tổng huy động vốn đầu tư phát triển toàn xã hội giai đoạn 2016 - 2020 đạt trên 162.000 tỷ đồng. Cơ cấu vốn đầu tư chuyển dịch tích cực, tỷ trọng đầu tư từ khu vực tư nhân tăng khá (Năm 2016 chiếm 25,7% trong tổng vốn đầu tư toàn xã hội; năm 2020 chiếm 36,7%.); thu hút nguồn vốn FDI giảm nhưng tỷ trọng chiếm 44% trong cơ cấu vốn; đầu tư trong nước đạt kết quả tích cực, Đã thu hút 714 dự án trong nước, tổng vốn đăng ký 29.000 tỷ đồng và 30 dự án FDI, tổng vốn đăng ký 372 triệu USD. Xã hội hóa đầu tư đạt kết quả nổi bật, nhất là hạ tầng đô thị, thương mại, giáo dục - đào tạo (Chuyển giao 137 chợ sang mô hình doanh nghiệp, hợp tác xã quản lý đạt kết quả tốt; 10 trường tư thục.Ngân sách nhà nước bỏ ra 01 đồng huy động được 4 đồng làm hạ tầng đô thị, 4 đồng làm đường GTNT, 39,5 đồng đầu tư hạ tầng chợ, 10,6 đồng xây dựng nông thôn mới), kêu gọi được một số Tập đoàn lớn vào đầu tư như Vingroup, Nguyễn Hoàng,...</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 xml:space="preserve">Khu Kinh tế Vũng Áng tiếp tục thu hút được một số dự án đầu tư mới, giai đoạn 2016 - 2019, thu hút đầu tư 57 dự án, bao gồm 37 dự án trong nước vốn đầu tư gần 6.500 tỷ đồng và 20 dự án FDI vốn đầu tư 214 triệu USD, đóng góp lớn cho xuất khẩu, tăng trưởng kinh tế, giải quyết việc làm và tăng thu ngân sách (Đóng góp trên 56% tổng thu ngân sách trên địa bàn tỉnh, trên 95% số thu xuất nhập khẩu, chiếm 87% tổng kim ngạch xuất nhập khẩu của tỉnh.) </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Thành lập 23 cụm công nghiệp, thu hút 179 dự án đầu tư, tỷ lệ lấp đầy bình quân đạt 62,5%; giải quyết việc làm cho trên 5.000 lao động; có 07 cụm công nghiệp được giao cho doanh nghiệp đầu tư hạ tầng theo hình thức xã hội hóa.</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lastRenderedPageBreak/>
              <w:t>Riêng đối với vấn đề phát triển công nghiệp được tỉnh đặc biệt quan tâm, đã tham mưu Ban chấp hành Đảng bộ tỉnh ban hành Nghị quyết số 08-NQ/TU ngày 18/5/2018 về đẩy mạnh phát triển công nghiệp, tiểu thủ công nghiệp đến năm 2020 và những năm tiếp theo; Hội đồng nhân dân tỉnh ban hành Nghị quyết số 86/2018/NQ-HĐND ngày 18/7/2018 về một số chính sách phát triển công nghiệp, tiểu thủ công nghiệp tỉnh Hà Tĩnh đến năm 2025 và những năm tiếp theo; nhờ đó Công nghiệp tăng trưởng nhanh bình quân đạt 46,7%. Tỷ trọng công nghiệp tăng nhanh, từ 12,4% lên 38,9%. Dự án Khu liên hợp gang thép và cảng Sơn Dương Formosa Hà Tĩnh (giai đoạn 1) đi vào hoạt động, trở thành hạt nhân tăng trưởng của nền kinh tế. Một số dự án công nghiệp quan trọng được khởi công, hoàn thành và bước đầu phát huy hiệu quả (Dự án Nhà máy sản xuất gỗ MDF/HDF Thanh Thành Đạt tại CCN Vũ Quang; một số dự án công nghiệp tại KCN Gia Lách, CCN Nam Hồng, CCN Phù Việt, CCN Bắc Cẩm Xuyên; dự án điện mặt trời tại Cẩm Xuyên). Các sản phẩm công nghiệp chủ lực mới như thép, điện đóng góp quan trọng vào tăng trưởng kinh tế.</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 xml:space="preserve">Tuy vậy, chiến lược phát triển công nghiệp, xây dựng kết cấu hạ tầng đồng bộ để thu hút nguồn lực vẫn còn những tồn tại, hạn chế, bất cập: </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 Tăng trưởng công nghiệp chủ yếu dựa vào sản xuất thép. Thu hút đầu tư lĩnh vực công nghiệp hỗ trợ, công nghiệp sau thép chưa thật sự hiệu quả. Nhiều địa phương chưa thật sự quan tâm, chú trọng chỉ đạo quyết liệt trong thu hút đầu tư phát triển lĩnh vực công nghiệp - tiểu thủ công nghiệp. Các cụm công nghiệp được thành lập, tuy nhiên tỷ lệ lấp đầy đạt thấp. Công nghiệp hỗ trợ chưa phát triển, vấn đề liên kết trong phát triển sản xuất tại các khu, cụm công nghiệp chưa được hình thành.</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 xml:space="preserve">- Ngoài Dự án Khu liên hiệp gang thép và Cảng Sơn Dương Formosa Hà Tĩnh, Khu Kinh tế Vũng Áng chưa thu hút </w:t>
            </w:r>
            <w:r w:rsidRPr="00141290">
              <w:rPr>
                <w:rFonts w:asciiTheme="majorHAnsi" w:hAnsiTheme="majorHAnsi" w:cstheme="majorHAnsi"/>
                <w:sz w:val="22"/>
                <w:szCs w:val="22"/>
              </w:rPr>
              <w:lastRenderedPageBreak/>
              <w:t>được nhiều dự án lớn khác, chưa thực sự trở thành khu kinh tế động lực phát triển cho vùng, khu vực; chưa tập trung tháo gỡ khó khăn để đẩy nhanh tiến độ triển khai một số dự án trọng điểm; tỷ lệ đô thị hóa còn thấp , thị xã Hồng Lĩnh và thị xã Kỳ Anh còn thiếu một số tiêu chí để đạt đô thị loại 3; hạ tầng giao thông, thoát nước của thành phố Hà Tĩnh và các đô thị chưa được đầu tư tương xứng.</w:t>
            </w:r>
          </w:p>
          <w:p w:rsidR="00E904EA" w:rsidRPr="00141290" w:rsidRDefault="00E904EA" w:rsidP="00B92068">
            <w:pPr>
              <w:spacing w:before="120"/>
              <w:ind w:firstLine="720"/>
              <w:jc w:val="both"/>
              <w:rPr>
                <w:rFonts w:asciiTheme="majorHAnsi" w:hAnsiTheme="majorHAnsi" w:cstheme="majorHAnsi"/>
                <w:b/>
                <w:bCs/>
                <w:sz w:val="22"/>
                <w:szCs w:val="22"/>
              </w:rPr>
            </w:pPr>
            <w:r w:rsidRPr="00141290">
              <w:rPr>
                <w:rFonts w:asciiTheme="majorHAnsi" w:hAnsiTheme="majorHAnsi" w:cstheme="majorHAnsi"/>
                <w:sz w:val="22"/>
                <w:szCs w:val="22"/>
              </w:rPr>
              <w:t>Xác định được tầm quan trọng của chiến lược phát triển công nghiệp, xây dựng kết cấu hạ tầng đồng bộ để thu hút nguồn lực, Nghị quyết ĐH Đảng bộ tỉnh lần thứ XIX xác định phương hướng “…</w:t>
            </w:r>
            <w:r w:rsidRPr="00141290">
              <w:rPr>
                <w:rFonts w:asciiTheme="majorHAnsi" w:hAnsiTheme="majorHAnsi" w:cstheme="majorHAnsi"/>
                <w:spacing w:val="-2"/>
                <w:sz w:val="22"/>
                <w:szCs w:val="22"/>
              </w:rPr>
              <w:t>Huy</w:t>
            </w:r>
            <w:r w:rsidRPr="00141290">
              <w:rPr>
                <w:rFonts w:asciiTheme="majorHAnsi" w:hAnsiTheme="majorHAnsi" w:cstheme="majorHAnsi"/>
                <w:spacing w:val="23"/>
                <w:sz w:val="22"/>
                <w:szCs w:val="22"/>
              </w:rPr>
              <w:t xml:space="preserve"> </w:t>
            </w:r>
            <w:r w:rsidRPr="00141290">
              <w:rPr>
                <w:rFonts w:asciiTheme="majorHAnsi" w:hAnsiTheme="majorHAnsi" w:cstheme="majorHAnsi"/>
                <w:spacing w:val="-1"/>
                <w:sz w:val="22"/>
                <w:szCs w:val="22"/>
              </w:rPr>
              <w:t>động</w:t>
            </w:r>
            <w:r w:rsidRPr="00141290">
              <w:rPr>
                <w:rFonts w:asciiTheme="majorHAnsi" w:hAnsiTheme="majorHAnsi" w:cstheme="majorHAnsi"/>
                <w:spacing w:val="26"/>
                <w:sz w:val="22"/>
                <w:szCs w:val="22"/>
              </w:rPr>
              <w:t xml:space="preserve"> </w:t>
            </w:r>
            <w:r w:rsidRPr="00141290">
              <w:rPr>
                <w:rFonts w:asciiTheme="majorHAnsi" w:hAnsiTheme="majorHAnsi" w:cstheme="majorHAnsi"/>
                <w:spacing w:val="-1"/>
                <w:sz w:val="22"/>
                <w:szCs w:val="22"/>
              </w:rPr>
              <w:t>tối</w:t>
            </w:r>
            <w:r w:rsidRPr="00141290">
              <w:rPr>
                <w:rFonts w:asciiTheme="majorHAnsi" w:hAnsiTheme="majorHAnsi" w:cstheme="majorHAnsi"/>
                <w:spacing w:val="26"/>
                <w:sz w:val="22"/>
                <w:szCs w:val="22"/>
              </w:rPr>
              <w:t xml:space="preserve"> </w:t>
            </w:r>
            <w:r w:rsidRPr="00141290">
              <w:rPr>
                <w:rFonts w:asciiTheme="majorHAnsi" w:hAnsiTheme="majorHAnsi" w:cstheme="majorHAnsi"/>
                <w:sz w:val="22"/>
                <w:szCs w:val="22"/>
              </w:rPr>
              <w:t>đa</w:t>
            </w:r>
            <w:r w:rsidRPr="00141290">
              <w:rPr>
                <w:rFonts w:asciiTheme="majorHAnsi" w:hAnsiTheme="majorHAnsi" w:cstheme="majorHAnsi"/>
                <w:spacing w:val="25"/>
                <w:sz w:val="22"/>
                <w:szCs w:val="22"/>
              </w:rPr>
              <w:t xml:space="preserve"> </w:t>
            </w:r>
            <w:r w:rsidRPr="00141290">
              <w:rPr>
                <w:rFonts w:asciiTheme="majorHAnsi" w:hAnsiTheme="majorHAnsi" w:cstheme="majorHAnsi"/>
                <w:spacing w:val="-1"/>
                <w:sz w:val="22"/>
                <w:szCs w:val="22"/>
              </w:rPr>
              <w:t>và</w:t>
            </w:r>
            <w:r w:rsidRPr="00141290">
              <w:rPr>
                <w:rFonts w:asciiTheme="majorHAnsi" w:hAnsiTheme="majorHAnsi" w:cstheme="majorHAnsi"/>
                <w:spacing w:val="25"/>
                <w:sz w:val="22"/>
                <w:szCs w:val="22"/>
              </w:rPr>
              <w:t xml:space="preserve"> </w:t>
            </w:r>
            <w:r w:rsidRPr="00141290">
              <w:rPr>
                <w:rFonts w:asciiTheme="majorHAnsi" w:hAnsiTheme="majorHAnsi" w:cstheme="majorHAnsi"/>
                <w:sz w:val="22"/>
                <w:szCs w:val="22"/>
              </w:rPr>
              <w:t>sử</w:t>
            </w:r>
            <w:r w:rsidRPr="00141290">
              <w:rPr>
                <w:rFonts w:asciiTheme="majorHAnsi" w:hAnsiTheme="majorHAnsi" w:cstheme="majorHAnsi"/>
                <w:spacing w:val="24"/>
                <w:sz w:val="22"/>
                <w:szCs w:val="22"/>
              </w:rPr>
              <w:t xml:space="preserve"> </w:t>
            </w:r>
            <w:r w:rsidRPr="00141290">
              <w:rPr>
                <w:rFonts w:asciiTheme="majorHAnsi" w:hAnsiTheme="majorHAnsi" w:cstheme="majorHAnsi"/>
                <w:spacing w:val="-1"/>
                <w:sz w:val="22"/>
                <w:szCs w:val="22"/>
              </w:rPr>
              <w:t>dụng</w:t>
            </w:r>
            <w:r w:rsidRPr="00141290">
              <w:rPr>
                <w:rFonts w:asciiTheme="majorHAnsi" w:hAnsiTheme="majorHAnsi" w:cstheme="majorHAnsi"/>
                <w:spacing w:val="26"/>
                <w:sz w:val="22"/>
                <w:szCs w:val="22"/>
              </w:rPr>
              <w:t xml:space="preserve"> </w:t>
            </w:r>
            <w:r w:rsidRPr="00141290">
              <w:rPr>
                <w:rFonts w:asciiTheme="majorHAnsi" w:hAnsiTheme="majorHAnsi" w:cstheme="majorHAnsi"/>
                <w:spacing w:val="-2"/>
                <w:sz w:val="22"/>
                <w:szCs w:val="22"/>
              </w:rPr>
              <w:t>hiệu</w:t>
            </w:r>
            <w:r w:rsidRPr="00141290">
              <w:rPr>
                <w:rFonts w:asciiTheme="majorHAnsi" w:hAnsiTheme="majorHAnsi" w:cstheme="majorHAnsi"/>
                <w:spacing w:val="26"/>
                <w:sz w:val="22"/>
                <w:szCs w:val="22"/>
              </w:rPr>
              <w:t xml:space="preserve"> </w:t>
            </w:r>
            <w:r w:rsidRPr="00141290">
              <w:rPr>
                <w:rFonts w:asciiTheme="majorHAnsi" w:hAnsiTheme="majorHAnsi" w:cstheme="majorHAnsi"/>
                <w:spacing w:val="-1"/>
                <w:sz w:val="22"/>
                <w:szCs w:val="22"/>
              </w:rPr>
              <w:t>quả</w:t>
            </w:r>
            <w:r w:rsidRPr="00141290">
              <w:rPr>
                <w:rFonts w:asciiTheme="majorHAnsi" w:hAnsiTheme="majorHAnsi" w:cstheme="majorHAnsi"/>
                <w:spacing w:val="25"/>
                <w:sz w:val="22"/>
                <w:szCs w:val="22"/>
              </w:rPr>
              <w:t xml:space="preserve"> </w:t>
            </w:r>
            <w:r w:rsidRPr="00141290">
              <w:rPr>
                <w:rFonts w:asciiTheme="majorHAnsi" w:hAnsiTheme="majorHAnsi" w:cstheme="majorHAnsi"/>
                <w:sz w:val="22"/>
                <w:szCs w:val="22"/>
              </w:rPr>
              <w:t>các</w:t>
            </w:r>
            <w:r w:rsidRPr="00141290">
              <w:rPr>
                <w:rFonts w:asciiTheme="majorHAnsi" w:hAnsiTheme="majorHAnsi" w:cstheme="majorHAnsi"/>
                <w:spacing w:val="26"/>
                <w:sz w:val="22"/>
                <w:szCs w:val="22"/>
              </w:rPr>
              <w:t xml:space="preserve"> </w:t>
            </w:r>
            <w:r w:rsidRPr="00141290">
              <w:rPr>
                <w:rFonts w:asciiTheme="majorHAnsi" w:hAnsiTheme="majorHAnsi" w:cstheme="majorHAnsi"/>
                <w:spacing w:val="-2"/>
                <w:sz w:val="22"/>
                <w:szCs w:val="22"/>
              </w:rPr>
              <w:t>nguồn</w:t>
            </w:r>
            <w:r w:rsidRPr="00141290">
              <w:rPr>
                <w:rFonts w:asciiTheme="majorHAnsi" w:hAnsiTheme="majorHAnsi" w:cstheme="majorHAnsi"/>
                <w:spacing w:val="26"/>
                <w:sz w:val="22"/>
                <w:szCs w:val="22"/>
              </w:rPr>
              <w:t xml:space="preserve"> </w:t>
            </w:r>
            <w:r w:rsidRPr="00141290">
              <w:rPr>
                <w:rFonts w:asciiTheme="majorHAnsi" w:hAnsiTheme="majorHAnsi" w:cstheme="majorHAnsi"/>
                <w:spacing w:val="-1"/>
                <w:sz w:val="22"/>
                <w:szCs w:val="22"/>
              </w:rPr>
              <w:t>lực</w:t>
            </w:r>
            <w:r w:rsidRPr="00141290">
              <w:rPr>
                <w:rFonts w:asciiTheme="majorHAnsi" w:hAnsiTheme="majorHAnsi" w:cstheme="majorHAnsi"/>
                <w:spacing w:val="23"/>
                <w:sz w:val="22"/>
                <w:szCs w:val="22"/>
              </w:rPr>
              <w:t xml:space="preserve"> </w:t>
            </w:r>
            <w:r w:rsidRPr="00141290">
              <w:rPr>
                <w:rFonts w:asciiTheme="majorHAnsi" w:hAnsiTheme="majorHAnsi" w:cstheme="majorHAnsi"/>
                <w:sz w:val="22"/>
                <w:szCs w:val="22"/>
              </w:rPr>
              <w:t>đầu</w:t>
            </w:r>
            <w:r w:rsidRPr="00141290">
              <w:rPr>
                <w:rFonts w:asciiTheme="majorHAnsi" w:hAnsiTheme="majorHAnsi" w:cstheme="majorHAnsi"/>
                <w:spacing w:val="26"/>
                <w:sz w:val="22"/>
                <w:szCs w:val="22"/>
              </w:rPr>
              <w:t xml:space="preserve"> </w:t>
            </w:r>
            <w:r w:rsidRPr="00141290">
              <w:rPr>
                <w:rFonts w:asciiTheme="majorHAnsi" w:hAnsiTheme="majorHAnsi" w:cstheme="majorHAnsi"/>
                <w:sz w:val="22"/>
                <w:szCs w:val="22"/>
              </w:rPr>
              <w:t>tư</w:t>
            </w:r>
            <w:r w:rsidRPr="00141290">
              <w:rPr>
                <w:rFonts w:asciiTheme="majorHAnsi" w:hAnsiTheme="majorHAnsi" w:cstheme="majorHAnsi"/>
                <w:spacing w:val="24"/>
                <w:sz w:val="22"/>
                <w:szCs w:val="22"/>
              </w:rPr>
              <w:t xml:space="preserve"> </w:t>
            </w:r>
            <w:r w:rsidRPr="00141290">
              <w:rPr>
                <w:rFonts w:asciiTheme="majorHAnsi" w:hAnsiTheme="majorHAnsi" w:cstheme="majorHAnsi"/>
                <w:spacing w:val="-1"/>
                <w:sz w:val="22"/>
                <w:szCs w:val="22"/>
              </w:rPr>
              <w:t>xây</w:t>
            </w:r>
            <w:r w:rsidRPr="00141290">
              <w:rPr>
                <w:rFonts w:asciiTheme="majorHAnsi" w:hAnsiTheme="majorHAnsi" w:cstheme="majorHAnsi"/>
                <w:spacing w:val="24"/>
                <w:sz w:val="22"/>
                <w:szCs w:val="22"/>
              </w:rPr>
              <w:t xml:space="preserve"> </w:t>
            </w:r>
            <w:r w:rsidRPr="00141290">
              <w:rPr>
                <w:rFonts w:asciiTheme="majorHAnsi" w:hAnsiTheme="majorHAnsi" w:cstheme="majorHAnsi"/>
                <w:spacing w:val="2"/>
                <w:sz w:val="22"/>
                <w:szCs w:val="22"/>
              </w:rPr>
              <w:t>dựng</w:t>
            </w:r>
            <w:r w:rsidRPr="00141290">
              <w:rPr>
                <w:rFonts w:asciiTheme="majorHAnsi" w:hAnsiTheme="majorHAnsi" w:cstheme="majorHAnsi"/>
                <w:spacing w:val="26"/>
                <w:sz w:val="22"/>
                <w:szCs w:val="22"/>
              </w:rPr>
              <w:t xml:space="preserve"> </w:t>
            </w:r>
            <w:r w:rsidRPr="00141290">
              <w:rPr>
                <w:rFonts w:asciiTheme="majorHAnsi" w:hAnsiTheme="majorHAnsi" w:cstheme="majorHAnsi"/>
                <w:spacing w:val="-1"/>
                <w:sz w:val="22"/>
                <w:szCs w:val="22"/>
              </w:rPr>
              <w:t>kết</w:t>
            </w:r>
            <w:r w:rsidRPr="00141290">
              <w:rPr>
                <w:rFonts w:asciiTheme="majorHAnsi" w:hAnsiTheme="majorHAnsi" w:cstheme="majorHAnsi"/>
                <w:spacing w:val="26"/>
                <w:sz w:val="22"/>
                <w:szCs w:val="22"/>
              </w:rPr>
              <w:t xml:space="preserve"> </w:t>
            </w:r>
            <w:r w:rsidRPr="00141290">
              <w:rPr>
                <w:rFonts w:asciiTheme="majorHAnsi" w:hAnsiTheme="majorHAnsi" w:cstheme="majorHAnsi"/>
                <w:spacing w:val="-1"/>
                <w:sz w:val="22"/>
                <w:szCs w:val="22"/>
              </w:rPr>
              <w:t>cấu</w:t>
            </w:r>
            <w:r w:rsidRPr="00141290">
              <w:rPr>
                <w:rFonts w:asciiTheme="majorHAnsi" w:hAnsiTheme="majorHAnsi" w:cstheme="majorHAnsi"/>
                <w:spacing w:val="26"/>
                <w:sz w:val="22"/>
                <w:szCs w:val="22"/>
              </w:rPr>
              <w:t xml:space="preserve"> </w:t>
            </w:r>
            <w:r w:rsidRPr="00141290">
              <w:rPr>
                <w:rFonts w:asciiTheme="majorHAnsi" w:hAnsiTheme="majorHAnsi" w:cstheme="majorHAnsi"/>
                <w:sz w:val="22"/>
                <w:szCs w:val="22"/>
              </w:rPr>
              <w:t>hạ</w:t>
            </w:r>
            <w:r w:rsidRPr="00141290">
              <w:rPr>
                <w:rFonts w:asciiTheme="majorHAnsi" w:hAnsiTheme="majorHAnsi" w:cstheme="majorHAnsi"/>
                <w:spacing w:val="25"/>
                <w:sz w:val="22"/>
                <w:szCs w:val="22"/>
              </w:rPr>
              <w:t xml:space="preserve"> </w:t>
            </w:r>
            <w:r w:rsidRPr="00141290">
              <w:rPr>
                <w:rFonts w:asciiTheme="majorHAnsi" w:hAnsiTheme="majorHAnsi" w:cstheme="majorHAnsi"/>
                <w:spacing w:val="-2"/>
                <w:sz w:val="22"/>
                <w:szCs w:val="22"/>
              </w:rPr>
              <w:t>tầng</w:t>
            </w:r>
            <w:r w:rsidRPr="00141290">
              <w:rPr>
                <w:rFonts w:asciiTheme="majorHAnsi" w:hAnsiTheme="majorHAnsi" w:cstheme="majorHAnsi"/>
                <w:spacing w:val="37"/>
                <w:sz w:val="22"/>
                <w:szCs w:val="22"/>
              </w:rPr>
              <w:t xml:space="preserve"> </w:t>
            </w:r>
            <w:r w:rsidRPr="00141290">
              <w:rPr>
                <w:rFonts w:asciiTheme="majorHAnsi" w:hAnsiTheme="majorHAnsi" w:cstheme="majorHAnsi"/>
                <w:spacing w:val="-1"/>
                <w:sz w:val="22"/>
                <w:szCs w:val="22"/>
              </w:rPr>
              <w:t>đồng</w:t>
            </w:r>
            <w:r w:rsidRPr="00141290">
              <w:rPr>
                <w:rFonts w:asciiTheme="majorHAnsi" w:hAnsiTheme="majorHAnsi" w:cstheme="majorHAnsi"/>
                <w:spacing w:val="9"/>
                <w:sz w:val="22"/>
                <w:szCs w:val="22"/>
              </w:rPr>
              <w:t xml:space="preserve"> </w:t>
            </w:r>
            <w:r w:rsidRPr="00141290">
              <w:rPr>
                <w:rFonts w:asciiTheme="majorHAnsi" w:hAnsiTheme="majorHAnsi" w:cstheme="majorHAnsi"/>
                <w:sz w:val="22"/>
                <w:szCs w:val="22"/>
              </w:rPr>
              <w:t>bộ,</w:t>
            </w:r>
            <w:r w:rsidRPr="00141290">
              <w:rPr>
                <w:rFonts w:asciiTheme="majorHAnsi" w:hAnsiTheme="majorHAnsi" w:cstheme="majorHAnsi"/>
                <w:spacing w:val="8"/>
                <w:sz w:val="22"/>
                <w:szCs w:val="22"/>
              </w:rPr>
              <w:t xml:space="preserve"> </w:t>
            </w:r>
            <w:r w:rsidRPr="00141290">
              <w:rPr>
                <w:rFonts w:asciiTheme="majorHAnsi" w:hAnsiTheme="majorHAnsi" w:cstheme="majorHAnsi"/>
                <w:spacing w:val="-2"/>
                <w:sz w:val="22"/>
                <w:szCs w:val="22"/>
              </w:rPr>
              <w:t>nhất</w:t>
            </w:r>
            <w:r w:rsidRPr="00141290">
              <w:rPr>
                <w:rFonts w:asciiTheme="majorHAnsi" w:hAnsiTheme="majorHAnsi" w:cstheme="majorHAnsi"/>
                <w:spacing w:val="9"/>
                <w:sz w:val="22"/>
                <w:szCs w:val="22"/>
              </w:rPr>
              <w:t xml:space="preserve"> </w:t>
            </w:r>
            <w:r w:rsidRPr="00141290">
              <w:rPr>
                <w:rFonts w:asciiTheme="majorHAnsi" w:hAnsiTheme="majorHAnsi" w:cstheme="majorHAnsi"/>
                <w:sz w:val="22"/>
                <w:szCs w:val="22"/>
              </w:rPr>
              <w:t>là</w:t>
            </w:r>
            <w:r w:rsidRPr="00141290">
              <w:rPr>
                <w:rFonts w:asciiTheme="majorHAnsi" w:hAnsiTheme="majorHAnsi" w:cstheme="majorHAnsi"/>
                <w:spacing w:val="8"/>
                <w:sz w:val="22"/>
                <w:szCs w:val="22"/>
              </w:rPr>
              <w:t xml:space="preserve"> </w:t>
            </w:r>
            <w:r w:rsidRPr="00141290">
              <w:rPr>
                <w:rFonts w:asciiTheme="majorHAnsi" w:hAnsiTheme="majorHAnsi" w:cstheme="majorHAnsi"/>
                <w:sz w:val="22"/>
                <w:szCs w:val="22"/>
              </w:rPr>
              <w:t>hạ</w:t>
            </w:r>
            <w:r w:rsidRPr="00141290">
              <w:rPr>
                <w:rFonts w:asciiTheme="majorHAnsi" w:hAnsiTheme="majorHAnsi" w:cstheme="majorHAnsi"/>
                <w:spacing w:val="9"/>
                <w:sz w:val="22"/>
                <w:szCs w:val="22"/>
              </w:rPr>
              <w:t xml:space="preserve"> </w:t>
            </w:r>
            <w:r w:rsidRPr="00141290">
              <w:rPr>
                <w:rFonts w:asciiTheme="majorHAnsi" w:hAnsiTheme="majorHAnsi" w:cstheme="majorHAnsi"/>
                <w:spacing w:val="-1"/>
                <w:sz w:val="22"/>
                <w:szCs w:val="22"/>
              </w:rPr>
              <w:t>tầng</w:t>
            </w:r>
            <w:r w:rsidRPr="00141290">
              <w:rPr>
                <w:rFonts w:asciiTheme="majorHAnsi" w:hAnsiTheme="majorHAnsi" w:cstheme="majorHAnsi"/>
                <w:spacing w:val="9"/>
                <w:sz w:val="22"/>
                <w:szCs w:val="22"/>
              </w:rPr>
              <w:t xml:space="preserve"> </w:t>
            </w:r>
            <w:r w:rsidRPr="00141290">
              <w:rPr>
                <w:rFonts w:asciiTheme="majorHAnsi" w:hAnsiTheme="majorHAnsi" w:cstheme="majorHAnsi"/>
                <w:spacing w:val="-1"/>
                <w:sz w:val="22"/>
                <w:szCs w:val="22"/>
              </w:rPr>
              <w:t>giao</w:t>
            </w:r>
            <w:r w:rsidRPr="00141290">
              <w:rPr>
                <w:rFonts w:asciiTheme="majorHAnsi" w:hAnsiTheme="majorHAnsi" w:cstheme="majorHAnsi"/>
                <w:spacing w:val="9"/>
                <w:sz w:val="22"/>
                <w:szCs w:val="22"/>
              </w:rPr>
              <w:t xml:space="preserve"> </w:t>
            </w:r>
            <w:r w:rsidRPr="00141290">
              <w:rPr>
                <w:rFonts w:asciiTheme="majorHAnsi" w:hAnsiTheme="majorHAnsi" w:cstheme="majorHAnsi"/>
                <w:spacing w:val="-2"/>
                <w:sz w:val="22"/>
                <w:szCs w:val="22"/>
              </w:rPr>
              <w:t>thông</w:t>
            </w:r>
            <w:r w:rsidRPr="00141290">
              <w:rPr>
                <w:rFonts w:asciiTheme="majorHAnsi" w:hAnsiTheme="majorHAnsi" w:cstheme="majorHAnsi"/>
                <w:spacing w:val="12"/>
                <w:sz w:val="22"/>
                <w:szCs w:val="22"/>
              </w:rPr>
              <w:t xml:space="preserve"> </w:t>
            </w:r>
            <w:r w:rsidRPr="00141290">
              <w:rPr>
                <w:rFonts w:asciiTheme="majorHAnsi" w:hAnsiTheme="majorHAnsi" w:cstheme="majorHAnsi"/>
                <w:spacing w:val="-1"/>
                <w:sz w:val="22"/>
                <w:szCs w:val="22"/>
              </w:rPr>
              <w:t>chiến</w:t>
            </w:r>
            <w:r w:rsidRPr="00141290">
              <w:rPr>
                <w:rFonts w:asciiTheme="majorHAnsi" w:hAnsiTheme="majorHAnsi" w:cstheme="majorHAnsi"/>
                <w:spacing w:val="7"/>
                <w:sz w:val="22"/>
                <w:szCs w:val="22"/>
              </w:rPr>
              <w:t xml:space="preserve"> </w:t>
            </w:r>
            <w:r w:rsidRPr="00141290">
              <w:rPr>
                <w:rFonts w:asciiTheme="majorHAnsi" w:hAnsiTheme="majorHAnsi" w:cstheme="majorHAnsi"/>
                <w:spacing w:val="-1"/>
                <w:sz w:val="22"/>
                <w:szCs w:val="22"/>
              </w:rPr>
              <w:t>lược,</w:t>
            </w:r>
            <w:r w:rsidRPr="00141290">
              <w:rPr>
                <w:rFonts w:asciiTheme="majorHAnsi" w:hAnsiTheme="majorHAnsi" w:cstheme="majorHAnsi"/>
                <w:spacing w:val="8"/>
                <w:sz w:val="22"/>
                <w:szCs w:val="22"/>
              </w:rPr>
              <w:t xml:space="preserve"> </w:t>
            </w:r>
            <w:r w:rsidRPr="00141290">
              <w:rPr>
                <w:rFonts w:asciiTheme="majorHAnsi" w:hAnsiTheme="majorHAnsi" w:cstheme="majorHAnsi"/>
                <w:sz w:val="22"/>
                <w:szCs w:val="22"/>
              </w:rPr>
              <w:t>hạ</w:t>
            </w:r>
            <w:r w:rsidRPr="00141290">
              <w:rPr>
                <w:rFonts w:asciiTheme="majorHAnsi" w:hAnsiTheme="majorHAnsi" w:cstheme="majorHAnsi"/>
                <w:spacing w:val="8"/>
                <w:sz w:val="22"/>
                <w:szCs w:val="22"/>
              </w:rPr>
              <w:t xml:space="preserve"> </w:t>
            </w:r>
            <w:r w:rsidRPr="00141290">
              <w:rPr>
                <w:rFonts w:asciiTheme="majorHAnsi" w:hAnsiTheme="majorHAnsi" w:cstheme="majorHAnsi"/>
                <w:spacing w:val="-2"/>
                <w:sz w:val="22"/>
                <w:szCs w:val="22"/>
              </w:rPr>
              <w:t>tầng</w:t>
            </w:r>
            <w:r w:rsidRPr="00141290">
              <w:rPr>
                <w:rFonts w:asciiTheme="majorHAnsi" w:hAnsiTheme="majorHAnsi" w:cstheme="majorHAnsi"/>
                <w:spacing w:val="9"/>
                <w:sz w:val="22"/>
                <w:szCs w:val="22"/>
              </w:rPr>
              <w:t xml:space="preserve"> </w:t>
            </w:r>
            <w:r w:rsidRPr="00141290">
              <w:rPr>
                <w:rFonts w:asciiTheme="majorHAnsi" w:hAnsiTheme="majorHAnsi" w:cstheme="majorHAnsi"/>
                <w:spacing w:val="-1"/>
                <w:sz w:val="22"/>
                <w:szCs w:val="22"/>
              </w:rPr>
              <w:t>khu</w:t>
            </w:r>
            <w:r w:rsidRPr="00141290">
              <w:rPr>
                <w:rFonts w:asciiTheme="majorHAnsi" w:hAnsiTheme="majorHAnsi" w:cstheme="majorHAnsi"/>
                <w:spacing w:val="9"/>
                <w:sz w:val="22"/>
                <w:szCs w:val="22"/>
              </w:rPr>
              <w:t xml:space="preserve"> </w:t>
            </w:r>
            <w:r w:rsidRPr="00141290">
              <w:rPr>
                <w:rFonts w:asciiTheme="majorHAnsi" w:hAnsiTheme="majorHAnsi" w:cstheme="majorHAnsi"/>
                <w:spacing w:val="-1"/>
                <w:sz w:val="22"/>
                <w:szCs w:val="22"/>
              </w:rPr>
              <w:t>kinh</w:t>
            </w:r>
            <w:r w:rsidRPr="00141290">
              <w:rPr>
                <w:rFonts w:asciiTheme="majorHAnsi" w:hAnsiTheme="majorHAnsi" w:cstheme="majorHAnsi"/>
                <w:spacing w:val="9"/>
                <w:sz w:val="22"/>
                <w:szCs w:val="22"/>
              </w:rPr>
              <w:t xml:space="preserve"> </w:t>
            </w:r>
            <w:r w:rsidRPr="00141290">
              <w:rPr>
                <w:rFonts w:asciiTheme="majorHAnsi" w:hAnsiTheme="majorHAnsi" w:cstheme="majorHAnsi"/>
                <w:sz w:val="22"/>
                <w:szCs w:val="22"/>
              </w:rPr>
              <w:t>tế,</w:t>
            </w:r>
            <w:r w:rsidRPr="00141290">
              <w:rPr>
                <w:rFonts w:asciiTheme="majorHAnsi" w:hAnsiTheme="majorHAnsi" w:cstheme="majorHAnsi"/>
                <w:spacing w:val="8"/>
                <w:sz w:val="22"/>
                <w:szCs w:val="22"/>
              </w:rPr>
              <w:t xml:space="preserve"> </w:t>
            </w:r>
            <w:r w:rsidRPr="00141290">
              <w:rPr>
                <w:rFonts w:asciiTheme="majorHAnsi" w:hAnsiTheme="majorHAnsi" w:cstheme="majorHAnsi"/>
                <w:sz w:val="22"/>
                <w:szCs w:val="22"/>
              </w:rPr>
              <w:t>hạ</w:t>
            </w:r>
            <w:r w:rsidRPr="00141290">
              <w:rPr>
                <w:rFonts w:asciiTheme="majorHAnsi" w:hAnsiTheme="majorHAnsi" w:cstheme="majorHAnsi"/>
                <w:spacing w:val="8"/>
                <w:sz w:val="22"/>
                <w:szCs w:val="22"/>
              </w:rPr>
              <w:t xml:space="preserve"> </w:t>
            </w:r>
            <w:r w:rsidRPr="00141290">
              <w:rPr>
                <w:rFonts w:asciiTheme="majorHAnsi" w:hAnsiTheme="majorHAnsi" w:cstheme="majorHAnsi"/>
                <w:spacing w:val="-2"/>
                <w:sz w:val="22"/>
                <w:szCs w:val="22"/>
              </w:rPr>
              <w:t>tầng</w:t>
            </w:r>
            <w:r w:rsidRPr="00141290">
              <w:rPr>
                <w:rFonts w:asciiTheme="majorHAnsi" w:hAnsiTheme="majorHAnsi" w:cstheme="majorHAnsi"/>
                <w:spacing w:val="9"/>
                <w:sz w:val="22"/>
                <w:szCs w:val="22"/>
              </w:rPr>
              <w:t xml:space="preserve"> </w:t>
            </w:r>
            <w:r w:rsidRPr="00141290">
              <w:rPr>
                <w:rFonts w:asciiTheme="majorHAnsi" w:hAnsiTheme="majorHAnsi" w:cstheme="majorHAnsi"/>
                <w:sz w:val="22"/>
                <w:szCs w:val="22"/>
              </w:rPr>
              <w:t>số,</w:t>
            </w:r>
            <w:r w:rsidRPr="00141290">
              <w:rPr>
                <w:rFonts w:asciiTheme="majorHAnsi" w:hAnsiTheme="majorHAnsi" w:cstheme="majorHAnsi"/>
                <w:spacing w:val="8"/>
                <w:sz w:val="22"/>
                <w:szCs w:val="22"/>
              </w:rPr>
              <w:t xml:space="preserve"> </w:t>
            </w:r>
            <w:r w:rsidRPr="00141290">
              <w:rPr>
                <w:rFonts w:asciiTheme="majorHAnsi" w:hAnsiTheme="majorHAnsi" w:cstheme="majorHAnsi"/>
                <w:spacing w:val="-1"/>
                <w:sz w:val="22"/>
                <w:szCs w:val="22"/>
              </w:rPr>
              <w:t>hạ</w:t>
            </w:r>
            <w:r w:rsidRPr="00141290">
              <w:rPr>
                <w:rFonts w:asciiTheme="majorHAnsi" w:hAnsiTheme="majorHAnsi" w:cstheme="majorHAnsi"/>
                <w:spacing w:val="37"/>
                <w:sz w:val="22"/>
                <w:szCs w:val="22"/>
              </w:rPr>
              <w:t xml:space="preserve"> </w:t>
            </w:r>
            <w:r w:rsidRPr="00141290">
              <w:rPr>
                <w:rFonts w:asciiTheme="majorHAnsi" w:hAnsiTheme="majorHAnsi" w:cstheme="majorHAnsi"/>
                <w:spacing w:val="-1"/>
                <w:sz w:val="22"/>
                <w:szCs w:val="22"/>
              </w:rPr>
              <w:t>tầng</w:t>
            </w:r>
            <w:r w:rsidRPr="00141290">
              <w:rPr>
                <w:rFonts w:asciiTheme="majorHAnsi" w:hAnsiTheme="majorHAnsi" w:cstheme="majorHAnsi"/>
                <w:spacing w:val="9"/>
                <w:sz w:val="22"/>
                <w:szCs w:val="22"/>
              </w:rPr>
              <w:t xml:space="preserve"> </w:t>
            </w:r>
            <w:r w:rsidRPr="00141290">
              <w:rPr>
                <w:rFonts w:asciiTheme="majorHAnsi" w:hAnsiTheme="majorHAnsi" w:cstheme="majorHAnsi"/>
                <w:sz w:val="22"/>
                <w:szCs w:val="22"/>
              </w:rPr>
              <w:t>đô</w:t>
            </w:r>
            <w:r w:rsidRPr="00141290">
              <w:rPr>
                <w:rFonts w:asciiTheme="majorHAnsi" w:hAnsiTheme="majorHAnsi" w:cstheme="majorHAnsi"/>
                <w:spacing w:val="9"/>
                <w:sz w:val="22"/>
                <w:szCs w:val="22"/>
              </w:rPr>
              <w:t xml:space="preserve"> </w:t>
            </w:r>
            <w:r w:rsidRPr="00141290">
              <w:rPr>
                <w:rFonts w:asciiTheme="majorHAnsi" w:hAnsiTheme="majorHAnsi" w:cstheme="majorHAnsi"/>
                <w:spacing w:val="-1"/>
                <w:sz w:val="22"/>
                <w:szCs w:val="22"/>
              </w:rPr>
              <w:t>thị,</w:t>
            </w:r>
            <w:r w:rsidRPr="00141290">
              <w:rPr>
                <w:rFonts w:asciiTheme="majorHAnsi" w:hAnsiTheme="majorHAnsi" w:cstheme="majorHAnsi"/>
                <w:spacing w:val="10"/>
                <w:sz w:val="22"/>
                <w:szCs w:val="22"/>
              </w:rPr>
              <w:t xml:space="preserve"> </w:t>
            </w:r>
            <w:r w:rsidRPr="00141290">
              <w:rPr>
                <w:rFonts w:asciiTheme="majorHAnsi" w:hAnsiTheme="majorHAnsi" w:cstheme="majorHAnsi"/>
                <w:spacing w:val="-1"/>
                <w:sz w:val="22"/>
                <w:szCs w:val="22"/>
              </w:rPr>
              <w:t>nước</w:t>
            </w:r>
            <w:r w:rsidRPr="00141290">
              <w:rPr>
                <w:rFonts w:asciiTheme="majorHAnsi" w:hAnsiTheme="majorHAnsi" w:cstheme="majorHAnsi"/>
                <w:spacing w:val="11"/>
                <w:sz w:val="22"/>
                <w:szCs w:val="22"/>
              </w:rPr>
              <w:t xml:space="preserve"> </w:t>
            </w:r>
            <w:r w:rsidRPr="00141290">
              <w:rPr>
                <w:rFonts w:asciiTheme="majorHAnsi" w:hAnsiTheme="majorHAnsi" w:cstheme="majorHAnsi"/>
                <w:spacing w:val="-2"/>
                <w:sz w:val="22"/>
                <w:szCs w:val="22"/>
              </w:rPr>
              <w:t>sạch…” và mục tiêu “Xây dựng Hà Tĩnh trở thành tỉnh có công nghiệp, nông nghiệp, dịch vụ phát triển, hệ thống kết cấu hạ tầng đồng bộ, văn hóa phát triển, xã hội tiến bộ….”</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Theo đó, giải pháp tập trung đẩy mạnh chuyển đổi mô hình tăng trưởng kinh tế từ chiều rộng sang chiều sâu, trên cơ sở khoa học - công nghệ, ứng dụng thành tựu cuộc cách mạng công nghiệp lần thứ tư, phát triển kinh tế số, “kinh tế xanh”, các ngành công nghiệp chế biến, chế tạo, công nghiệp hỗ trợ sau thép, dịch vụ cảng biển và logistics; thu hút đầu tư các dự án năng lượng mới, năng lượng tái tạo; … xây dựng Khu Kinh tế Vũng Áng thực sự trở thành khu kinh tế đa chức năng. …. Phát triển dịch vụ cảng biển và hậu cần (logistics) trở thành trụ cột kinh tế quan trọng;</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 xml:space="preserve">Đồng thời, xác định nội dung “Phát triển các tuyến giao thông chiến lược, hình thành các trục phát triển, đầu tư hạ tầng Khu Kinh tế Vũng Áng, hạ tầng số, kết cấu hạ tầng ứng phó với biến đổi khí hậu, môi trường, nước sạch.” Là 1 trong 5 chương trình trọng điểm và “Huy động tối đa và sử dụng hiệu quả các nguồn lực xây dựng Khu Kinh tế Vũng Áng thực sự trở thành khu kinh tế đa chức năng, trung tâm công nghiệp động lực và </w:t>
            </w:r>
            <w:r w:rsidRPr="00141290">
              <w:rPr>
                <w:rFonts w:asciiTheme="majorHAnsi" w:hAnsiTheme="majorHAnsi" w:cstheme="majorHAnsi"/>
                <w:sz w:val="22"/>
                <w:szCs w:val="22"/>
              </w:rPr>
              <w:lastRenderedPageBreak/>
              <w:t>logistics; xây dựng kết cấu hạ tầng đồng bộ, trọng tâm là hạ tầng giao thông chiến lược, hạ tầng đô thị, hạ tầng thông tin, thúc đẩy phát triển kinh tế số.” là 1 trong 3 đột phá chiến lược trong giai đoạn 2021-2025 để triển khai thực hiện.</w:t>
            </w:r>
          </w:p>
          <w:p w:rsidR="00E904EA" w:rsidRPr="00141290" w:rsidRDefault="00E904EA" w:rsidP="00B92068">
            <w:pPr>
              <w:spacing w:before="120"/>
              <w:ind w:firstLine="720"/>
              <w:jc w:val="both"/>
              <w:rPr>
                <w:rFonts w:asciiTheme="majorHAnsi" w:hAnsiTheme="majorHAnsi" w:cstheme="majorHAnsi"/>
                <w:sz w:val="22"/>
                <w:szCs w:val="22"/>
              </w:rPr>
            </w:pPr>
            <w:r w:rsidRPr="00141290">
              <w:rPr>
                <w:rFonts w:asciiTheme="majorHAnsi" w:hAnsiTheme="majorHAnsi" w:cstheme="majorHAnsi"/>
                <w:sz w:val="22"/>
                <w:szCs w:val="22"/>
              </w:rPr>
              <w:t>Đối với phát triển công nghiệp: (i).Tiếp tục thực hiện có hiệu quả Nghị quyết số 08-NQ/TU ngày 18/5/2018 của Ban chấp hành Đảng bộ tỉnh về đẩy mạnh phát triển công nghiệp, tiểu thủ công nghiệp đến năm 2020 và những năm tiếp theo; Nghị quyết số 86/2018/NQ-HĐND ngày 18/7/2018 của Hội đồng nhân dân tỉnh ban hành và Phương án phát Cụm công nghiệp trên địa bàn tỉnh Hà Tĩnh giai đoạn đến năm  2030, tầm nhìn đến năm 2050; (ii). Đẩy mạnh thu hút đầu tư, nhất là đầu tư vào Khu kinh tế Vũng Áng và các Khu, cụm công nghiệp trên địa bản tỉnh; (iii). Bước đầu hình thành cụm liên kết ngành trong phát triển công nghiệp từ đó thúc đẩy sản xuất công nghiệp, tiểu thủ công nghiệp phát triển.</w:t>
            </w:r>
          </w:p>
        </w:tc>
        <w:tc>
          <w:tcPr>
            <w:tcW w:w="2977" w:type="dxa"/>
            <w:vAlign w:val="center"/>
          </w:tcPr>
          <w:p w:rsidR="00E904EA" w:rsidRPr="00141290" w:rsidRDefault="00E904EA" w:rsidP="00834B38">
            <w:pPr>
              <w:rPr>
                <w:rFonts w:asciiTheme="majorHAnsi" w:hAnsiTheme="majorHAnsi" w:cstheme="majorHAnsi"/>
                <w:noProof/>
                <w:color w:val="000000" w:themeColor="text1"/>
                <w:sz w:val="22"/>
                <w:szCs w:val="22"/>
              </w:rPr>
            </w:pPr>
          </w:p>
        </w:tc>
        <w:tc>
          <w:tcPr>
            <w:tcW w:w="3273" w:type="dxa"/>
            <w:vAlign w:val="center"/>
          </w:tcPr>
          <w:p w:rsidR="00E904EA" w:rsidRPr="00141290" w:rsidRDefault="00E904EA" w:rsidP="00054B75">
            <w:pPr>
              <w:spacing w:after="120"/>
              <w:jc w:val="both"/>
              <w:rPr>
                <w:rFonts w:asciiTheme="majorHAnsi" w:hAnsiTheme="majorHAnsi" w:cstheme="majorHAnsi"/>
                <w:noProof/>
                <w:color w:val="000000" w:themeColor="text1"/>
                <w:sz w:val="22"/>
                <w:szCs w:val="22"/>
              </w:rPr>
            </w:pPr>
          </w:p>
        </w:tc>
        <w:tc>
          <w:tcPr>
            <w:tcW w:w="583" w:type="dxa"/>
            <w:vAlign w:val="center"/>
          </w:tcPr>
          <w:p w:rsidR="00E904EA" w:rsidRPr="00141290" w:rsidRDefault="00E904EA" w:rsidP="00834B38">
            <w:pPr>
              <w:rPr>
                <w:rFonts w:asciiTheme="majorHAnsi" w:hAnsiTheme="majorHAnsi" w:cstheme="majorHAnsi"/>
                <w:noProof/>
                <w:color w:val="000000" w:themeColor="text1"/>
                <w:sz w:val="22"/>
                <w:szCs w:val="22"/>
              </w:rPr>
            </w:pPr>
          </w:p>
        </w:tc>
      </w:tr>
      <w:tr w:rsidR="003E1BE1" w:rsidRPr="00141290" w:rsidTr="008A1501">
        <w:trPr>
          <w:trHeight w:val="678"/>
        </w:trPr>
        <w:tc>
          <w:tcPr>
            <w:tcW w:w="680" w:type="dxa"/>
          </w:tcPr>
          <w:p w:rsidR="003E1BE1" w:rsidRPr="00141290" w:rsidRDefault="003E1BE1" w:rsidP="00D13243">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lastRenderedPageBreak/>
              <w:t>Câu 132</w:t>
            </w:r>
          </w:p>
        </w:tc>
        <w:tc>
          <w:tcPr>
            <w:tcW w:w="2954" w:type="dxa"/>
          </w:tcPr>
          <w:p w:rsidR="003E1BE1" w:rsidRPr="00141290" w:rsidRDefault="003E1BE1" w:rsidP="00D13243">
            <w:pPr>
              <w:spacing w:before="120"/>
              <w:ind w:hanging="36"/>
              <w:jc w:val="both"/>
              <w:rPr>
                <w:rFonts w:asciiTheme="majorHAnsi" w:hAnsiTheme="majorHAnsi" w:cstheme="majorHAnsi"/>
                <w:iCs/>
                <w:sz w:val="22"/>
                <w:szCs w:val="22"/>
                <w:lang w:val="en-US"/>
              </w:rPr>
            </w:pPr>
            <w:r w:rsidRPr="00141290">
              <w:rPr>
                <w:rFonts w:asciiTheme="majorHAnsi" w:hAnsiTheme="majorHAnsi" w:cstheme="majorHAnsi"/>
                <w:iCs/>
                <w:sz w:val="22"/>
                <w:szCs w:val="22"/>
                <w:lang w:val="en-US"/>
              </w:rPr>
              <w:t>Thời gian qua, nhiều dự án đầu tư trên địa bàn tỉnh triển khai chậm, không đảm bảo được mục tiêu cam kết ban đầu, kém hiệu quả, để đất hoang hóa, lãng phí. Đề nghị Ủy ban nhân dân tỉnh làm rõ thực trạng, nguyên nhân, biện pháp và kết quả xử lý khắc phục hậu quả như thế nào.</w:t>
            </w:r>
          </w:p>
          <w:p w:rsidR="003E1BE1" w:rsidRPr="00141290" w:rsidRDefault="003E1BE1" w:rsidP="00D13243">
            <w:pPr>
              <w:spacing w:before="120"/>
              <w:ind w:firstLine="720"/>
              <w:jc w:val="both"/>
              <w:rPr>
                <w:rFonts w:asciiTheme="majorHAnsi" w:hAnsiTheme="majorHAnsi" w:cstheme="majorHAnsi"/>
                <w:sz w:val="22"/>
                <w:szCs w:val="22"/>
                <w:lang w:val="en-US"/>
              </w:rPr>
            </w:pPr>
          </w:p>
        </w:tc>
        <w:tc>
          <w:tcPr>
            <w:tcW w:w="5835" w:type="dxa"/>
          </w:tcPr>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xml:space="preserve">Trên địa bàn tỉnh Hà Tĩnh hiện có 1.445 dự án đã được chấp thuận chủ trương đầu tư, cấp Giấy chứng nhận đăng ký đầu tư (gồm: 1.372 dự án đầu tư trong nước với tổng số vốn đăng ký trên 131 nghìn tỷ động; 73 dự án đầu tư nước ngoài với tổng số vốn đăng ký trên 13,68 tỷ USD); đến 30/11/2020 đã chấp thuận chủ trương đầu tư 57 dự án trong nước tổng vốn đăng ký 10.391 tỷ đồng và 01 dự án FDI vốn đăng ký 1,5 triệu USD. </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xml:space="preserve">Qua tổng hợp, theo dõi và báo cáo của các địa phương, trong tổng số 1.445 dự án đã được chấp thuận chủ trương đầu tư có: 850 dự án đã cơ bản hoàn thành/đi vào hoạt động (chiếm khoảng 59%); 288 dự án đang hoàn thiện hồ sơ, thủ tục/thi công xây dựng (chiếm khoảng 20%); 307 dự án chậm tiến độ, ngừng hoạt động, có vi phạm/cần kiểm tra xử lý (chiếm 21%). </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xml:space="preserve">- Đối với 307 dự án chậm tiến độ, ngừng hoạt động có: 135 dự án do UBND tỉnh chấp thuận; 40 dự án do BQL Khu kinh tế tỉnh chấp thuận và 132 dự án do UBND cấp huyện chấp thuận </w:t>
            </w:r>
            <w:r w:rsidRPr="00141290">
              <w:rPr>
                <w:rFonts w:asciiTheme="majorHAnsi" w:hAnsiTheme="majorHAnsi" w:cstheme="majorHAnsi"/>
                <w:sz w:val="22"/>
                <w:szCs w:val="22"/>
              </w:rPr>
              <w:lastRenderedPageBreak/>
              <w:t>chủ trương đầu tư); ngoài ra còn có 43 dự án đã được chấp thuận chủ trương đầu tư, thực hiện toàn bộ hoặc một phần trên khu đất không phải bồi thường GPMB, đất do nhà nước quản lý đang vướng mắc các thủ tục pháp lý, chưa được giao đất, cho thuê đất.</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xml:space="preserve">Để tháo gỡ các khó khăn vướng mắc đối với các dự án nêu trên, Thường trực Tỉnh ủy đã có Thông báo số 1261-TB/TU ngày 09/5/2020; UBND tỉnh đã có Văn bản số 7485/UBND-KT1 ngày 08/11/2019 chỉ đạo phân loại nhóm dự án theo các nguyên nhân khách quan, chủ quan và các khó khăn vướng mặc để kiểm tra, xử lý theo hướng:  </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Đối với các dự án có lý do, nguyên nhân khách quan (do vướng mắc về thủ tục pháp lý, bồi thường GPMB…): Làm rõ từng nguyên nhân đối với từng dự án cụ thể để tháo gỡ khó khăn, vướng mắc cho các nhà đầu tư.</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Đối với nhóm không có lý do khách quan: tham mưu thành lập đoàn liên ngành để tiến hành kiểm tranhằm xử lý nghiêm, kiên quyết thu hồi đối với các dự án chậm tiến độ kéo dài, ngừng hoạt động, chây ỳ, cố tình giữ đất và không có năng lực tiếp tục triển khai.</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Theo đó, UBND tỉnh đã phân loại dự án và thẩm quyền để giao cho các đơn vi thực hiên, cụ thể như sau:</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xml:space="preserve">+ Đối với các dự án thuộc thẩm quyền chấp thuận của BQL Khu kinh tế tỉnh và UBND cấp huyện: đã yêu cầu các đơn vị chủ động, kiểm tra, rà soát các dự án, xử lý theo thẩm quyền và đề xuất các giải pháp tháo gỡ khó khăn, vướng mắc và hỗ trợ nhà đầu tư triển khai dự án đúng quy định. </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xml:space="preserve">+ Đối với 135 dự án do UBND tỉnh chấp thuận chủ trương đầu tư:  UBND tỉnh đã giao Sở Kế hoạch và Đầu tư chủ trì thành lập đoàn kiểm tra liên ngành, kiểm tra cụ thể từng dự án trong đó tập trung kiểm tra, rà soát đối với các dự án có dấu hiệu vi phạm rõ ràng, đã quá thời gian quy định, không có khả năng </w:t>
            </w:r>
            <w:r w:rsidRPr="00141290">
              <w:rPr>
                <w:rFonts w:asciiTheme="majorHAnsi" w:hAnsiTheme="majorHAnsi" w:cstheme="majorHAnsi"/>
                <w:sz w:val="22"/>
                <w:szCs w:val="22"/>
              </w:rPr>
              <w:lastRenderedPageBreak/>
              <w:t xml:space="preserve">hoàn thành và đã tiến hành kiểm tra 63/135 dự án do UBND tỉnh chấp thuận; giao UBND huyện, thành phố, thị xã kiểm tra 90/132 dự án do UBND các huyện chấp thuận; giao BQL Khu kinh tế tỉnh kiểm tra 40/40 dự án do BQL KKT tỉnh chấp thuận. </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xml:space="preserve">Riêng đối với 43 dự án đã được chấp thuận chủ trương đầu tư, thực hiện toàn bộ hoặc một phần trên khu đất không phải bồi thường GPMB, đất do nhà nước quản lý đang vướng mắc các thủ tục pháp lý, chưa được giao đất, cho thuê đất, chỉ đạo rà soát, phân loại cụ thể từng dự án, khi Chính phủ ban hành Nghị định sửa đổi, bổ sung Luật đất đai thì kịp thời áp dụng quy định, đẩy nhanh tiến độ thực hiện dự án.  </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Qua kiểm tra, đã thực hiện chấm dứt hoạt động, thu hồi 44 dự án, trong đó: 43 dự án đầu tư trong nước (07 dự án do UBND tỉnh chấp thuận chủ trương đầu tư, 10 dự án do UBND các huyện/TP/TX chấp thuận chủ trương đầu tư, 26 dự án do BQL Khu kinh tế tỉnh cấp GCNĐK  đầu tư) và 01 dự án FDI (15 triệu USD); đang tiếp tục xem xét, thu hồi 15 dự án.</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xml:space="preserve"> Về kết quả xử lý các hành vi vi phạm tiến độ, chậm thực hiện dự án của các Nhà đầu tư. Trong 4 năm từ 2016-2020 đã tiến hành xử lý vi phạm hành chính với 84 trường hợp với tổng số tiền xử phạt 1,101 tỷ đồng, trong đó xử phạt trong lĩnh vực Đăng ký kinh doanh là 253 triệu đồng, lĩnh vực đầu tư 848,5 triệu đồng. </w:t>
            </w:r>
          </w:p>
          <w:p w:rsidR="003E1BE1" w:rsidRPr="00141290" w:rsidRDefault="003E1BE1" w:rsidP="00D13243">
            <w:pPr>
              <w:spacing w:before="120"/>
              <w:ind w:firstLine="459"/>
              <w:jc w:val="both"/>
              <w:rPr>
                <w:rFonts w:asciiTheme="majorHAnsi" w:hAnsiTheme="majorHAnsi" w:cstheme="majorHAnsi"/>
                <w:sz w:val="22"/>
                <w:szCs w:val="22"/>
              </w:rPr>
            </w:pPr>
            <w:r w:rsidRPr="00141290">
              <w:rPr>
                <w:rFonts w:asciiTheme="majorHAnsi" w:hAnsiTheme="majorHAnsi" w:cstheme="majorHAnsi"/>
                <w:sz w:val="22"/>
                <w:szCs w:val="22"/>
              </w:rPr>
              <w:t xml:space="preserve"> </w:t>
            </w:r>
          </w:p>
        </w:tc>
        <w:tc>
          <w:tcPr>
            <w:tcW w:w="2977" w:type="dxa"/>
          </w:tcPr>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lastRenderedPageBreak/>
              <w:t xml:space="preserve">Nguyên nhân khách quan.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Tình hình kinh tế- xã hội gặp nhiều khó khăn, mức độ phát triển của tỉnh chưa cao, điều kiện thời tiết không thuận lợi, nằm cách xa các trung tâm kinh tế lớn; cơ sở hạ tầng chưa được đầu tư đồng bộ nên các Doanh nghiệp, Nhà đầu tư còn có tâm lý e ngại, phải cân nhắc, xem xét việc đầu tư; tính hiệu quả và khả năng thu hồi vốn nên chưa tập trung nguồn lực để hoàn thành nhất là các dự án lớn đầu tư trong lĩnh vực du lịch, thương mại dịch vụ.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ab/>
              <w:t xml:space="preserve">- Hầu hết các dự án đầu tư trên địa bàn không </w:t>
            </w:r>
            <w:r w:rsidRPr="00141290">
              <w:rPr>
                <w:rFonts w:asciiTheme="majorHAnsi" w:hAnsiTheme="majorHAnsi" w:cstheme="majorHAnsi"/>
                <w:sz w:val="22"/>
                <w:szCs w:val="22"/>
              </w:rPr>
              <w:lastRenderedPageBreak/>
              <w:t>thuộc đối tượng Nhà nước thu hồi đất, Nhà đầu tư phải tự thỏa thuận giá bồi thường, nhận chuyển nhượng quyền sử dụng đất để thực hiện dự án nên gặp nhiều khó khăn, mất nhiều thời gian để hoàn thành công tác bồi thường, GPMB. Hiện nay có khoảng 51 dự án (29 dự án ngoài khu kinh tế; 22 dự án trong KKT) chưa hoàn thành việc giao đất, cho thuê đất.</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ab/>
              <w:t xml:space="preserve">- Chồng chéo giữa quy hoạch sử dụng đất và các quy hoạch xây dựng, quy hoạch ngành. Một số dự án chưa có trong kế hoạch sử dụng đất, phải thực hiện điều chỉnh, bổ sung kế hoạch sử dụng đất hàng năm, mất rất nhiều thời gian, ảnh hưởng đến tiến độ dự án.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Các quy định của Pháp luật chưa thực sự rõ ràng, nhất là các quy định liên quan đến việc sử dụng đất đối với phần đất do Nhà nước quản lý, một phần diện tích khu đất đã được giải phóng mặt bằng; dẫn đến việc áp dụng hình thức lựa chọn nhà đầu tư, thủ tục cho thuê đất gặp nhiều khó khăn (có khoảng 43 dự án đã được </w:t>
            </w:r>
            <w:r w:rsidRPr="00141290">
              <w:rPr>
                <w:rFonts w:asciiTheme="majorHAnsi" w:hAnsiTheme="majorHAnsi" w:cstheme="majorHAnsi"/>
                <w:sz w:val="22"/>
                <w:szCs w:val="22"/>
              </w:rPr>
              <w:lastRenderedPageBreak/>
              <w:t xml:space="preserve">chấp thuận ) chưa được thuê đất và đang chờ Nghị định chính phủ.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Cơ sở hạ tầng ở một số khu vực thực hiện dự án chưa đảm bảo, nhất là hạ tầng về giao thông, hạ tầng cụm công nghiệp; thủ tục đấu nối quốc lộ mất nhiều thời gian (các dự án thuộc đường tránh Quốc lộ 1A đoạn qua Thành phố Hà Tĩnh, quốc lộ 1A, Quốc lộ 15);</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ab/>
              <w:t xml:space="preserve"> Nguyên nhân chủ quan</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Công tác phối hợp, hỗ trợ nhà đầu tư trong việc giải quyết các thủ tục liên quan đến bồi thường, GPMB tại một số địa phương, đơn vị chưa thực sự quyết liệt, nhất là đối với các dự án lớn, trọng điểm trên địa bàn; các dự án không thuộc đối tượng Nhà nước thu hồi đất.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Công tác kiểm tra, giám sát của các ngành và địa phương vùng thực hiện dự án còn hạn chế, chưa kịp thời có phương án xử lý hoặc đôn đốc nhà đầu tư triển khai thực hiện.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Các cơ quan quản lý Nhà nước chưa xây dựng được cơ sở dữ liệu chung để theo dõi, quản lý các dự án đầu tư trên </w:t>
            </w:r>
            <w:r w:rsidRPr="00141290">
              <w:rPr>
                <w:rFonts w:asciiTheme="majorHAnsi" w:hAnsiTheme="majorHAnsi" w:cstheme="majorHAnsi"/>
                <w:sz w:val="22"/>
                <w:szCs w:val="22"/>
              </w:rPr>
              <w:lastRenderedPageBreak/>
              <w:t xml:space="preserve">địa bàn và cơ chế chia sẻ thông tin dữ liệu dùng chung cho các ngành, các cấp, địa phương cùng khai thác để phục vụ tốt hơn cho công tác quản lý các dự án đầu tư.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Một số nhà đầu tư chưa có quyết tâm cao trong việc đầu tư thực hiện dự án; thiếu năng lực tài tài chính; chưa có phương án và chiến lược đầu tư kinh doanh; đầu tư theo phong trào nhưng vẫn xin gia hạn tiến độ; diễn biến thị trường có sự thay đổi không thuận lợi nên Nhà đầu tư có phần chững lại để tiếp tục khảo sát, tìm kiếm cơ hội đầu tư.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Giải pháp thực hiện</w:t>
            </w:r>
          </w:p>
        </w:tc>
        <w:tc>
          <w:tcPr>
            <w:tcW w:w="3273" w:type="dxa"/>
          </w:tcPr>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lastRenderedPageBreak/>
              <w:t xml:space="preserve">Nhằm đẩy nhanh tiến độ thực hiện các dự án, phát huy hiệu quả sử dụng đất, đặc biệt là các dự án có nhu cầu sử dụng đất lớn được đầu tư tại khu vực đô thị, khu vực có lợi thế thương mại cao, các khu vực ven biển; UBND tỉnh đã chỉ đạo các sở, ban, ngành, địa phương liên quan triển tập trung thực hiện đồng bộ, quyết liệt các giải pháp sau: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Đối với các dự án chậm tiến độ do vướng mắc GPMB, thủ tục pháp lý hoặc các nguyên nhân khách quan bất khả kháng khác và không nợ nghĩa vụ tài chính với nhà nước: chỉ đạo các sở, ngành, địa phương liên quan tiếp tục theo </w:t>
            </w:r>
            <w:r w:rsidRPr="00141290">
              <w:rPr>
                <w:rFonts w:asciiTheme="majorHAnsi" w:hAnsiTheme="majorHAnsi" w:cstheme="majorHAnsi"/>
                <w:sz w:val="22"/>
                <w:szCs w:val="22"/>
              </w:rPr>
              <w:lastRenderedPageBreak/>
              <w:t>dõi, đôn đốc, kịp thời hướng dẫn, tháo gỡ vướng mắc cho chủ đầu tư. Trường hợp quá thời gian cam kết nhưng không triển khai, không thuộc trường hợp được gia hạn thì kiên quyết tham mưu thu hồi đất, thu hồi dự án theo đúng quy định của Luật Đất đai, Luật Đầu tư.</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Đối với  các dự án đã thuê đất, nhưng chậm tiến độ nhiều năm không thuộc trường hợp giãn tiến độ, gia hạn sử dụng đất theo quy định của Luật Đất đai, Luật Đầu tư, chưa hoàn thành nghĩa vụ tài chính với Nhà nước; nhiều lần vi phạm mà không có giải pháp khắc phục, không có khả năng tiếp tục thực hiện thì sẽ kiên quyết thu hồi theo quy định pháp luật.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Tiếp tục hoàn thiện các quy định về cơ chế, thể chế: Xây dựng và ban hành các quy định liên quan đến Quản lý dự án đầu tư có sử dụng đất trên địa bàn tỉnh nhằm quy định rõ quyền hạn, trách nhiệm của các cơ quan, đơn vị, địa phương trong việc hỗ trợ, quản lý các dự án đầu tư thuộc lĩnh vực và địa bàn phụ trách;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Xây dựng cơ sở dữ liệu chung để theo dõi, quản lý các dự án đầu tư trên địa bàn và cơ chế chia sẻ thông tin dữ liệu dùng chung cho các ngành, các cấp, địa phương, </w:t>
            </w:r>
            <w:r w:rsidRPr="00141290">
              <w:rPr>
                <w:rFonts w:asciiTheme="majorHAnsi" w:hAnsiTheme="majorHAnsi" w:cstheme="majorHAnsi"/>
                <w:sz w:val="22"/>
                <w:szCs w:val="22"/>
              </w:rPr>
              <w:lastRenderedPageBreak/>
              <w:t xml:space="preserve">doanh nghiệp cùng khai thác để phục vụ tốt hơn cho công tác quản lý, tạo điều kiện thuận lợi cho các nhà đầu tư tiếp cận, tham gia nghiên cứu, đề xuất dự án.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Tăng cường công tác tuyên truyền, quảng bá xúc tiến, thu hút đầu tư bằng nhiều hình thức; nâng cao hiệu quả hoạt động xúc tiến đầu tư, nhất là xúc tiến đầu tư tại chỗ; vai trò, trách nhiệm của các sở, ngành và địa phương trong công tác hỗ trợ nhà đầu tư từ khâu nghiên cứu, khảo sát, lập dự án đề xuất đầu tư đến quá trình triển khai thực hiện, đưa dự án đi vào hoạt động.</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xml:space="preserve">-  Tiếp tục rà soát, cập nhập, bổ sung, điều chỉnh quy hoạch có liên quan để phục vụ cho công tác quản lý, thu hút, thực hiện các dự án đầu tư; hạn chế tối đa những bất cập, chồng chéo giữa quy hoạch sử dụng đất với quy hoạch xây dựng; các quy hoạch ngành; </w:t>
            </w:r>
          </w:p>
          <w:p w:rsidR="003E1BE1" w:rsidRPr="00141290" w:rsidRDefault="003E1BE1" w:rsidP="00D13243">
            <w:pPr>
              <w:rPr>
                <w:rFonts w:asciiTheme="majorHAnsi" w:hAnsiTheme="majorHAnsi" w:cstheme="majorHAnsi"/>
                <w:sz w:val="22"/>
                <w:szCs w:val="22"/>
              </w:rPr>
            </w:pPr>
            <w:r w:rsidRPr="00141290">
              <w:rPr>
                <w:rFonts w:asciiTheme="majorHAnsi" w:hAnsiTheme="majorHAnsi" w:cstheme="majorHAnsi"/>
                <w:sz w:val="22"/>
                <w:szCs w:val="22"/>
              </w:rPr>
              <w:t>- Về phía các doanh nghiệp phải cần tập trung nguồn lực, có giải pháp huy động nguồn vốn đề triển khai thực hiện dự án đảm bảo đúng tiến độ theo đúng quy định. Nghiên cứu các quy định của Nhà nước có liên quan để tuân thủ, tránh các vi phạm trong quá trình thực hiện dự án.</w:t>
            </w:r>
          </w:p>
        </w:tc>
        <w:tc>
          <w:tcPr>
            <w:tcW w:w="583" w:type="dxa"/>
            <w:vAlign w:val="center"/>
          </w:tcPr>
          <w:p w:rsidR="003E1BE1" w:rsidRPr="00141290" w:rsidRDefault="003E1BE1" w:rsidP="00834B38">
            <w:pPr>
              <w:rPr>
                <w:rFonts w:asciiTheme="majorHAnsi" w:hAnsiTheme="majorHAnsi" w:cstheme="majorHAnsi"/>
                <w:noProof/>
                <w:color w:val="000000" w:themeColor="text1"/>
                <w:sz w:val="22"/>
                <w:szCs w:val="22"/>
              </w:rPr>
            </w:pPr>
          </w:p>
        </w:tc>
      </w:tr>
      <w:tr w:rsidR="008A1501" w:rsidRPr="00141290" w:rsidTr="008A1501">
        <w:trPr>
          <w:trHeight w:val="475"/>
        </w:trPr>
        <w:tc>
          <w:tcPr>
            <w:tcW w:w="680" w:type="dxa"/>
            <w:vAlign w:val="center"/>
          </w:tcPr>
          <w:p w:rsidR="008A1501" w:rsidRPr="00141290" w:rsidRDefault="008A1501" w:rsidP="008A1501">
            <w:pPr>
              <w:jc w:val="center"/>
              <w:rPr>
                <w:rFonts w:asciiTheme="majorHAnsi" w:hAnsiTheme="majorHAnsi" w:cstheme="majorHAnsi"/>
                <w:b/>
                <w:noProof/>
                <w:sz w:val="22"/>
                <w:szCs w:val="22"/>
              </w:rPr>
            </w:pPr>
            <w:r w:rsidRPr="00141290">
              <w:rPr>
                <w:rFonts w:asciiTheme="majorHAnsi" w:hAnsiTheme="majorHAnsi" w:cstheme="majorHAnsi"/>
                <w:b/>
                <w:noProof/>
                <w:sz w:val="22"/>
                <w:szCs w:val="22"/>
              </w:rPr>
              <w:lastRenderedPageBreak/>
              <w:t>II</w:t>
            </w:r>
          </w:p>
        </w:tc>
        <w:tc>
          <w:tcPr>
            <w:tcW w:w="8789" w:type="dxa"/>
            <w:gridSpan w:val="2"/>
            <w:vAlign w:val="center"/>
          </w:tcPr>
          <w:p w:rsidR="008A1501" w:rsidRPr="00141290" w:rsidRDefault="008A1501" w:rsidP="008A1501">
            <w:pPr>
              <w:rPr>
                <w:rFonts w:asciiTheme="majorHAnsi" w:hAnsiTheme="majorHAnsi" w:cstheme="majorHAnsi"/>
                <w:b/>
                <w:noProof/>
                <w:color w:val="000000" w:themeColor="text1"/>
                <w:sz w:val="22"/>
                <w:szCs w:val="22"/>
              </w:rPr>
            </w:pPr>
            <w:r w:rsidRPr="00141290">
              <w:rPr>
                <w:rFonts w:asciiTheme="majorHAnsi" w:hAnsiTheme="majorHAnsi" w:cstheme="majorHAnsi"/>
                <w:b/>
                <w:noProof/>
                <w:color w:val="000000" w:themeColor="text1"/>
                <w:sz w:val="22"/>
                <w:szCs w:val="22"/>
              </w:rPr>
              <w:t>Nội dung đang giải quyết</w:t>
            </w:r>
          </w:p>
        </w:tc>
        <w:tc>
          <w:tcPr>
            <w:tcW w:w="2977" w:type="dxa"/>
            <w:vAlign w:val="center"/>
          </w:tcPr>
          <w:p w:rsidR="008A1501" w:rsidRPr="00141290" w:rsidRDefault="008A1501" w:rsidP="008A1501">
            <w:pPr>
              <w:rPr>
                <w:rFonts w:asciiTheme="majorHAnsi" w:hAnsiTheme="majorHAnsi" w:cstheme="majorHAnsi"/>
                <w:b/>
                <w:noProof/>
                <w:color w:val="000000" w:themeColor="text1"/>
                <w:sz w:val="22"/>
                <w:szCs w:val="22"/>
              </w:rPr>
            </w:pPr>
          </w:p>
        </w:tc>
        <w:tc>
          <w:tcPr>
            <w:tcW w:w="3273" w:type="dxa"/>
            <w:vAlign w:val="center"/>
          </w:tcPr>
          <w:p w:rsidR="008A1501" w:rsidRPr="00141290" w:rsidRDefault="008A1501" w:rsidP="008A1501">
            <w:pPr>
              <w:rPr>
                <w:rFonts w:asciiTheme="majorHAnsi" w:hAnsiTheme="majorHAnsi" w:cstheme="majorHAnsi"/>
                <w:b/>
                <w:noProof/>
                <w:color w:val="000000" w:themeColor="text1"/>
                <w:sz w:val="22"/>
                <w:szCs w:val="22"/>
              </w:rPr>
            </w:pPr>
          </w:p>
        </w:tc>
        <w:tc>
          <w:tcPr>
            <w:tcW w:w="583" w:type="dxa"/>
            <w:vAlign w:val="center"/>
          </w:tcPr>
          <w:p w:rsidR="008A1501" w:rsidRPr="00141290" w:rsidRDefault="008A1501" w:rsidP="008A1501">
            <w:pPr>
              <w:rPr>
                <w:rFonts w:asciiTheme="majorHAnsi" w:hAnsiTheme="majorHAnsi" w:cstheme="majorHAnsi"/>
                <w:b/>
                <w:noProof/>
                <w:color w:val="000000" w:themeColor="text1"/>
                <w:sz w:val="22"/>
                <w:szCs w:val="22"/>
              </w:rPr>
            </w:pPr>
          </w:p>
        </w:tc>
      </w:tr>
      <w:tr w:rsidR="008A1501" w:rsidRPr="00141290" w:rsidTr="008A1501">
        <w:trPr>
          <w:trHeight w:val="475"/>
        </w:trPr>
        <w:tc>
          <w:tcPr>
            <w:tcW w:w="680" w:type="dxa"/>
          </w:tcPr>
          <w:p w:rsidR="008A1501" w:rsidRPr="00141290" w:rsidRDefault="008A1501" w:rsidP="008A1501">
            <w:pPr>
              <w:jc w:val="center"/>
              <w:rPr>
                <w:rFonts w:asciiTheme="majorHAnsi" w:hAnsiTheme="majorHAnsi" w:cstheme="majorHAnsi"/>
                <w:bCs/>
                <w:sz w:val="22"/>
                <w:szCs w:val="22"/>
                <w:lang w:val="en-US"/>
              </w:rPr>
            </w:pPr>
            <w:r w:rsidRPr="00141290">
              <w:rPr>
                <w:rFonts w:asciiTheme="majorHAnsi" w:hAnsiTheme="majorHAnsi" w:cstheme="majorHAnsi"/>
                <w:bCs/>
                <w:sz w:val="22"/>
                <w:szCs w:val="22"/>
                <w:lang w:val="en-US"/>
              </w:rPr>
              <w:t>Câu 20</w:t>
            </w:r>
          </w:p>
        </w:tc>
        <w:tc>
          <w:tcPr>
            <w:tcW w:w="2954" w:type="dxa"/>
          </w:tcPr>
          <w:p w:rsidR="008A1501" w:rsidRPr="00141290" w:rsidRDefault="008A1501" w:rsidP="008A1501">
            <w:pPr>
              <w:spacing w:before="120"/>
              <w:jc w:val="both"/>
              <w:rPr>
                <w:rFonts w:asciiTheme="majorHAnsi" w:hAnsiTheme="majorHAnsi" w:cstheme="majorHAnsi"/>
                <w:iCs/>
                <w:sz w:val="22"/>
                <w:szCs w:val="22"/>
                <w:lang w:val="en-US"/>
              </w:rPr>
            </w:pPr>
            <w:r w:rsidRPr="00141290">
              <w:rPr>
                <w:rFonts w:asciiTheme="majorHAnsi" w:hAnsiTheme="majorHAnsi" w:cstheme="majorHAnsi"/>
                <w:iCs/>
                <w:sz w:val="22"/>
                <w:szCs w:val="22"/>
                <w:lang w:val="en-US"/>
              </w:rPr>
              <w:t>Trên địa bàn thành phố Hà Tĩnh một số dự án chậm tiến độ. Đề nghị UBND tỉnh cho biết giải pháp trước mắt và lâu dài để giải quyết vấn đề trên?</w:t>
            </w:r>
          </w:p>
          <w:p w:rsidR="008A1501" w:rsidRPr="00141290" w:rsidRDefault="008A1501" w:rsidP="008A1501">
            <w:pPr>
              <w:rPr>
                <w:rFonts w:asciiTheme="majorHAnsi" w:hAnsiTheme="majorHAnsi" w:cstheme="majorHAnsi"/>
                <w:b/>
                <w:sz w:val="22"/>
                <w:szCs w:val="22"/>
                <w:lang w:val="en-US"/>
              </w:rPr>
            </w:pPr>
          </w:p>
        </w:tc>
        <w:tc>
          <w:tcPr>
            <w:tcW w:w="5835" w:type="dxa"/>
          </w:tcPr>
          <w:p w:rsidR="008A1501" w:rsidRPr="00141290" w:rsidRDefault="008A1501" w:rsidP="008A1501">
            <w:pPr>
              <w:spacing w:before="120"/>
              <w:ind w:firstLine="459"/>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Hiện nay, trên địa bàn thành phố có khoảng 80 dự án đã được chấp thuận chủ trương đầu tư, cấp giấy chứng nhận đăng ký đầu tư với tổng mức đầu tư khoảng 8.500 tỷ đồng. Nhiều dự án lớn đã hoàn thành, đi vào hoạt động, phát huy hiệu quả, giải quyết nhiều việc làm, thúc đẩy phát triển kinh tế - xã hội của tỉnh nói chung và thành phố Hà Tĩnh nói riêng . </w:t>
            </w:r>
          </w:p>
          <w:p w:rsidR="008A1501" w:rsidRPr="00141290" w:rsidRDefault="008A1501" w:rsidP="008A1501">
            <w:pPr>
              <w:spacing w:before="120"/>
              <w:ind w:firstLine="459"/>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Qua tổng hợp, theo dõi, kiểm tra tình hình triển khai các dự án trên địa bàn thành phố Hà Tĩnh có khoảng 60 dự án đã đi vào hoạt động (bao gồm cả các dự án đã đi vào hoạt động nhưng vẫn chưa hoàn thành toàn bộ các hạng mục); có khoảng 20 dự án chưa đi vào hoạt động, (trong số này gồm: 10 dự án đang triển khai thi công xây dựng  và 10 dự án đang trong quá trình hoàn </w:t>
            </w:r>
            <w:r w:rsidRPr="00141290">
              <w:rPr>
                <w:rFonts w:asciiTheme="majorHAnsi" w:hAnsiTheme="majorHAnsi" w:cstheme="majorHAnsi"/>
                <w:sz w:val="22"/>
                <w:szCs w:val="22"/>
                <w:lang w:val="en-US"/>
              </w:rPr>
              <w:lastRenderedPageBreak/>
              <w:t xml:space="preserve">thiện hồ sơ, thủ tục). Cá biệt có một số dự án đã được cấp Giấy chứng nhận đầu tư, chủ trương đầu tư, cho thuê đất nhưng đến nay chưa thực hiện như: Dự án Bệnh viện Đa khoa Ngọc Linh, Khu nhà ở Xuân Thành Land; Dự án Khánh sạn Đông Á 2… </w:t>
            </w:r>
          </w:p>
          <w:p w:rsidR="008A1501" w:rsidRPr="00141290" w:rsidRDefault="008A1501" w:rsidP="008A1501">
            <w:pPr>
              <w:spacing w:before="120"/>
              <w:ind w:firstLine="459"/>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Nhìn chung, trong số các lĩnh vực được chấp thuận chủ trương đầu tư thời gian qua thì các dự án đầu tư vào lĩnh vực giáo dục (chủ yếu là các trường mầm non), các dự án đầu tư thương mại dịch vụ (kho bãi tập kết, trung bày và bán sản phẩm) có tiến độ triển khai khá tốt (tuy số lượng các dự án này không lớn nhưng đa số sau khi được chấp thuận chủ trương đầu tư thì các nhà đầu tư tích cực triển khai).</w:t>
            </w:r>
          </w:p>
          <w:p w:rsidR="008A1501" w:rsidRPr="00141290" w:rsidRDefault="008A1501" w:rsidP="008A1501">
            <w:pPr>
              <w:spacing w:before="120"/>
              <w:ind w:firstLine="459"/>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Tuy nhiên, vẫn còn nhiều dự án đang chậm tiến độ, tập trung tại một số lĩnh vực như: Lĩnh vực du lịch và các dự án đầu tư phát triển đô thị với quy mô và diện tích sử dụng đất lớn, cụ thể: Dự án Khu nhà ở Xuân Thành Land; Khách sạn Đông Á2, Tổ hợp khách sạn - TM, dịch vụ tổng hợp Nguyễn Hưng; Dự án Trung thâm Thương mại, khách sạn Villa BMC - Việt Trung; Trung tâm tổ chức sự kiện văn hóa Đức Tài, Bệnh viên đa khoa Ngọc Linh…</w:t>
            </w:r>
          </w:p>
          <w:p w:rsidR="008A1501" w:rsidRPr="00141290" w:rsidRDefault="008A1501" w:rsidP="008A1501">
            <w:pPr>
              <w:spacing w:before="120"/>
              <w:ind w:firstLine="459"/>
              <w:jc w:val="both"/>
              <w:rPr>
                <w:rFonts w:asciiTheme="majorHAnsi" w:hAnsiTheme="majorHAnsi" w:cstheme="majorHAnsi"/>
                <w:sz w:val="22"/>
                <w:szCs w:val="22"/>
                <w:lang w:val="en-US"/>
              </w:rPr>
            </w:pPr>
          </w:p>
        </w:tc>
        <w:tc>
          <w:tcPr>
            <w:tcW w:w="2977" w:type="dxa"/>
          </w:tcPr>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lastRenderedPageBreak/>
              <w:t>Một số nguyên nhân chủ yếu dẫn đến việc triển khai dự án chậm là do:</w:t>
            </w:r>
          </w:p>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t xml:space="preserve">(1) Phần lớn các dự án chậm tiến độ là các dự án đầu tư trong lĩnh vực không thuộc đối tượng Nhà nước thu hồi đất (Nhà đầu tư phải tự thỏa thuận giá bồi thường với người sử dụng đất) nên mất rất nhiều thời gian để đạt được mức giá đền bù, hài hòa lợi ích giữa hai bên dẫn đến công tác bồi thường giải phóng </w:t>
            </w:r>
            <w:r w:rsidRPr="00141290">
              <w:rPr>
                <w:rFonts w:asciiTheme="majorHAnsi" w:hAnsiTheme="majorHAnsi" w:cstheme="majorHAnsi"/>
                <w:iCs/>
                <w:noProof/>
                <w:color w:val="000000" w:themeColor="text1"/>
                <w:sz w:val="22"/>
                <w:szCs w:val="22"/>
                <w:lang w:val="nb-NO"/>
              </w:rPr>
              <w:lastRenderedPageBreak/>
              <w:t>mặt bằng chậm so với thời gian dự kiến ban đầu.</w:t>
            </w:r>
          </w:p>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t>(2) Cơ sở hạ tầng ở một số khu vực thực hiện dự án chưa đảm bảo, nhất là hạ tầng về giao thông, nhiều điểm chưa có đấu nối với quốc lộ nên mất nhiều thời gian để hoàn thành thủ tục đấu nối theo quy định.</w:t>
            </w:r>
          </w:p>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t xml:space="preserve">(3) Một số Nhà đầu tư chưa nắm vững quy trình thủ tục thực hiện dự án, dẫn đến những vi phạm trong quá trình triển khai, như: thi công công trình khi chưa giấy phép xây dựng, chưa hoàn thành các thủ tục về đất đai, môi trường; xây dựng sai quy hoạch được duyệt… Do đó, khi cơ quan Nhà nước có thẩm quyền kiểm tra, phát hiện và xử lý vi phạm, thì phải tạm dừng dự án và nhà đầu tư mất thời gian để khắc phục vi phạm đó. </w:t>
            </w:r>
          </w:p>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t xml:space="preserve">(4) Năng lực tài chính thực tế và tiến độ huy động vốn của các nhà đầu tư chưa đảm bảo theo kế hoạch đề ra trong nội dung dự án và văn bản cam kết ban đầu; bên canh đó, có một số dự án trong quá trình xây dựng, diễn biến thị trường tiêu thụ sản phẩm có sự thay đổi không thuận lợi nên Nhà đầu tư có phần chững lại để tiếp tục khảo </w:t>
            </w:r>
            <w:r w:rsidRPr="00141290">
              <w:rPr>
                <w:rFonts w:asciiTheme="majorHAnsi" w:hAnsiTheme="majorHAnsi" w:cstheme="majorHAnsi"/>
                <w:iCs/>
                <w:noProof/>
                <w:color w:val="000000" w:themeColor="text1"/>
                <w:sz w:val="22"/>
                <w:szCs w:val="22"/>
                <w:lang w:val="nb-NO"/>
              </w:rPr>
              <w:lastRenderedPageBreak/>
              <w:t>sát, tìm kiếm thị trường tiêu thụ sản phẩm đầu ra.</w:t>
            </w:r>
          </w:p>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t>(5) Công tác kiểm tra, giám sát của các ngành và địa phương vùng thực hiện dự án còn hạn chế, chưa kịp thời có phương án xử lý hoặc tham mưu cấp có thẩm quyền xử lý những vi phạm hoặc đôn đốc nhà đầu tư triển khai thực hiện dự án đúng tiến độ.</w:t>
            </w:r>
          </w:p>
          <w:p w:rsidR="008A1501" w:rsidRPr="00141290" w:rsidRDefault="008A1501" w:rsidP="008A1501">
            <w:pPr>
              <w:jc w:val="both"/>
              <w:rPr>
                <w:rFonts w:asciiTheme="majorHAnsi" w:hAnsiTheme="majorHAnsi" w:cstheme="majorHAnsi"/>
                <w:i/>
                <w:noProof/>
                <w:color w:val="000000" w:themeColor="text1"/>
                <w:sz w:val="22"/>
                <w:szCs w:val="22"/>
                <w:lang w:val="nb-NO"/>
              </w:rPr>
            </w:pPr>
          </w:p>
        </w:tc>
        <w:tc>
          <w:tcPr>
            <w:tcW w:w="3273" w:type="dxa"/>
          </w:tcPr>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lastRenderedPageBreak/>
              <w:t>Giải pháp. Thời gian tới, để khắc phục tình trạng dự án được chấp thuận nhưng không triển khai hoặc chậm tiến độ gây lãng phí quỹ đất, ảnh hưởng đến mục tiêu phát triển kinh tế - xã hội; cần tập trung triển khai một số nhiệm vụ, giải pháp sau:</w:t>
            </w:r>
          </w:p>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t xml:space="preserve">(1) Cập nhật, công bố, công khai đầy đủ thông tin các quy hoạch đã được duyệt, nhất là các quy hoạch xây dựng, quy hoạch sử dụng đất,... trên các phương tiện thông </w:t>
            </w:r>
            <w:r w:rsidRPr="00141290">
              <w:rPr>
                <w:rFonts w:asciiTheme="majorHAnsi" w:hAnsiTheme="majorHAnsi" w:cstheme="majorHAnsi"/>
                <w:iCs/>
                <w:noProof/>
                <w:color w:val="000000" w:themeColor="text1"/>
                <w:sz w:val="22"/>
                <w:szCs w:val="22"/>
                <w:lang w:val="nb-NO"/>
              </w:rPr>
              <w:lastRenderedPageBreak/>
              <w:t>tin đại chúng, công thông tin điện tử của các sở, ngành, địa phương và tại các trung tâm hành chính công tỉnh, huyện giúp nhà đầu tư dễ dàng tiếp cận, tìm hiểu để có định hướng trong đầu tư. Ưu tiên bố trí nguồn lực đầu tư cơ sở hạ tầng, nhất là hệ thống giao thông, đường gom, hạ tầng khu công nghiệp, tạo điều kiện thuận lợi cho các Nhà đầu tư triển khai thực hiện dự án.</w:t>
            </w:r>
          </w:p>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t>(2) Tăng cường công tác phối hợp kiểm tra, rà soát các dự án; xử lý nghiêm những dự án vi phạm, đảm bảo tính kỷ luật, kỷ cương; kiên quyết thu hồi đối với những dự án không triển khai hoặc không có năng lực triển khai thực hiện, vi phạm những quy định thuộc trường hợp thu hồi dự án, tạo quỹ đất cho các Nhà đầu tư khác nghiên cứu, đề xuất đầu tư.</w:t>
            </w:r>
          </w:p>
          <w:p w:rsidR="008A1501" w:rsidRPr="00141290" w:rsidRDefault="008A1501" w:rsidP="008A1501">
            <w:pPr>
              <w:jc w:val="both"/>
              <w:rPr>
                <w:rFonts w:asciiTheme="majorHAnsi" w:hAnsiTheme="majorHAnsi" w:cstheme="majorHAnsi"/>
                <w:iCs/>
                <w:noProof/>
                <w:color w:val="000000" w:themeColor="text1"/>
                <w:sz w:val="22"/>
                <w:szCs w:val="22"/>
                <w:lang w:val="nb-NO"/>
              </w:rPr>
            </w:pPr>
            <w:r w:rsidRPr="00141290">
              <w:rPr>
                <w:rFonts w:asciiTheme="majorHAnsi" w:hAnsiTheme="majorHAnsi" w:cstheme="majorHAnsi"/>
                <w:iCs/>
                <w:noProof/>
                <w:color w:val="000000" w:themeColor="text1"/>
                <w:sz w:val="22"/>
                <w:szCs w:val="22"/>
                <w:lang w:val="nb-NO"/>
              </w:rPr>
              <w:t xml:space="preserve">(3) Nâng cao vai trò tư vấn, hướng dẫn, hỗ trợ Nhà đầu tư của Trung tâm Hỗ trợ phát triển doanh nghiệp và Xúc tiến đầu tư tỉnh, cần định hướng cho các Nhà đầu tư trong quá trình đề xuất dự án, tránh việc đầu tư theo phong trào dẫn đến mất cân đối về thị trường tiêu thụ sản phẩm đầu ra; đồng thời nâng cao chất lượng công tác thẩm định chấp thuận đầu tư các dự án của </w:t>
            </w:r>
            <w:r w:rsidRPr="00141290">
              <w:rPr>
                <w:rFonts w:asciiTheme="majorHAnsi" w:hAnsiTheme="majorHAnsi" w:cstheme="majorHAnsi"/>
                <w:iCs/>
                <w:noProof/>
                <w:color w:val="000000" w:themeColor="text1"/>
                <w:sz w:val="22"/>
                <w:szCs w:val="22"/>
                <w:lang w:val="nb-NO"/>
              </w:rPr>
              <w:lastRenderedPageBreak/>
              <w:t xml:space="preserve">các sở ngành, xem xét, thẩm định kỹ năng lực của Nhà đầu tư và tính hiệu quả của dự án. </w:t>
            </w:r>
          </w:p>
          <w:p w:rsidR="008A1501" w:rsidRPr="00141290" w:rsidRDefault="008A1501" w:rsidP="008A1501">
            <w:pPr>
              <w:ind w:firstLine="31"/>
              <w:jc w:val="both"/>
              <w:rPr>
                <w:rFonts w:asciiTheme="majorHAnsi" w:hAnsiTheme="majorHAnsi" w:cstheme="majorHAnsi"/>
                <w:i/>
                <w:noProof/>
                <w:color w:val="000000" w:themeColor="text1"/>
                <w:spacing w:val="-4"/>
                <w:sz w:val="22"/>
                <w:szCs w:val="22"/>
              </w:rPr>
            </w:pPr>
            <w:r w:rsidRPr="00141290">
              <w:rPr>
                <w:rFonts w:asciiTheme="majorHAnsi" w:hAnsiTheme="majorHAnsi" w:cstheme="majorHAnsi"/>
                <w:iCs/>
                <w:noProof/>
                <w:color w:val="000000" w:themeColor="text1"/>
                <w:sz w:val="22"/>
                <w:szCs w:val="22"/>
                <w:lang w:val="nb-NO"/>
              </w:rPr>
              <w:t>(4) Nâng cao vai trò, trách nhiệm của các sở, ngành và địa phương trong công tác hỗ trợ nhà đầu tư triển khai thực hiện dự án, kịp thời xử lý hoặc kiến nghị cấp có thẩm quyền xử lý những khó khăn, vướng mắc.</w:t>
            </w:r>
          </w:p>
        </w:tc>
        <w:tc>
          <w:tcPr>
            <w:tcW w:w="583" w:type="dxa"/>
          </w:tcPr>
          <w:p w:rsidR="008A1501" w:rsidRPr="00141290" w:rsidRDefault="008A1501" w:rsidP="008A1501">
            <w:pPr>
              <w:rPr>
                <w:rFonts w:asciiTheme="majorHAnsi" w:hAnsiTheme="majorHAnsi" w:cstheme="majorHAnsi"/>
                <w:noProof/>
                <w:color w:val="000000" w:themeColor="text1"/>
                <w:sz w:val="22"/>
                <w:szCs w:val="22"/>
              </w:rPr>
            </w:pPr>
          </w:p>
        </w:tc>
      </w:tr>
      <w:tr w:rsidR="008A1501" w:rsidRPr="00141290" w:rsidTr="008A1501">
        <w:trPr>
          <w:trHeight w:val="475"/>
        </w:trPr>
        <w:tc>
          <w:tcPr>
            <w:tcW w:w="680" w:type="dxa"/>
          </w:tcPr>
          <w:p w:rsidR="008A1501" w:rsidRPr="00141290" w:rsidRDefault="008A1501" w:rsidP="008A1501">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lastRenderedPageBreak/>
              <w:t>Câu 94</w:t>
            </w:r>
          </w:p>
        </w:tc>
        <w:tc>
          <w:tcPr>
            <w:tcW w:w="2954" w:type="dxa"/>
          </w:tcPr>
          <w:p w:rsidR="008A1501" w:rsidRPr="00141290" w:rsidRDefault="008A1501" w:rsidP="008A1501">
            <w:pPr>
              <w:rPr>
                <w:rFonts w:asciiTheme="majorHAnsi" w:hAnsiTheme="majorHAnsi" w:cstheme="majorHAnsi"/>
                <w:sz w:val="22"/>
                <w:szCs w:val="22"/>
                <w:lang w:val="en-US"/>
              </w:rPr>
            </w:pPr>
            <w:r w:rsidRPr="00141290">
              <w:rPr>
                <w:rFonts w:asciiTheme="majorHAnsi" w:hAnsiTheme="majorHAnsi" w:cstheme="majorHAnsi"/>
                <w:sz w:val="22"/>
                <w:szCs w:val="22"/>
                <w:lang w:val="en-US"/>
              </w:rPr>
              <w:t>Thời gian qua cả hệ thống chính trị của tỉnh đã tập trung công tác đảm bảo an ninh trật tự, tạo điều kiện để Công ty Formosa đưa lò cao số 1, số 2 vào hoạt động. Tuy nhiên, việc thu hút các nhà đầu tư thứ cấp vào địa bàn thị xã Kỳ Anh vẫn thấp. Đề nghị Ủy ban nhân dân tỉnh cho biết giải pháp trong thời gian tới.</w:t>
            </w:r>
          </w:p>
        </w:tc>
        <w:tc>
          <w:tcPr>
            <w:tcW w:w="5835" w:type="dxa"/>
          </w:tcPr>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Dự án Khu liên hợp gang thép Formosa Hà Tĩnh có tổng vốn đầu tư trên 11 tỷ USD, quy mô hiện đại, công suất 7 triệu tấn thép/năm; sản phẩm thép của Formosa là sản phẩm có chất lượng cao như: phôi thép dẹt, phôi thép lớn/nhỏ, thép cuộn cán nóng, thép dây; là nguyên liệu cung cấp cho các Tập đoàn, doanh nghiệp lớn trong và ngoài nước để sản xuất các loại thép khác, các sản phẩm sau thép, như: vật liệu sản xuất linh kiện ô tô, xe máy, sản xuất ốc vít có chất lượng cao, cáp, vật liệu dùng cho sản xuất xe máy, ô tô, vật liệu gia dụng, thép carbon cao, thép chịu nhiệt, các linh kiện có yêu cầu cường độ cao..., có thể sử dụng sản xuất các ngành công nghiệp như: chế tạo cấu trúc linh kiện xe máy, thùng ô tô, bình gas, ống dầu, đóng tàu, điện gia dụng và cầu cống .v.v…</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Để thúc đẩy phát triển công nghiệp, đáp ứng nhu cầu tìm hiểu và đầu tư trong lĩnh vực công nghiệp hỗ trợ, công nghiệp sau thép, tháng 3/2019 tỉnh Hà Tĩnh đã tổ chức Hội thảo kết nối doanh nghiệp đầu tư, cung cấp, sử dụng nguyên vật liệu, sản phẩm của công nghiệp gang thép, đã thu hút gần 400 đại biểu tham dự, trong đó có 300 đại biểu đến trên 200 tập đoàn, tổng công ty, hiệp hội, doanh nghiệp trên địa bàn cả nước và quốc tế (trong đó có 25 doanh nghiệp nước ngoài). Tại Hội thảo đã có 3 </w:t>
            </w:r>
            <w:r w:rsidRPr="00141290">
              <w:rPr>
                <w:rFonts w:asciiTheme="majorHAnsi" w:hAnsiTheme="majorHAnsi" w:cstheme="majorHAnsi"/>
                <w:sz w:val="22"/>
                <w:szCs w:val="22"/>
                <w:lang w:val="en-US"/>
              </w:rPr>
              <w:lastRenderedPageBreak/>
              <w:t>dự án đầu tư đã được ký kết, với tổng vốn đầu tư trên 800 tỷ đồng nhằm đầu tư trong các lĩnh vực sản xuất kim khí công nghệ cao, hóa chất, Khí thiên nhiên hóa lỏng (LNG) và khí dầu mỏ hóa lỏng (LPG); đến nay về cơ bản các dự án này đã được triển khai thực hiện theo đúng tiến độ.</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Hiện nay, trên địa bàn thị xã Kỳ Anh bao gồm cả Khu kinh tế Vũng Áng đã có 190 dự án đầu tư, trong đó: 133 dự án đầu tư trong nước; 57 dự án đầu tư nước ngoài (riêng khu kinh tế Vũng Áng có 83 dự án đầu tư trong nước và 57 dự án đầu tư nước ngoài với tổng số vốn đăng ký khoảng 53 ngàn tỷ đồng và 13 tỷ USD). Một số dự án lớn đã hoàn thành và đi vào hoạt động, đáp ứng mục tiêu đề ra, phát huy hiệu quả đầu tư, giải quyết nhiều việc làm, thúc đẩy phát triển kinh tế - xã hội của tỉnh nói chung và địa phương vùng thực hiện dự án nói riêng như: Dự án Khu liên hợp gang thép và cảng Sơn Dương của Tập đoàn Formosa; Nhà máy Nhiệt điện Vũng Áng; các cầu cảng tại cảng Vũng Áng. </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Nhằm thu hút đầu tư vào lĩnh vực công nghiệp hỗ trợ, tỉnh Hà Tĩnh đã ban hành Nghị quyết số 08-NQ/TU ngày 18/5/2018 về đẩy mạnh phát triển CN-TTCN của BCH Tỉnh ủy; Hội đồng nhân dân tỉnh đã ban hành Nghị quyết 86/2018/NQ-HĐND ngày 18/7/2018 quy định một số chính sách phát triển CN-TTCN tỉnh Hà Tĩnh đến năm 2025 và những năm tiếp theo. Đây chính là các nhóm chính sách hấp dẫn các nhà đầu tư và là động lực thúc đẩy phát triển sản xuất công nghiệp bền vững, góp phần đưa nền kinh tế tỉnh lên tầm mới trong thời gian tới. Ngoài ra, đã thành lập, phê duyệt quy hoạch chi tiết một số khu công nghiệp trên địa bàn, cụ thể:</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  KCN - Dịch vụ phụ trợ phía Tây Nam đường tránh Quốc lộ 1A thuộc Khu kinh tế Vũng Áng được UBND tỉnh phê duyệt Quy hoạch chi tiết tỷ lệ 1/2000  tại Quyết định số 195/QĐ-UBND ngày 18/01/2017 với tổng diện tích là 1.663,65ha, trong đó có 03 khu chức năng chính: KCN phụ trợ với diện tích khoảng </w:t>
            </w:r>
            <w:r w:rsidRPr="00141290">
              <w:rPr>
                <w:rFonts w:asciiTheme="majorHAnsi" w:hAnsiTheme="majorHAnsi" w:cstheme="majorHAnsi"/>
                <w:sz w:val="22"/>
                <w:szCs w:val="22"/>
                <w:lang w:val="en-US"/>
              </w:rPr>
              <w:lastRenderedPageBreak/>
              <w:t>478,49ha; Khu dịch vụ và chức năng hỗn hợp với diện tích 193,81ha; Khu trang trại và cây xanh khoảng 487,01ha.</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KCN phụ trợ tại khu vực cạnh hồ Mộc Hương được UBND tỉnh phê duyệt điều chỉnh Quy hoạch chi tiết tỷ lệ 1/2000 tại Quyết định số 2429/QĐ-UBND ngày 30/8/2016 với tổng diện tích 300ha. Thu hút đầu tư các ngành công nghiệp hỗ trợ cho công nghiệp nặng, công nghiệp thép và luyện kim; công nghiệp nhiệt điện; cơ khí chế tạo; cảng và dịch vụ hậu cảng; thiết bị điện tử, viễn thông và công nghệ thông tin; sản phẩm công nghệ mới, năng lượng tái tạo và một số ngành công nghiệp khác.</w:t>
            </w:r>
          </w:p>
        </w:tc>
        <w:tc>
          <w:tcPr>
            <w:tcW w:w="2977" w:type="dxa"/>
            <w:vAlign w:val="center"/>
          </w:tcPr>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lastRenderedPageBreak/>
              <w:t>- Việc thu hút đầu tư công nghiệp hỗ trợ của tỉnh Hà Tĩnh nói chung và thị xã Kỳ Anh nói riêng còn nhiều khó khăn do việc hình thành, kết nối các doanh nghiệp công nghiệp hỗ trợ theo chuỗi liên kết trong tỉnh, khu vực hay cả nước còn hạn chế</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Mặc dù tỉnh đã quan tâm đến phát triển công nghiệp hỗ trợ nhưng các doanh nghiệp, hợp tác xã trong và ngoài tỉnh nhận thức về vấn đề này chưa đầy đủ; bên cạnh đó chưa có chính sách thật sự ưu đãi cho doanh nghiệp đầu tư vào lĩnh vực công nghiệp hỗ trợ.</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 Chưa có nhiều doanh nghiệp đầu mối, đầu tàu trong việc liên kết, tiêu thụ sản phẩm </w:t>
            </w:r>
            <w:r w:rsidRPr="00141290">
              <w:rPr>
                <w:rFonts w:asciiTheme="majorHAnsi" w:hAnsiTheme="majorHAnsi" w:cstheme="majorHAnsi"/>
                <w:sz w:val="22"/>
                <w:szCs w:val="22"/>
                <w:lang w:val="en-US"/>
              </w:rPr>
              <w:lastRenderedPageBreak/>
              <w:t>công nghiệp cho doanh nghiệp địa phương. Hạ tầng cơ bản các khu kinh tế, khu công nghiệp, cụm công nghiệp mặc dù đã được quan tâm đầu tư nhưng chưa đồng bộ…</w:t>
            </w:r>
          </w:p>
          <w:p w:rsidR="008A1501" w:rsidRPr="00141290" w:rsidRDefault="008A1501" w:rsidP="008A1501">
            <w:pPr>
              <w:spacing w:before="60"/>
              <w:jc w:val="both"/>
              <w:rPr>
                <w:rFonts w:asciiTheme="majorHAnsi" w:hAnsiTheme="majorHAnsi" w:cstheme="majorHAnsi"/>
                <w:i/>
                <w:noProof/>
                <w:color w:val="000000" w:themeColor="text1"/>
                <w:sz w:val="22"/>
                <w:szCs w:val="22"/>
                <w:lang w:val="en-US"/>
              </w:rPr>
            </w:pPr>
          </w:p>
        </w:tc>
        <w:tc>
          <w:tcPr>
            <w:tcW w:w="3273" w:type="dxa"/>
            <w:vAlign w:val="center"/>
          </w:tcPr>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lastRenderedPageBreak/>
              <w:t xml:space="preserve">Giải pháp trong thời gian tới. </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Tiếp tục đẩy mạnh cải cách hành chính, nâng cao hiệu quả hoạt động của Trung tâm Hành chính công tỉnh và các trung tâm hành chính công cấp huyện; tạo điều kiện thuận lợi và đẩy nhanh tiến độ xử lý các hồ sơ thủ tục của các nhà đầu tư, đặc biệt là thủ tục chấp thuận chủ trương đầu tư.</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 Tiếp tục thực hiện các giải pháp thu hút đầu tư sản xuất sản phẩm công nghiệp hỗ trợ: Tăng cường công tác tuyên truyền, phổ biến thông tin về chính sách phát triển CNHT để thu hút nguồn lực xã hội đầu tư vào phát triển CNHT. </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 Tăng cường các giải pháp thu hút đầu tư, trong đó chú trọng các nhà sản xuất sản phẩm hoàn </w:t>
            </w:r>
            <w:r w:rsidRPr="00141290">
              <w:rPr>
                <w:rFonts w:asciiTheme="majorHAnsi" w:hAnsiTheme="majorHAnsi" w:cstheme="majorHAnsi"/>
                <w:sz w:val="22"/>
                <w:szCs w:val="22"/>
                <w:lang w:val="en-US"/>
              </w:rPr>
              <w:lastRenderedPageBreak/>
              <w:t>chỉnh và các nhà cung cấp cụm linh kiện đầu tư vào tỉnh. Đồng thời triển khai các chính sách ưu đãi, hỗ trợ cụ thể để khuyến khích các doanh nghiệp theo Nghị quyết số 86/2018/NQ-HĐND ngày 18/7/2018 của HĐND tỉnh.</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Tập trung huy động mọi nguồn lực xã hội xây dựng,hoàn thiện đồng bộ kết cấu hạ tầng, tiếp tục tập trung phát triển hạ tầng khu kinh tế, khu công nghiệp, cụm công nghiệp, hạ tầng thương mại…</w:t>
            </w:r>
          </w:p>
          <w:p w:rsidR="008A1501" w:rsidRPr="00141290" w:rsidRDefault="008A1501" w:rsidP="008A1501">
            <w:pPr>
              <w:spacing w:before="120"/>
              <w:ind w:firstLine="510"/>
              <w:jc w:val="both"/>
              <w:rPr>
                <w:rFonts w:asciiTheme="majorHAnsi" w:hAnsiTheme="majorHAnsi" w:cstheme="majorHAnsi"/>
                <w:sz w:val="22"/>
                <w:szCs w:val="22"/>
                <w:lang w:val="en-US"/>
              </w:rPr>
            </w:pPr>
            <w:r w:rsidRPr="00141290">
              <w:rPr>
                <w:rFonts w:asciiTheme="majorHAnsi" w:hAnsiTheme="majorHAnsi" w:cstheme="majorHAnsi"/>
                <w:sz w:val="22"/>
                <w:szCs w:val="22"/>
                <w:lang w:val="en-US"/>
              </w:rPr>
              <w:t>- Đẩy mạnh phát triển nguồn nhân lực, đào tạo nghề; phát huy hiệu quả hoạt động của Trường Đại học Hà Tĩnh, các trường cao đẳng, dạy nghề trên toàn tỉnh; chú trọng các ngành nghề về công nghiệp hỗ trợ.</w:t>
            </w:r>
          </w:p>
          <w:p w:rsidR="008A1501" w:rsidRPr="00141290" w:rsidRDefault="008A1501" w:rsidP="008A1501">
            <w:pPr>
              <w:spacing w:before="60"/>
              <w:jc w:val="both"/>
              <w:rPr>
                <w:rFonts w:asciiTheme="majorHAnsi" w:hAnsiTheme="majorHAnsi" w:cstheme="majorHAnsi"/>
                <w:i/>
                <w:noProof/>
                <w:color w:val="000000" w:themeColor="text1"/>
                <w:sz w:val="22"/>
                <w:szCs w:val="22"/>
              </w:rPr>
            </w:pPr>
            <w:r w:rsidRPr="00141290">
              <w:rPr>
                <w:rFonts w:asciiTheme="majorHAnsi" w:hAnsiTheme="majorHAnsi" w:cstheme="majorHAnsi"/>
                <w:sz w:val="22"/>
                <w:szCs w:val="22"/>
                <w:lang w:val="en-US"/>
              </w:rPr>
              <w:t>- Nâng cao năng lực doanh nghiệp: Tổ chức/phối hợp tổ chức các lớp đào tạo, tập huấn cho các doanh nghiệp hoạt động trong lĩnh vực CNHT trên địa bàn; tổ chức các lớp đào tạo, bồi dưỡng, truyền nghề nhằm nâng cao tay nghề cho người lao động; khuyến khích các doanh nghiệp FDI tham gia vào công tác đào tạo nguồn nhân lực.</w:t>
            </w:r>
          </w:p>
        </w:tc>
        <w:tc>
          <w:tcPr>
            <w:tcW w:w="583" w:type="dxa"/>
          </w:tcPr>
          <w:p w:rsidR="008A1501" w:rsidRPr="00141290" w:rsidRDefault="008A1501" w:rsidP="008A1501">
            <w:pPr>
              <w:rPr>
                <w:rFonts w:asciiTheme="majorHAnsi" w:hAnsiTheme="majorHAnsi" w:cstheme="majorHAnsi"/>
                <w:noProof/>
                <w:color w:val="000000" w:themeColor="text1"/>
                <w:sz w:val="22"/>
                <w:szCs w:val="22"/>
              </w:rPr>
            </w:pPr>
          </w:p>
        </w:tc>
      </w:tr>
      <w:tr w:rsidR="008A1501" w:rsidRPr="00141290" w:rsidTr="008A1501">
        <w:trPr>
          <w:trHeight w:val="475"/>
        </w:trPr>
        <w:tc>
          <w:tcPr>
            <w:tcW w:w="680" w:type="dxa"/>
          </w:tcPr>
          <w:p w:rsidR="008A1501" w:rsidRPr="00141290" w:rsidRDefault="008A1501" w:rsidP="00D13243">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lastRenderedPageBreak/>
              <w:t>Câu 145</w:t>
            </w:r>
          </w:p>
        </w:tc>
        <w:tc>
          <w:tcPr>
            <w:tcW w:w="2954" w:type="dxa"/>
          </w:tcPr>
          <w:p w:rsidR="008A1501" w:rsidRPr="00141290" w:rsidRDefault="008A1501" w:rsidP="00D13243">
            <w:pPr>
              <w:rPr>
                <w:rFonts w:asciiTheme="majorHAnsi" w:hAnsiTheme="majorHAnsi" w:cstheme="majorHAnsi"/>
                <w:sz w:val="22"/>
                <w:szCs w:val="22"/>
                <w:lang w:val="en-US"/>
              </w:rPr>
            </w:pPr>
            <w:r w:rsidRPr="00141290">
              <w:rPr>
                <w:rFonts w:asciiTheme="majorHAnsi" w:hAnsiTheme="majorHAnsi" w:cstheme="majorHAnsi"/>
                <w:sz w:val="22"/>
                <w:szCs w:val="22"/>
                <w:lang w:val="en-US"/>
              </w:rPr>
              <w:t>Việc đầu tư các nhà máy xử lý rác, dự án cấp nước sạch chậm tiến độ, ảnh hưởng đến môi trường, đời sống, sinh hoạt của Nhân dân; thời gian chấp thuận chủ trương đầu tư xây dựng một số lò xử lý rác thải tối đa chỉ 15 năm nên khó khăn trong thu hút đầu tư. Đề nghị Ủy ban nhân dân tỉnh cho biết nguyên nhân và giải pháp trong thời gian tới.</w:t>
            </w:r>
          </w:p>
        </w:tc>
        <w:tc>
          <w:tcPr>
            <w:tcW w:w="5835" w:type="dxa"/>
          </w:tcPr>
          <w:p w:rsidR="008A1501" w:rsidRPr="00141290" w:rsidRDefault="008A1501" w:rsidP="00D13243">
            <w:pPr>
              <w:rPr>
                <w:rFonts w:asciiTheme="majorHAnsi" w:hAnsiTheme="majorHAnsi" w:cstheme="majorHAnsi"/>
                <w:bCs/>
                <w:sz w:val="22"/>
                <w:szCs w:val="22"/>
                <w:lang w:val="en-US"/>
              </w:rPr>
            </w:pPr>
            <w:r w:rsidRPr="00141290">
              <w:rPr>
                <w:rFonts w:asciiTheme="majorHAnsi" w:hAnsiTheme="majorHAnsi" w:cstheme="majorHAnsi"/>
                <w:bCs/>
                <w:sz w:val="22"/>
                <w:szCs w:val="22"/>
                <w:lang w:val="nl-NL"/>
              </w:rPr>
              <w:t>- Hiện nay, trên địa bàn tỉnh có 09 dự án xử lý rác thải sinh hoạt và công nghiệp</w:t>
            </w:r>
            <w:r w:rsidRPr="00141290">
              <w:rPr>
                <w:rFonts w:asciiTheme="majorHAnsi" w:hAnsiTheme="majorHAnsi" w:cstheme="majorHAnsi"/>
                <w:bCs/>
                <w:sz w:val="22"/>
                <w:szCs w:val="22"/>
                <w:vertAlign w:val="superscript"/>
                <w:lang w:val="nl-NL"/>
              </w:rPr>
              <w:footnoteReference w:id="1"/>
            </w:r>
            <w:r w:rsidRPr="00141290">
              <w:rPr>
                <w:rFonts w:asciiTheme="majorHAnsi" w:hAnsiTheme="majorHAnsi" w:cstheme="majorHAnsi"/>
                <w:bCs/>
                <w:sz w:val="22"/>
                <w:szCs w:val="22"/>
                <w:lang w:val="nl-NL"/>
              </w:rPr>
              <w:t xml:space="preserve"> đã được chấp thuận chủ trương đầu tư. Trong đó:</w:t>
            </w:r>
            <w:r w:rsidRPr="00141290">
              <w:rPr>
                <w:rFonts w:asciiTheme="majorHAnsi" w:hAnsiTheme="majorHAnsi" w:cstheme="majorHAnsi"/>
                <w:bCs/>
                <w:sz w:val="22"/>
                <w:szCs w:val="22"/>
                <w:lang w:val="en-US"/>
              </w:rPr>
              <w:t>có 07 dự án đã đầu tư hoàn thành và đưa vào sử dụng, góp phần giải quyết nhu cầu xử lý rác thải sinh hoạt trên địa bàn, còn 02 dự án đang tiến hành đầu tư, chậm tiến độ và đã thu hồi 01 dự án</w:t>
            </w:r>
            <w:r w:rsidRPr="00141290">
              <w:rPr>
                <w:rFonts w:asciiTheme="majorHAnsi" w:hAnsiTheme="majorHAnsi" w:cstheme="majorHAnsi"/>
                <w:bCs/>
                <w:sz w:val="22"/>
                <w:szCs w:val="22"/>
                <w:vertAlign w:val="superscript"/>
                <w:lang w:val="en-US"/>
              </w:rPr>
              <w:footnoteReference w:id="2"/>
            </w:r>
            <w:r w:rsidRPr="00141290">
              <w:rPr>
                <w:rFonts w:asciiTheme="majorHAnsi" w:hAnsiTheme="majorHAnsi" w:cstheme="majorHAnsi"/>
                <w:bCs/>
                <w:sz w:val="22"/>
                <w:szCs w:val="22"/>
                <w:lang w:val="en-US"/>
              </w:rPr>
              <w:t>.</w:t>
            </w:r>
          </w:p>
          <w:p w:rsidR="008A1501" w:rsidRPr="00141290" w:rsidRDefault="008A1501" w:rsidP="00D13243">
            <w:pPr>
              <w:rPr>
                <w:rFonts w:asciiTheme="majorHAnsi" w:hAnsiTheme="majorHAnsi" w:cstheme="majorHAnsi"/>
                <w:bCs/>
                <w:sz w:val="22"/>
                <w:szCs w:val="22"/>
                <w:lang w:val="nl-NL"/>
              </w:rPr>
            </w:pPr>
            <w:r w:rsidRPr="00141290">
              <w:rPr>
                <w:rFonts w:asciiTheme="majorHAnsi" w:hAnsiTheme="majorHAnsi" w:cstheme="majorHAnsi"/>
                <w:sz w:val="22"/>
                <w:szCs w:val="22"/>
                <w:lang w:val="en-US"/>
              </w:rPr>
              <w:t xml:space="preserve">-  Đã kêu gọi các nhà đầu tư  trong và ngoài nước có sử dụng công nghệ xử lý rác hiện đại, thân thiện với môi trường vào tìm hiểu để đầu tư xây dựng Nhà máy xử lý rác trên địa bàn như: Tập đoàn T-Tech; Công ty </w:t>
            </w:r>
            <w:r w:rsidRPr="00141290">
              <w:rPr>
                <w:rFonts w:asciiTheme="majorHAnsi" w:hAnsiTheme="majorHAnsi" w:cstheme="majorHAnsi"/>
                <w:bCs/>
                <w:sz w:val="22"/>
                <w:szCs w:val="22"/>
                <w:lang w:val="nl-NL"/>
              </w:rPr>
              <w:t>China Conch Venture Holdings Limited (Hồng Kông),.. đồng thời, để giải quyết nhu cầu trước mắt về xử lý rác thải cho một số địa phương, UBND tỉnh đã đồng ý chủ trương cho phép đầu tư xây dựng lò đốt rác tại một số huyện như Vũ Quang, Hương Khê từ nguồn NSNN.</w:t>
            </w:r>
          </w:p>
          <w:p w:rsidR="008A1501" w:rsidRPr="00141290" w:rsidRDefault="008A1501" w:rsidP="00D13243">
            <w:pPr>
              <w:rPr>
                <w:rFonts w:asciiTheme="majorHAnsi" w:hAnsiTheme="majorHAnsi" w:cstheme="majorHAnsi"/>
                <w:sz w:val="22"/>
                <w:szCs w:val="22"/>
                <w:lang w:val="en-US"/>
              </w:rPr>
            </w:pPr>
            <w:r w:rsidRPr="00141290">
              <w:rPr>
                <w:rFonts w:asciiTheme="majorHAnsi" w:hAnsiTheme="majorHAnsi" w:cstheme="majorHAnsi"/>
                <w:sz w:val="22"/>
                <w:szCs w:val="22"/>
                <w:lang w:val="en-US"/>
              </w:rPr>
              <w:t xml:space="preserve">- </w:t>
            </w:r>
            <w:r w:rsidRPr="00141290">
              <w:rPr>
                <w:rFonts w:asciiTheme="majorHAnsi" w:hAnsiTheme="majorHAnsi" w:cstheme="majorHAnsi"/>
                <w:bCs/>
                <w:sz w:val="22"/>
                <w:szCs w:val="22"/>
                <w:lang w:val="nl-NL"/>
              </w:rPr>
              <w:t xml:space="preserve"> Ban Thường vụ Tỉnh ủy đã có Thông báo kết luận số 1268-TB/TU ngày 21/5/2020 về đề án </w:t>
            </w:r>
            <w:r w:rsidRPr="00141290">
              <w:rPr>
                <w:rFonts w:asciiTheme="majorHAnsi" w:hAnsiTheme="majorHAnsi" w:cstheme="majorHAnsi"/>
                <w:sz w:val="22"/>
                <w:szCs w:val="22"/>
                <w:lang w:val="en-US"/>
              </w:rPr>
              <w:t xml:space="preserve">Thu gom, vận chuyển, xử lý </w:t>
            </w:r>
            <w:r w:rsidRPr="00141290">
              <w:rPr>
                <w:rFonts w:asciiTheme="majorHAnsi" w:hAnsiTheme="majorHAnsi" w:cstheme="majorHAnsi"/>
                <w:sz w:val="22"/>
                <w:szCs w:val="22"/>
                <w:lang w:val="en-US"/>
              </w:rPr>
              <w:lastRenderedPageBreak/>
              <w:t>chất thải rắn sinh hoạt trên địa bàn tỉnhđến năm 2025 và những năm tiếp theo, theo đó trong thời gian tới phải tiến hành rà soát, điều chỉnh, bổ sung quy hoạch các khu xử lý chất thải rắn sinh hoạt đáp ứng nhu cầu thu gom, vận chuyển và xử lý chất thải rắn toàn tỉnh theo từng giai đoạn</w:t>
            </w:r>
          </w:p>
          <w:p w:rsidR="008A1501" w:rsidRPr="00141290" w:rsidRDefault="008A1501" w:rsidP="00D13243">
            <w:pPr>
              <w:rPr>
                <w:rFonts w:asciiTheme="majorHAnsi" w:hAnsiTheme="majorHAnsi" w:cstheme="majorHAnsi"/>
                <w:bCs/>
                <w:sz w:val="22"/>
                <w:szCs w:val="22"/>
                <w:lang w:val="nl-NL"/>
              </w:rPr>
            </w:pPr>
            <w:r w:rsidRPr="00141290">
              <w:rPr>
                <w:rFonts w:asciiTheme="majorHAnsi" w:hAnsiTheme="majorHAnsi" w:cstheme="majorHAnsi"/>
                <w:sz w:val="22"/>
                <w:szCs w:val="22"/>
                <w:lang w:val="en-US"/>
              </w:rPr>
              <w:t xml:space="preserve">- Trên cơ sở quy hoạch (hoặc bổ sung quy hoạch mới), thu hút các nhà đầu tư chiến lược, đủ năng lực xây dựng nhà máy xử lý rác thải, đảm bảo hiệu quả và phát triển bền vững theo hướng hiện đại, thân thiện với môi trường, có tính chiến lược lâu dài. Dây chuyền xử lý chất thải phải đồng bộ, tuần hoàn khép kín, thu hồi năng lượng sau xử lý rác, không để phát sinh mùi hôi, khí thải, nước thải gây ô nhiễm môi trường.  </w:t>
            </w:r>
            <w:r w:rsidRPr="00141290">
              <w:rPr>
                <w:rFonts w:asciiTheme="majorHAnsi" w:hAnsiTheme="majorHAnsi" w:cstheme="majorHAnsi"/>
                <w:bCs/>
                <w:sz w:val="22"/>
                <w:szCs w:val="22"/>
                <w:lang w:val="nl-NL"/>
              </w:rPr>
              <w:t xml:space="preserve">hoàn thành các thủ tục để chấp thuận chủ trương đầu tư dự án Nhà máy đốt rác phát điện. </w:t>
            </w:r>
          </w:p>
          <w:p w:rsidR="008A1501" w:rsidRPr="00141290" w:rsidRDefault="008A1501" w:rsidP="00D13243">
            <w:pPr>
              <w:rPr>
                <w:rFonts w:asciiTheme="majorHAnsi" w:hAnsiTheme="majorHAnsi" w:cstheme="majorHAnsi"/>
                <w:bCs/>
                <w:sz w:val="22"/>
                <w:szCs w:val="22"/>
                <w:lang w:val="nl-NL"/>
              </w:rPr>
            </w:pPr>
            <w:r w:rsidRPr="00141290">
              <w:rPr>
                <w:rFonts w:asciiTheme="majorHAnsi" w:hAnsiTheme="majorHAnsi" w:cstheme="majorHAnsi"/>
                <w:bCs/>
                <w:sz w:val="22"/>
                <w:szCs w:val="22"/>
                <w:lang w:val="nl-NL"/>
              </w:rPr>
              <w:t xml:space="preserve"> - Hiện nay, Sở Tài nguyên và Môi trường đang hoàn thiện đề án, trình cấp có thẩm quyền thông qua, đây là cơ sở để trong thời gian tới nhằm kêu gọi các nhà đầu tư trong và ngoài nước đầu tư xây dựng Nhà máy xử lý rác thải có quy mô lớn, sớm hình thành các khu xử lý rác thải tập trong cho khu vực phía Bắc của tỉnh, đồng thời tiến tới thay thế các lò đốt rác, các nhà máy xử lý rác sử dụng công nghệ lạc hậu, không đảm bảo môi trường. </w:t>
            </w:r>
          </w:p>
          <w:p w:rsidR="008A1501" w:rsidRPr="00141290" w:rsidRDefault="008A1501" w:rsidP="00D13243">
            <w:pPr>
              <w:rPr>
                <w:rFonts w:asciiTheme="majorHAnsi" w:hAnsiTheme="majorHAnsi" w:cstheme="majorHAnsi"/>
                <w:bCs/>
                <w:sz w:val="22"/>
                <w:szCs w:val="22"/>
                <w:lang w:val="nl-NL"/>
              </w:rPr>
            </w:pPr>
            <w:r w:rsidRPr="00141290">
              <w:rPr>
                <w:rFonts w:asciiTheme="majorHAnsi" w:hAnsiTheme="majorHAnsi" w:cstheme="majorHAnsi"/>
                <w:bCs/>
                <w:sz w:val="22"/>
                <w:szCs w:val="22"/>
                <w:lang w:val="nl-NL"/>
              </w:rPr>
              <w:t xml:space="preserve">- </w:t>
            </w:r>
            <w:r w:rsidRPr="00141290">
              <w:rPr>
                <w:rFonts w:asciiTheme="majorHAnsi" w:hAnsiTheme="majorHAnsi" w:cstheme="majorHAnsi"/>
                <w:spacing w:val="-4"/>
                <w:sz w:val="22"/>
                <w:szCs w:val="22"/>
                <w:lang w:val="nl-NL"/>
              </w:rPr>
              <w:t xml:space="preserve"> </w:t>
            </w:r>
            <w:r w:rsidRPr="00141290">
              <w:rPr>
                <w:rFonts w:asciiTheme="majorHAnsi" w:hAnsiTheme="majorHAnsi" w:cstheme="majorHAnsi"/>
                <w:bCs/>
                <w:sz w:val="22"/>
                <w:szCs w:val="22"/>
                <w:lang w:val="nl-NL"/>
              </w:rPr>
              <w:t>Việc chấp thuận đầu tư các dự án lò đốt rác với thời hạn 15 nămn chủ yếu nhằm giải quyết nhu cầu cấp thiết trước mắt về xử lý rác thải trên địa bàn.Về lâu dài, theo ý  đề án thu gom và xử lỷ rác thải đã thương Ban thường vụ cho ý kiến, tiến tới sẽ chấm dứt các nhà máy, lò  đốt rác có công nghệ lạc hậu, để hình thành các khu xử lý rác thải  tập trung, quy mô lớn, công nghệ hiện đại và thân thiện với môi trường.</w:t>
            </w:r>
          </w:p>
          <w:p w:rsidR="008A1501" w:rsidRPr="00141290" w:rsidRDefault="008A1501" w:rsidP="00D13243">
            <w:pPr>
              <w:rPr>
                <w:rFonts w:asciiTheme="majorHAnsi" w:hAnsiTheme="majorHAnsi" w:cstheme="majorHAnsi"/>
                <w:sz w:val="22"/>
                <w:szCs w:val="22"/>
                <w:lang w:val="en-US"/>
              </w:rPr>
            </w:pPr>
          </w:p>
        </w:tc>
        <w:tc>
          <w:tcPr>
            <w:tcW w:w="2977" w:type="dxa"/>
          </w:tcPr>
          <w:p w:rsidR="008A1501" w:rsidRPr="00141290" w:rsidRDefault="008A1501" w:rsidP="00D13243">
            <w:pPr>
              <w:rPr>
                <w:rFonts w:asciiTheme="majorHAnsi" w:hAnsiTheme="majorHAnsi" w:cstheme="majorHAnsi"/>
                <w:sz w:val="22"/>
                <w:szCs w:val="22"/>
                <w:lang w:val="en-US"/>
              </w:rPr>
            </w:pPr>
          </w:p>
        </w:tc>
        <w:tc>
          <w:tcPr>
            <w:tcW w:w="3273" w:type="dxa"/>
          </w:tcPr>
          <w:p w:rsidR="008A1501" w:rsidRPr="00141290" w:rsidRDefault="008A1501" w:rsidP="00D13243">
            <w:pPr>
              <w:rPr>
                <w:rFonts w:asciiTheme="majorHAnsi" w:hAnsiTheme="majorHAnsi" w:cstheme="majorHAnsi"/>
                <w:sz w:val="22"/>
                <w:szCs w:val="22"/>
                <w:lang w:val="en-US"/>
              </w:rPr>
            </w:pPr>
            <w:r w:rsidRPr="00141290">
              <w:rPr>
                <w:rFonts w:asciiTheme="majorHAnsi" w:hAnsiTheme="majorHAnsi" w:cstheme="majorHAnsi"/>
                <w:sz w:val="22"/>
                <w:szCs w:val="22"/>
                <w:lang w:val="en-US"/>
              </w:rPr>
              <w:t>- Tổ chức rà soát, đánh giá công tác quản lý chất thải rắn trên địa bàn tỉnh trong thời gian qua để hoàn thiện Đề án quản lý chất thải rắn đến năm 2025 và những năm tiếp theo nhằm đảm bảo hình thành các các khu xử lý rác thải sinh hoạt có sử dụng công nghệ hiện đại, bảo vệ môi trường, giảm dần và tiến tới loại bỏ các công nghệ xử lý rác không còn phù hợp.</w:t>
            </w:r>
          </w:p>
          <w:p w:rsidR="008A1501" w:rsidRPr="00141290" w:rsidRDefault="008A1501" w:rsidP="00D13243">
            <w:pPr>
              <w:rPr>
                <w:rFonts w:asciiTheme="majorHAnsi" w:hAnsiTheme="majorHAnsi" w:cstheme="majorHAnsi"/>
                <w:bCs/>
                <w:sz w:val="22"/>
                <w:szCs w:val="22"/>
                <w:lang w:val="nl-NL"/>
              </w:rPr>
            </w:pPr>
            <w:r w:rsidRPr="00141290">
              <w:rPr>
                <w:rFonts w:asciiTheme="majorHAnsi" w:hAnsiTheme="majorHAnsi" w:cstheme="majorHAnsi"/>
                <w:bCs/>
                <w:sz w:val="22"/>
                <w:szCs w:val="22"/>
                <w:lang w:val="nl-NL"/>
              </w:rPr>
              <w:t xml:space="preserve">- Tập trung xử lý những vướng mắc về các thủ tục như: lựa chọn địa điểm đầu tư, cơ chế thu gom, vận chuyển, cơ chế giá xử lý rác... </w:t>
            </w:r>
            <w:r w:rsidRPr="00141290">
              <w:rPr>
                <w:rFonts w:asciiTheme="majorHAnsi" w:hAnsiTheme="majorHAnsi" w:cstheme="majorHAnsi"/>
                <w:bCs/>
                <w:sz w:val="22"/>
                <w:szCs w:val="22"/>
                <w:lang w:val="nl-NL"/>
              </w:rPr>
              <w:lastRenderedPageBreak/>
              <w:t>để thống nhất được phương án đề xuất khả thi, nhằm triển khai thực hiện có hiệu quả dự án Nhà máy đốt rác phát điện, sớm đưa dự án đi vào hoạt động, hạn chế tối đa việc chôn lấp như hiện nay.</w:t>
            </w:r>
          </w:p>
          <w:p w:rsidR="008A1501" w:rsidRPr="00141290" w:rsidRDefault="008A1501" w:rsidP="00D13243">
            <w:pPr>
              <w:rPr>
                <w:rFonts w:asciiTheme="majorHAnsi" w:hAnsiTheme="majorHAnsi" w:cstheme="majorHAnsi"/>
                <w:sz w:val="22"/>
                <w:szCs w:val="22"/>
                <w:lang w:val="en-US"/>
              </w:rPr>
            </w:pPr>
            <w:r w:rsidRPr="00141290">
              <w:rPr>
                <w:rFonts w:asciiTheme="majorHAnsi" w:hAnsiTheme="majorHAnsi" w:cstheme="majorHAnsi"/>
                <w:sz w:val="22"/>
                <w:szCs w:val="22"/>
                <w:lang w:val="nl-NL"/>
              </w:rPr>
              <w:t xml:space="preserve">- Ưu tiên bố trí đủ kinh phí hằngnăm cho các địa phương trong việc xử lý rác; hỗ trợ đầu tư xây dựng cơ sở hạ tầng ngoài hàng rào đối với các khu xử lý chất thải rắn sinh hoạt theo Nghị quyết </w:t>
            </w:r>
            <w:r w:rsidRPr="00141290">
              <w:rPr>
                <w:rFonts w:asciiTheme="majorHAnsi" w:hAnsiTheme="majorHAnsi" w:cstheme="majorHAnsi"/>
                <w:sz w:val="22"/>
                <w:szCs w:val="22"/>
                <w:lang w:val="en-US"/>
              </w:rPr>
              <w:t>79/2017/NQ-HĐND ngày 13/12/3017 của HĐND tỉnh về một số chính sách bảo vệ môi trường giai đoạn 2018-2020</w:t>
            </w:r>
          </w:p>
        </w:tc>
        <w:tc>
          <w:tcPr>
            <w:tcW w:w="583" w:type="dxa"/>
            <w:vAlign w:val="center"/>
          </w:tcPr>
          <w:p w:rsidR="008A1501" w:rsidRPr="00141290" w:rsidRDefault="008A1501" w:rsidP="00D13243">
            <w:pPr>
              <w:rPr>
                <w:rFonts w:asciiTheme="majorHAnsi" w:hAnsiTheme="majorHAnsi" w:cstheme="majorHAnsi"/>
                <w:noProof/>
                <w:color w:val="000000" w:themeColor="text1"/>
                <w:sz w:val="22"/>
                <w:szCs w:val="22"/>
              </w:rPr>
            </w:pPr>
          </w:p>
        </w:tc>
      </w:tr>
      <w:tr w:rsidR="00400B49" w:rsidRPr="00141290" w:rsidTr="008A1501">
        <w:trPr>
          <w:trHeight w:val="475"/>
        </w:trPr>
        <w:tc>
          <w:tcPr>
            <w:tcW w:w="680" w:type="dxa"/>
          </w:tcPr>
          <w:p w:rsidR="00400B49" w:rsidRPr="00141290" w:rsidRDefault="00400B49" w:rsidP="00D13243">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t>Câu 144</w:t>
            </w:r>
          </w:p>
        </w:tc>
        <w:tc>
          <w:tcPr>
            <w:tcW w:w="2954" w:type="dxa"/>
          </w:tcPr>
          <w:p w:rsidR="00400B49" w:rsidRPr="00141290" w:rsidRDefault="00400B49" w:rsidP="00D13243">
            <w:pPr>
              <w:rPr>
                <w:rFonts w:asciiTheme="majorHAnsi" w:hAnsiTheme="majorHAnsi" w:cstheme="majorHAnsi"/>
                <w:sz w:val="22"/>
                <w:szCs w:val="22"/>
              </w:rPr>
            </w:pPr>
            <w:r w:rsidRPr="00141290">
              <w:rPr>
                <w:rFonts w:asciiTheme="majorHAnsi" w:hAnsiTheme="majorHAnsi" w:cstheme="majorHAnsi"/>
                <w:sz w:val="22"/>
                <w:szCs w:val="22"/>
              </w:rPr>
              <w:t xml:space="preserve">Tổng nguồn lực đầu tư trên địa bàn toàn tỉnh năm 2019 thấp hơn năm 2018 và không đạt kế hoạch đề ra, ảnh hưởng đến </w:t>
            </w:r>
            <w:r w:rsidRPr="00141290">
              <w:rPr>
                <w:rFonts w:asciiTheme="majorHAnsi" w:hAnsiTheme="majorHAnsi" w:cstheme="majorHAnsi"/>
                <w:sz w:val="22"/>
                <w:szCs w:val="22"/>
              </w:rPr>
              <w:lastRenderedPageBreak/>
              <w:t>tốc độ tăng trưởng và động lực phát triển của tỉnh; trong khi đó nhiều dự án đã được thống nhất về chủ trương nhưng đến nay cơ bản chưa được triển khai. Đề nghị Ủy ban nhân dân tỉnh cho biết nguyên nhân chủ quan, trách nhiệm và giải pháp trong thời gian tới.</w:t>
            </w:r>
          </w:p>
        </w:tc>
        <w:tc>
          <w:tcPr>
            <w:tcW w:w="5835" w:type="dxa"/>
          </w:tcPr>
          <w:p w:rsidR="00400B49" w:rsidRPr="00400B49" w:rsidRDefault="00400B49" w:rsidP="00D13243">
            <w:pPr>
              <w:jc w:val="both"/>
              <w:rPr>
                <w:sz w:val="22"/>
                <w:szCs w:val="22"/>
                <w:lang w:val="en-US"/>
              </w:rPr>
            </w:pPr>
            <w:r w:rsidRPr="00400B49">
              <w:rPr>
                <w:sz w:val="22"/>
                <w:szCs w:val="22"/>
                <w:lang w:val="en-US"/>
              </w:rPr>
              <w:lastRenderedPageBreak/>
              <w:t xml:space="preserve">Trong bối cảnh dịch Covid-19 ảnh hưởng tiêu cực tới mọi lĩnh vực kinh tế - xã hội những tháng đầu năm 2020; bên cạnh việc kiểm soát, phòng ngừa dịch bệnh, UBND tỉnh đã tập trung chỉ đạo các địa phương, đơn vị liên quan triển khai quyết liệt nhiều </w:t>
            </w:r>
            <w:r w:rsidRPr="00400B49">
              <w:rPr>
                <w:sz w:val="22"/>
                <w:szCs w:val="22"/>
                <w:lang w:val="en-US"/>
              </w:rPr>
              <w:lastRenderedPageBreak/>
              <w:t>giải pháp nhằm phục hồi sản xuất kinh doanh, thúc đẩy phát triển kinh tế, huy động tối đa mọi nguồn lực để hỗ trợ tăng trưởng, góp phần ổn định đời sống xã hội. Cụ thể:</w:t>
            </w:r>
          </w:p>
          <w:p w:rsidR="00400B49" w:rsidRPr="00400B49" w:rsidRDefault="00400B49" w:rsidP="00D13243">
            <w:pPr>
              <w:jc w:val="both"/>
              <w:rPr>
                <w:sz w:val="22"/>
                <w:szCs w:val="22"/>
                <w:lang w:val="en-US"/>
              </w:rPr>
            </w:pPr>
            <w:r w:rsidRPr="00400B49">
              <w:rPr>
                <w:sz w:val="22"/>
                <w:szCs w:val="22"/>
                <w:lang w:val="en-US"/>
              </w:rPr>
              <w:t xml:space="preserve">- Ban hành Quyết định số 2134/QĐ-UBND ngày 09/7/2020 về phê duyệt Đề án: Phục hồi sản xuất kinh doanh thúc đẩy phát triển kinh tế trong điều kiện phòng, chống dịch Covid-19 với 07 nhóm giải pháp và 72 nhiệm vụ cụ thể về: tháo gỡ khó khăn, thúc đẩy sản xuất kinh doanh; cải thiện môi trường đầu tư, môi trường kinh doanh; công tác quy hoạch; rà soát, điều chỉnh về cơ chế chính sách,… </w:t>
            </w:r>
          </w:p>
          <w:p w:rsidR="00400B49" w:rsidRPr="00400B49" w:rsidRDefault="00400B49" w:rsidP="00D13243">
            <w:pPr>
              <w:jc w:val="both"/>
              <w:rPr>
                <w:sz w:val="22"/>
                <w:szCs w:val="22"/>
                <w:lang w:val="en-US"/>
              </w:rPr>
            </w:pPr>
            <w:r w:rsidRPr="00400B49">
              <w:rPr>
                <w:sz w:val="22"/>
                <w:szCs w:val="22"/>
                <w:lang w:val="en-US"/>
              </w:rPr>
              <w:t>- Về đẩy nhanh tiến độ giải ngân vốn đầu tư công:</w:t>
            </w:r>
          </w:p>
          <w:p w:rsidR="00400B49" w:rsidRPr="00400B49" w:rsidRDefault="00400B49" w:rsidP="00D13243">
            <w:pPr>
              <w:jc w:val="both"/>
              <w:rPr>
                <w:sz w:val="22"/>
                <w:szCs w:val="22"/>
                <w:lang w:val="en-US"/>
              </w:rPr>
            </w:pPr>
            <w:r w:rsidRPr="00400B49">
              <w:rPr>
                <w:sz w:val="22"/>
                <w:szCs w:val="22"/>
                <w:lang w:val="en-US"/>
              </w:rPr>
              <w:t>+ Ban hành Chương trình hành động số 296/CTr-UBND ngày 31/7/2020 về đẩy nhanh tiến độ thực hiện và giải ngân vốn đầu tư công trên địa bàn với 6 nhóm nhiệm vụ, giải pháp trọng tâm: Đẩy nhanh tiến độ giải phóng mặt bằng các dự án; tập trung tháo gỡ các khó khăn, vướng mắc liên quan đến đất đai, tài nguyên; Đôn đốc, đẩy nhanh tiến độ thi công; Đẩy mạnh quyết toán dự án đầu tư hoàn thành,...</w:t>
            </w:r>
          </w:p>
          <w:p w:rsidR="00400B49" w:rsidRPr="00400B49" w:rsidRDefault="00400B49" w:rsidP="00D13243">
            <w:pPr>
              <w:jc w:val="both"/>
              <w:rPr>
                <w:sz w:val="22"/>
                <w:szCs w:val="22"/>
                <w:lang w:val="en-US"/>
              </w:rPr>
            </w:pPr>
            <w:r w:rsidRPr="00400B49">
              <w:rPr>
                <w:sz w:val="22"/>
                <w:szCs w:val="22"/>
                <w:lang w:val="en-US"/>
              </w:rPr>
              <w:t>+ Thành lập 03 Đoàn kiểm tra do 03 đồng chí Phó Chủ tịch tỉnh làm Trưởng đoàn trực tiếp kiểm tra, tháo gỡ khó khăn, vướng mắc, đẩy nhanh tiến độ thực hiện, giải ngân đầu tư công tại một số địa phương, đơn vị.</w:t>
            </w:r>
          </w:p>
          <w:p w:rsidR="00400B49" w:rsidRPr="00400B49" w:rsidRDefault="00400B49" w:rsidP="00D13243">
            <w:pPr>
              <w:jc w:val="both"/>
              <w:rPr>
                <w:sz w:val="22"/>
                <w:szCs w:val="22"/>
                <w:lang w:val="en-US"/>
              </w:rPr>
            </w:pPr>
            <w:r w:rsidRPr="00400B49">
              <w:rPr>
                <w:sz w:val="22"/>
                <w:szCs w:val="22"/>
                <w:lang w:val="en-US"/>
              </w:rPr>
              <w:t>+ Chỉ đạo các đơn vị, địa phương thực hiện rút ngắn ½ thời gian quy định khi thẩm định các nội dung liên quan đến các dự án đầu tư công (thẩm định dự án, thiết kế cơ sở, thiết kế bản vẽ thi công, dự toán, đánh giá tác động môi trường, kế hoạch đấu thầu,…); Đồng thời, thành lập Tổ công tác thực hiện kiểm tra, đôn đốc giải quyết thủ tục hành chính các dự án đầu tư công trên địa bàn tỉnh (với thành phần là các đồng chí lãnh đạo Văn phòng Đoàn ĐBQH, HĐND, UBND tỉnh và các sở, ngành có liên quan).</w:t>
            </w:r>
          </w:p>
          <w:p w:rsidR="00400B49" w:rsidRPr="00400B49" w:rsidRDefault="00400B49" w:rsidP="00D13243">
            <w:pPr>
              <w:jc w:val="both"/>
              <w:rPr>
                <w:sz w:val="22"/>
                <w:szCs w:val="22"/>
                <w:lang w:val="en-US"/>
              </w:rPr>
            </w:pPr>
            <w:r w:rsidRPr="00400B49">
              <w:rPr>
                <w:sz w:val="22"/>
                <w:szCs w:val="22"/>
                <w:lang w:val="en-US"/>
              </w:rPr>
              <w:t>+ Thực hiện rà soát, điều chuyển kế hoạch vốn đối với các dự án dự kiến đến hết ngày 31/12/2020 không giải ngân hết với tổng số vốn trên 121 tỷ đồng.</w:t>
            </w:r>
          </w:p>
          <w:p w:rsidR="00400B49" w:rsidRPr="00400B49" w:rsidRDefault="00400B49" w:rsidP="00D13243">
            <w:pPr>
              <w:jc w:val="both"/>
              <w:rPr>
                <w:sz w:val="22"/>
                <w:szCs w:val="22"/>
                <w:lang w:val="en-US"/>
              </w:rPr>
            </w:pPr>
            <w:r w:rsidRPr="00400B49">
              <w:rPr>
                <w:sz w:val="22"/>
                <w:szCs w:val="22"/>
                <w:lang w:val="en-US"/>
              </w:rPr>
              <w:lastRenderedPageBreak/>
              <w:t>+ Đối với các dự án đã có chủ trương và bố trí vốn nhưng chưa triển khai: Đã tiến hành rà soát, rút kế hoạch vốn của 13 dự án để bổ sung vốn đảm bảo đủ điều kiện và triển khai cho 10 dự án với tổng số vốn 90,85 tỷ đồng (tại Quyết định số 2680/QĐ-UBND ngày 18/8/2020).</w:t>
            </w:r>
          </w:p>
          <w:p w:rsidR="00400B49" w:rsidRPr="00400B49" w:rsidRDefault="00400B49" w:rsidP="00D13243">
            <w:pPr>
              <w:jc w:val="both"/>
              <w:rPr>
                <w:sz w:val="22"/>
                <w:szCs w:val="22"/>
                <w:lang w:val="en-US"/>
              </w:rPr>
            </w:pPr>
            <w:r w:rsidRPr="00400B49">
              <w:rPr>
                <w:sz w:val="22"/>
                <w:szCs w:val="22"/>
                <w:lang w:val="en-US"/>
              </w:rPr>
              <w:t>Với những giải pháp chỉ đạo, điều hành quyết liệt của cấp ủy, chính quyền các cấp, sự chung sức của cộng đồng doanh nghiệp, người dân; Tổng huy vốn đầu tư toàn xã hội năm 2020 tăng 1,72% so với cùng kỳ năm 2019. Trong đó, giải ngân vốn đầu tư công tăng 26,3% so với cùng kỳ và cao hơn bình quân chung cả nước.</w:t>
            </w:r>
          </w:p>
        </w:tc>
        <w:tc>
          <w:tcPr>
            <w:tcW w:w="2977" w:type="dxa"/>
          </w:tcPr>
          <w:p w:rsidR="00400B49" w:rsidRPr="00400B49" w:rsidRDefault="00400B49" w:rsidP="00D13243">
            <w:pPr>
              <w:jc w:val="both"/>
              <w:rPr>
                <w:sz w:val="22"/>
                <w:szCs w:val="22"/>
                <w:lang w:val="en-US"/>
              </w:rPr>
            </w:pPr>
            <w:r w:rsidRPr="00400B49">
              <w:rPr>
                <w:sz w:val="22"/>
                <w:szCs w:val="22"/>
                <w:lang w:val="en-US"/>
              </w:rPr>
              <w:lastRenderedPageBreak/>
              <w:t xml:space="preserve">- Hệ thống pháp luật về đầu tư, đất đai, xây dựng còn nhiều bất cập, chồng chéo, gây ra rất nhiều khó khăn, vướng mắc </w:t>
            </w:r>
            <w:r w:rsidRPr="00400B49">
              <w:rPr>
                <w:sz w:val="22"/>
                <w:szCs w:val="22"/>
                <w:lang w:val="en-US"/>
              </w:rPr>
              <w:t>trong quá trình thực hiện các hồ sơ, thủ tục đầu tư các dự án lớn. Đặc biệt là về quy trình, thủ tục đầu tư theo quy định vẫn còn phải trải qua rất nhiều khâu, nhiều bước, mất rất nhiều thòi gian chuẩn bị.</w:t>
            </w:r>
          </w:p>
          <w:p w:rsidR="00400B49" w:rsidRPr="00400B49" w:rsidRDefault="00400B49" w:rsidP="00D13243">
            <w:pPr>
              <w:jc w:val="both"/>
              <w:rPr>
                <w:sz w:val="22"/>
                <w:szCs w:val="22"/>
                <w:lang w:val="en-US"/>
              </w:rPr>
            </w:pPr>
            <w:r w:rsidRPr="00400B49">
              <w:rPr>
                <w:sz w:val="22"/>
                <w:szCs w:val="22"/>
                <w:lang w:val="en-US"/>
              </w:rPr>
              <w:t xml:space="preserve">- Tình hình kinh tế thế giới và trong nước còn nhiều khó khăn do đại dịch Covid-19 vẫn chưa được kiểm soát hoàn toàn. </w:t>
            </w:r>
          </w:p>
          <w:p w:rsidR="00400B49" w:rsidRPr="00400B49" w:rsidRDefault="00400B49" w:rsidP="00D13243">
            <w:pPr>
              <w:jc w:val="both"/>
              <w:rPr>
                <w:sz w:val="22"/>
                <w:szCs w:val="22"/>
                <w:lang w:val="en-US"/>
              </w:rPr>
            </w:pPr>
            <w:r w:rsidRPr="00400B49">
              <w:rPr>
                <w:sz w:val="22"/>
                <w:szCs w:val="22"/>
                <w:lang w:val="en-US"/>
              </w:rPr>
              <w:t>- Sự phối hợp giữa các sở, ban, ngành, địa phương và các chủ đầu tư có lúc chưa hiệu quả trong việc xử lý các khó khăn, vướng mắc, nhất là trong công tác giải phóng mặt bằng. Công tác quản lý nhà nước về đất đai vẫn còn nhiều bất cập; việc phân định cắm mốc, xác định nguồn gốc đất đai còn nhiều khó khăn, phức tạp; hồ sơ lưu trữ về đất đai chưa đảm bảo; một số địa phương đơn vị chưa tập trung cao độ cho công tác giải phóng mặt bằng, nhân lực bố trí còn mỏng, nguồn vốn hạn hẹp. Quy trình thủ tục, lộ trình và thời gian thực hiện bồi thường, giải phóng mặt bằng, tái định cư có nhiều bước, nhưng việc tổ chức thực hiện còn lúng túng, thiếu kiên quyết.</w:t>
            </w:r>
          </w:p>
          <w:p w:rsidR="00400B49" w:rsidRPr="00400B49" w:rsidRDefault="00400B49" w:rsidP="00D13243">
            <w:pPr>
              <w:jc w:val="both"/>
              <w:rPr>
                <w:sz w:val="22"/>
                <w:szCs w:val="22"/>
                <w:lang w:val="en-US"/>
              </w:rPr>
            </w:pPr>
            <w:r w:rsidRPr="00400B49">
              <w:rPr>
                <w:sz w:val="22"/>
                <w:szCs w:val="22"/>
                <w:lang w:val="en-US"/>
              </w:rPr>
              <w:lastRenderedPageBreak/>
              <w:t>- Diễn biến thời tiết phức tạp, đặc biệt là đợt mưa to, kéo dài trong tháng 10 năm 2020 gây lũ lụt đặc biệt nghiêm trọng, đã ảnh hưởng đến tiến độ triển khai thi công các dự án, đặc biệt là các công trình giao thông, thủy lợi,…</w:t>
            </w:r>
          </w:p>
        </w:tc>
        <w:tc>
          <w:tcPr>
            <w:tcW w:w="3273" w:type="dxa"/>
          </w:tcPr>
          <w:p w:rsidR="00400B49" w:rsidRPr="00400B49" w:rsidRDefault="00400B49" w:rsidP="00D13243">
            <w:pPr>
              <w:jc w:val="both"/>
              <w:rPr>
                <w:sz w:val="22"/>
                <w:szCs w:val="22"/>
                <w:lang w:val="en-US"/>
              </w:rPr>
            </w:pPr>
            <w:r w:rsidRPr="00400B49">
              <w:rPr>
                <w:sz w:val="22"/>
                <w:szCs w:val="22"/>
                <w:lang w:val="en-US"/>
              </w:rPr>
              <w:lastRenderedPageBreak/>
              <w:t xml:space="preserve">-Tiếp tục thực hiện nghiêm túc và đồng bộ các giải pháp tháo gỡ khó khăn cho sản xuất kinh doanh, thúc đẩy giải ngân vốn đầu tư công và </w:t>
            </w:r>
            <w:r w:rsidRPr="00400B49">
              <w:rPr>
                <w:sz w:val="22"/>
                <w:szCs w:val="22"/>
                <w:lang w:val="en-US"/>
              </w:rPr>
              <w:t>bảo đảm trật tự an toàn xã hội trong bối cảnh đại dịch Covid-19 theo đúng Chỉ đạo của Chính phủ, Thủ tướng Chính phủ và của tỉnh.</w:t>
            </w:r>
          </w:p>
          <w:p w:rsidR="00400B49" w:rsidRPr="00400B49" w:rsidRDefault="00400B49" w:rsidP="00D13243">
            <w:pPr>
              <w:jc w:val="both"/>
              <w:rPr>
                <w:sz w:val="22"/>
                <w:szCs w:val="22"/>
                <w:lang w:val="en-US"/>
              </w:rPr>
            </w:pPr>
            <w:r w:rsidRPr="00400B49">
              <w:rPr>
                <w:sz w:val="22"/>
                <w:szCs w:val="22"/>
                <w:lang w:val="en-US"/>
              </w:rPr>
              <w:t>'- Tiếp tục rà soát, khắc phục tình trạng chồng chéo, bất cập giữa các quy hoạch, nhất là giữa quy hoạch sử dụng đất với quy hoạch xây dựng, quy hoạch ngành; Sớm hoàn thành việc lập quy hoạch tỉnh để công bố gắn với tổ chức hội nghị xúc tiến đầu tư vào địa bàn.</w:t>
            </w:r>
          </w:p>
          <w:p w:rsidR="00400B49" w:rsidRPr="00400B49" w:rsidRDefault="00400B49" w:rsidP="00D13243">
            <w:pPr>
              <w:jc w:val="both"/>
              <w:rPr>
                <w:sz w:val="22"/>
                <w:szCs w:val="22"/>
                <w:lang w:val="en-US"/>
              </w:rPr>
            </w:pPr>
            <w:r w:rsidRPr="00400B49">
              <w:rPr>
                <w:sz w:val="22"/>
                <w:szCs w:val="22"/>
                <w:lang w:val="en-US"/>
              </w:rPr>
              <w:t>- Tăng cường chỉ đạo theo dõi, giám sát tình hình, tiến độ triển khai các dự án; kiên quyết xử lý theo thẩm quyền các dự án đã được giao đất, cho thuê đất nhưng chưa triển khai hoặc triển khai chậm; đối với những dự án đã được gia hạn nhưng vẫn tiếp tục vi phạm thì kiên quyết, thu hồi để giao cho nhà đầu tư khác thực hiện,..</w:t>
            </w:r>
          </w:p>
          <w:p w:rsidR="00400B49" w:rsidRPr="00400B49" w:rsidRDefault="00400B49" w:rsidP="00D13243">
            <w:pPr>
              <w:jc w:val="both"/>
              <w:rPr>
                <w:sz w:val="22"/>
                <w:szCs w:val="22"/>
                <w:lang w:val="en-US"/>
              </w:rPr>
            </w:pPr>
            <w:r w:rsidRPr="00400B49">
              <w:rPr>
                <w:sz w:val="22"/>
                <w:szCs w:val="22"/>
                <w:lang w:val="en-US"/>
              </w:rPr>
              <w:t>-Thực hiện tốt công tác cải cách hành chính, cải thiện môi trường đầu tư kinh doanh, tạo điều kiện thuận lợi để các nhà đầu tư, doanh nghiệp thực hiện dự án và hoạt động sản xuất kinh doanh trên địa bàn có hiệu quả. Đây là giải pháp quan trọng để huy động các nguồn vốn, thời gian qua UBND tỉnh đã tập trung chỉ đạo, đạt được nhiều kết quả, tới đây sẽ phải có các giải pháp mạnh mẽ, thiết thực hơn nữa.</w:t>
            </w:r>
          </w:p>
          <w:p w:rsidR="00400B49" w:rsidRPr="00400B49" w:rsidRDefault="00400B49" w:rsidP="00D13243">
            <w:pPr>
              <w:jc w:val="both"/>
              <w:rPr>
                <w:sz w:val="22"/>
                <w:szCs w:val="22"/>
                <w:lang w:val="en-US"/>
              </w:rPr>
            </w:pPr>
            <w:r w:rsidRPr="00400B49">
              <w:rPr>
                <w:sz w:val="22"/>
                <w:szCs w:val="22"/>
                <w:lang w:val="en-US"/>
              </w:rPr>
              <w:lastRenderedPageBreak/>
              <w:t>- Tổ chức đánh giá tiềm năng về vốn đầu tư của các thành phần kinh tế, trong đó đặc biệt quan tâm đến khu vực tư nhân, từ đó có chính sách phù hợp nhằm khuyến khích, khơi dậy các nguồn vốn. Đồng thời, có chính sách mang tính định hướng, tạo sự liên kết giữa các nguồn đầu tư với nhau để cùng phát triển (dưới nhiều hình thức đầu tư như đối tác công - tư, liên kết tư nhân,..)...</w:t>
            </w:r>
          </w:p>
        </w:tc>
        <w:tc>
          <w:tcPr>
            <w:tcW w:w="583" w:type="dxa"/>
          </w:tcPr>
          <w:p w:rsidR="00400B49" w:rsidRPr="00141290" w:rsidRDefault="00400B49" w:rsidP="008A1501">
            <w:pPr>
              <w:rPr>
                <w:rFonts w:asciiTheme="majorHAnsi" w:hAnsiTheme="majorHAnsi" w:cstheme="majorHAnsi"/>
                <w:noProof/>
                <w:color w:val="000000" w:themeColor="text1"/>
                <w:sz w:val="22"/>
                <w:szCs w:val="22"/>
              </w:rPr>
            </w:pPr>
          </w:p>
        </w:tc>
      </w:tr>
      <w:tr w:rsidR="00400B49" w:rsidRPr="00141290" w:rsidTr="002F0168">
        <w:trPr>
          <w:trHeight w:val="475"/>
        </w:trPr>
        <w:tc>
          <w:tcPr>
            <w:tcW w:w="680" w:type="dxa"/>
          </w:tcPr>
          <w:p w:rsidR="00400B49" w:rsidRPr="00141290" w:rsidRDefault="00400B49" w:rsidP="00D13243">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lastRenderedPageBreak/>
              <w:t>Câu 146</w:t>
            </w:r>
          </w:p>
        </w:tc>
        <w:tc>
          <w:tcPr>
            <w:tcW w:w="2954" w:type="dxa"/>
          </w:tcPr>
          <w:p w:rsidR="00400B49" w:rsidRPr="00141290" w:rsidRDefault="00400B49" w:rsidP="00D13243">
            <w:pPr>
              <w:rPr>
                <w:rFonts w:asciiTheme="majorHAnsi" w:hAnsiTheme="majorHAnsi" w:cstheme="majorHAnsi"/>
                <w:sz w:val="22"/>
                <w:szCs w:val="22"/>
              </w:rPr>
            </w:pPr>
            <w:r w:rsidRPr="00141290">
              <w:rPr>
                <w:rFonts w:asciiTheme="majorHAnsi" w:hAnsiTheme="majorHAnsi" w:cstheme="majorHAnsi"/>
                <w:sz w:val="22"/>
                <w:szCs w:val="22"/>
              </w:rPr>
              <w:t>Tiến độ giải ngân nguồn vốn đầu tư xây dựng cơ bản, vốn Chương trình mục tiêu quốc gia xây dựng nông thôn mới chậm. Đề nghị Ủy ban nhân dân tỉnh cho biết nguyên nhân chủ quan, trách nhiệm và giải pháp trong thời gian tới.</w:t>
            </w:r>
          </w:p>
        </w:tc>
        <w:tc>
          <w:tcPr>
            <w:tcW w:w="5835" w:type="dxa"/>
          </w:tcPr>
          <w:p w:rsidR="00400B49" w:rsidRPr="00400B49" w:rsidRDefault="00400B49" w:rsidP="00D13243">
            <w:pPr>
              <w:jc w:val="both"/>
              <w:rPr>
                <w:sz w:val="22"/>
                <w:szCs w:val="22"/>
                <w:lang w:val="en-US"/>
              </w:rPr>
            </w:pPr>
            <w:r w:rsidRPr="00400B49">
              <w:rPr>
                <w:sz w:val="22"/>
                <w:szCs w:val="22"/>
                <w:lang w:val="en-US"/>
              </w:rPr>
              <w:t>Cùng với sự chỉ đạo của Chính phủ, Thủ tướng Chính phủ và Thường trực Tỉnh ủy; UBND tỉnh đã tập trung chỉ đạo các địa phương, đơn vị liên quan triển khai quyết liệt nhiều giải pháp nhằm tháo gỡ các khó khăn vướng mắc, đẩy nhanh tiến độ triển khai và giải ngân vốn đầu tư công trên địa bàn; nỗ lực phấn đấu quyết tâm cao nhất để giải ngân 100% vốn đầu tư công kế hoạch năm 2020 và các năm trước chuyển sang. Cụ thể:</w:t>
            </w:r>
          </w:p>
          <w:p w:rsidR="00400B49" w:rsidRPr="00400B49" w:rsidRDefault="00400B49" w:rsidP="00D13243">
            <w:pPr>
              <w:jc w:val="both"/>
              <w:rPr>
                <w:sz w:val="22"/>
                <w:szCs w:val="22"/>
                <w:lang w:val="en-US"/>
              </w:rPr>
            </w:pPr>
            <w:r w:rsidRPr="00400B49">
              <w:rPr>
                <w:sz w:val="22"/>
                <w:szCs w:val="22"/>
                <w:lang w:val="en-US"/>
              </w:rPr>
              <w:t>+ Ban hành Chương trình hành động số 296/CTr-UBND ngày 31/7/2020 về đẩy nhanh tiến độ thực hiện và giải ngân vốn đầu tư công trên địa bàn với 6 nhóm nhiệm vụ, giải pháp trọng tâm: Đẩy nhanh tiến độ giải phóng mặt bằng các dự án; tập trung tháo gỡ các khó khăn, vướng mắc liên quan đến đất đai, tài nguyên; Đôn đốc, đẩy nhanh tiến độ thi công; Đẩy mạnh quyết toán dự án đầu tư hoàn thành,...</w:t>
            </w:r>
          </w:p>
          <w:p w:rsidR="00400B49" w:rsidRPr="00400B49" w:rsidRDefault="00400B49" w:rsidP="00D13243">
            <w:pPr>
              <w:jc w:val="both"/>
              <w:rPr>
                <w:sz w:val="22"/>
                <w:szCs w:val="22"/>
                <w:lang w:val="en-US"/>
              </w:rPr>
            </w:pPr>
            <w:r w:rsidRPr="00400B49">
              <w:rPr>
                <w:sz w:val="22"/>
                <w:szCs w:val="22"/>
                <w:lang w:val="en-US"/>
              </w:rPr>
              <w:t>+ Thành lập 03 Đoàn kiểm tra do 03 đồng chí Phó Chủ tịch tỉnh làm Trưởng đoàn trực tiếp kiểm tra, tháo gỡ khó khăn, vướng mắc, đẩy nhanh tiến độ thực hiện, giải ngân đầu tư công tại một số địa phương, đơn vị.</w:t>
            </w:r>
          </w:p>
          <w:p w:rsidR="00400B49" w:rsidRPr="00400B49" w:rsidRDefault="00400B49" w:rsidP="00D13243">
            <w:pPr>
              <w:jc w:val="both"/>
              <w:rPr>
                <w:sz w:val="22"/>
                <w:szCs w:val="22"/>
                <w:lang w:val="en-US"/>
              </w:rPr>
            </w:pPr>
            <w:r w:rsidRPr="00400B49">
              <w:rPr>
                <w:sz w:val="22"/>
                <w:szCs w:val="22"/>
                <w:lang w:val="en-US"/>
              </w:rPr>
              <w:t xml:space="preserve">+ Chỉ đạo các đơn vị, địa phương thực hiện rút ngắn ½ thời gian quy định khi thẩm định các nội dung liên quan đến các dự án đầu tư công (thẩm định dự án, thiết kế cơ sở, thiết kế bản vẽ thi công, dự toán, đánh giá tác động môi trường, kế hoạch đấu thầu,…); </w:t>
            </w:r>
            <w:r w:rsidRPr="00400B49">
              <w:rPr>
                <w:sz w:val="22"/>
                <w:szCs w:val="22"/>
                <w:lang w:val="en-US"/>
              </w:rPr>
              <w:lastRenderedPageBreak/>
              <w:t>Đồng thời, thành lập Tổ công tác thực hiện kiểm tra, đôn đốc giải quyết thủ tục hành chính các dự án đầu tư công trên địa bàn tỉnh (với thành phần là các đồng chí lãnh đạo Văn phòng Đoàn ĐBQH, HĐND, UBND tỉnh và các sở, ngành có liên quan).</w:t>
            </w:r>
          </w:p>
          <w:p w:rsidR="00400B49" w:rsidRPr="00400B49" w:rsidRDefault="00400B49" w:rsidP="00D13243">
            <w:pPr>
              <w:jc w:val="both"/>
              <w:rPr>
                <w:sz w:val="22"/>
                <w:szCs w:val="22"/>
                <w:lang w:val="en-US"/>
              </w:rPr>
            </w:pPr>
            <w:r w:rsidRPr="00400B49">
              <w:rPr>
                <w:sz w:val="22"/>
                <w:szCs w:val="22"/>
                <w:lang w:val="en-US"/>
              </w:rPr>
              <w:t>+ Thực hiện rà soát, điều chuyển kế hoạch vốn đối với các dự án dự kiến đến hết ngày 31/12/2020 không giải ngân hết với tổng số vốn trên 121 tỷ đồng.</w:t>
            </w:r>
          </w:p>
          <w:p w:rsidR="00400B49" w:rsidRPr="00400B49" w:rsidRDefault="00400B49" w:rsidP="00D13243">
            <w:pPr>
              <w:jc w:val="both"/>
              <w:rPr>
                <w:sz w:val="22"/>
                <w:szCs w:val="22"/>
                <w:lang w:val="en-US"/>
              </w:rPr>
            </w:pPr>
            <w:r w:rsidRPr="00400B49">
              <w:rPr>
                <w:sz w:val="22"/>
                <w:szCs w:val="22"/>
                <w:lang w:val="en-US"/>
              </w:rPr>
              <w:t>Với những giải pháp chỉ đạo, đôn đốc quyết liệt của Thủ tướng Chính phủ, Thường trực Tỉnh ủy và UBND tỉnh nêu trên; công tác triển khai và giải ngân vốn đầu tư công trên địa bàn đã có nhiều chuyển biến tích cực; tỷ lệ giải ngân vốn đầu tư công năm 2020 của tỉnh luôn giữ mức cao hơn bình quân chung cả nước. Tổng giá trị giải ngân kế hoạch vốn đầu tư công 11 tháng đạt 6.606 tỷ đồng, tăng 26,3% so với cùng kỳ; Trong đó, vốn chương trình MTQG xây dựng nông thôn mới giải ngân đạt 415 tỷ đồng, bằng 67,5% kế hoạch và tăng 73% so với cùng kỳ năm 2019.</w:t>
            </w:r>
          </w:p>
        </w:tc>
        <w:tc>
          <w:tcPr>
            <w:tcW w:w="2977" w:type="dxa"/>
          </w:tcPr>
          <w:p w:rsidR="00400B49" w:rsidRPr="00400B49" w:rsidRDefault="00400B49" w:rsidP="00D13243">
            <w:pPr>
              <w:jc w:val="both"/>
              <w:rPr>
                <w:sz w:val="22"/>
                <w:szCs w:val="22"/>
                <w:lang w:val="en-US"/>
              </w:rPr>
            </w:pPr>
            <w:r w:rsidRPr="00400B49">
              <w:rPr>
                <w:sz w:val="22"/>
                <w:szCs w:val="22"/>
                <w:lang w:val="en-US"/>
              </w:rPr>
              <w:lastRenderedPageBreak/>
              <w:t xml:space="preserve">- Theo quy định của Luật Xây dựng, các dự án khởi công mới được bố trí vốn đầu năm phải mất nhiều thời gian triển khai các thủ tục lập, thẩm định và phê duyệt thiết kế - dự toán công trình mới đủ điều kiện để tổ chức đấu thầu thi công (ngay cả dự án không vướng mắc GPMB). Thời gian này thường mất từ 6 đến 8 tháng, do đó tiến độ giải ngân vốn của những dự án khởi công mới chỉ được đẩy mạnh vào những tháng cuối năm; </w:t>
            </w:r>
          </w:p>
          <w:p w:rsidR="00400B49" w:rsidRPr="00400B49" w:rsidRDefault="00400B49" w:rsidP="00D13243">
            <w:pPr>
              <w:jc w:val="both"/>
              <w:rPr>
                <w:sz w:val="22"/>
                <w:szCs w:val="22"/>
                <w:lang w:val="en-US"/>
              </w:rPr>
            </w:pPr>
            <w:r w:rsidRPr="00400B49">
              <w:rPr>
                <w:sz w:val="22"/>
                <w:szCs w:val="22"/>
                <w:lang w:val="en-US"/>
              </w:rPr>
              <w:t xml:space="preserve">- Đối với các dự án ODA: Ngoài việc thực hiện theo đúng các quy định của pháp luật trong nước, còn phải hoàn thiện thêm các hồ sơ thủ tục đầu tư, rút vốn, giải ngân,… theo các cam kết với nhà tài trợ dẫn đến </w:t>
            </w:r>
            <w:r w:rsidRPr="00400B49">
              <w:rPr>
                <w:sz w:val="22"/>
                <w:szCs w:val="22"/>
                <w:lang w:val="en-US"/>
              </w:rPr>
              <w:lastRenderedPageBreak/>
              <w:t>quá trình hoàn thiện thủ tục đầu tư, rút vốn, giải ngân mất rất nhiều thời gian, công đoạn.</w:t>
            </w:r>
          </w:p>
          <w:p w:rsidR="00400B49" w:rsidRPr="00400B49" w:rsidRDefault="00400B49" w:rsidP="00D13243">
            <w:pPr>
              <w:jc w:val="both"/>
              <w:rPr>
                <w:sz w:val="22"/>
                <w:szCs w:val="22"/>
                <w:lang w:val="en-US"/>
              </w:rPr>
            </w:pPr>
            <w:r w:rsidRPr="00400B49">
              <w:rPr>
                <w:sz w:val="22"/>
                <w:szCs w:val="22"/>
                <w:lang w:val="en-US"/>
              </w:rPr>
              <w:t>- Việc phân bổ chi tiết và triển khai các dự án thuộc các Chương trình mục tiêu quốc gia thường triển khai chậm do một số nguyên nhân như: Thời gian thống nhất danh mục, chuẩn bị đầu tư và giao chi tiết kế hoạch vốn thường kéo dài ; thay đổi về cơ chế trong quản lý, vận hành các dự án cấp nước sinh hoạt và vệ sinh nông thôn thuộc Chương trình mục tiêu quốc gia xây dựng nông thôn mới dẫn đến nhiều khó khăn, lúng túng trong quá trình thực hiện ở cấp dưới.</w:t>
            </w:r>
          </w:p>
          <w:p w:rsidR="00400B49" w:rsidRPr="00400B49" w:rsidRDefault="00400B49" w:rsidP="00D13243">
            <w:pPr>
              <w:jc w:val="both"/>
              <w:rPr>
                <w:sz w:val="22"/>
                <w:szCs w:val="22"/>
                <w:lang w:val="en-US"/>
              </w:rPr>
            </w:pPr>
            <w:r w:rsidRPr="00400B49">
              <w:rPr>
                <w:sz w:val="22"/>
                <w:szCs w:val="22"/>
                <w:lang w:val="en-US"/>
              </w:rPr>
              <w:t xml:space="preserve">- Một số quy định về tiêu chuẩn, định mức trong đầu tư xây dựng cơ bản còn nhiều hạn chế, bất cập gây khó khăn cho các đơn vị, địa phương trong quá trình triển khai thực hiện những tháng đầu năm 2020 </w:t>
            </w:r>
          </w:p>
          <w:p w:rsidR="00400B49" w:rsidRPr="00400B49" w:rsidRDefault="00400B49" w:rsidP="00D13243">
            <w:pPr>
              <w:jc w:val="both"/>
              <w:rPr>
                <w:sz w:val="22"/>
                <w:szCs w:val="22"/>
                <w:lang w:val="en-US"/>
              </w:rPr>
            </w:pPr>
            <w:r w:rsidRPr="00400B49">
              <w:rPr>
                <w:sz w:val="22"/>
                <w:szCs w:val="22"/>
                <w:lang w:val="en-US"/>
              </w:rPr>
              <w:t>- Diễn biến thời tiết phức tạp, đặc biệt là đợt mưa to, kéo dài trong tháng 10 năm 2020 gây lũ lụt đặc biệt nghiêm trọng, đã ảnh hưởng đến tiến độ triển khai thi công các dự án, đặc biệt là các công trình giao thông, thủy lợi,…</w:t>
            </w:r>
          </w:p>
        </w:tc>
        <w:tc>
          <w:tcPr>
            <w:tcW w:w="3273" w:type="dxa"/>
          </w:tcPr>
          <w:p w:rsidR="00400B49" w:rsidRPr="00400B49" w:rsidRDefault="00400B49" w:rsidP="00D13243">
            <w:pPr>
              <w:jc w:val="both"/>
              <w:rPr>
                <w:sz w:val="22"/>
                <w:szCs w:val="22"/>
                <w:lang w:val="en-US"/>
              </w:rPr>
            </w:pPr>
            <w:r w:rsidRPr="00400B49">
              <w:rPr>
                <w:sz w:val="22"/>
                <w:szCs w:val="22"/>
                <w:lang w:val="en-US"/>
              </w:rPr>
              <w:lastRenderedPageBreak/>
              <w:t>-Tiếp tục thực hiện nghiêm túc và đồng bộ các giải pháp tháo gỡ khó khăn cho sản xuất kinh doanh, thúc đẩy giải ngân vốn đầu tư công và bảo đảm trật tự an toàn xã hội trong bối cảnh đại dịch Covid-19 theo đúng Chỉ đạo của Chính phủ, Thủ tướng Chính phủ và của tỉnh.</w:t>
            </w:r>
          </w:p>
          <w:p w:rsidR="00400B49" w:rsidRPr="00400B49" w:rsidRDefault="00400B49" w:rsidP="00D13243">
            <w:pPr>
              <w:jc w:val="both"/>
              <w:rPr>
                <w:sz w:val="22"/>
                <w:szCs w:val="22"/>
                <w:lang w:val="en-US"/>
              </w:rPr>
            </w:pPr>
            <w:r w:rsidRPr="00400B49">
              <w:rPr>
                <w:sz w:val="22"/>
                <w:szCs w:val="22"/>
                <w:lang w:val="en-US"/>
              </w:rPr>
              <w:t>- Xây dựng kế hoạch và tổ chức triển khai rà soát, đánh giá toàn diện năng lực các đơn vị Chủ đầu tư, đơn vị tư vấn và xây lắp trên địa bàn; lấy kết quả kiểm tra, rà soát làm căn cứ để giao dự án mới và xây dựng kế hoạch lựa chọn nhà thầu cho các dự án đầu tư công trên địa bàn</w:t>
            </w:r>
          </w:p>
          <w:p w:rsidR="00400B49" w:rsidRPr="00400B49" w:rsidRDefault="00400B49" w:rsidP="00D13243">
            <w:pPr>
              <w:jc w:val="both"/>
              <w:rPr>
                <w:sz w:val="22"/>
                <w:szCs w:val="22"/>
                <w:lang w:val="en-US"/>
              </w:rPr>
            </w:pPr>
            <w:r w:rsidRPr="00400B49">
              <w:rPr>
                <w:sz w:val="22"/>
                <w:szCs w:val="22"/>
                <w:lang w:val="en-US"/>
              </w:rPr>
              <w:t xml:space="preserve">- Thực hiện giao kịp thời kế hoạch vốn đầu tư năm 2021 sau khi có Nghị quyết của Hội đồng nhân dân tỉnh; đồng thời chỉ đạo các cấp, các ngành khẩn trương triển khai kế </w:t>
            </w:r>
            <w:r w:rsidRPr="00400B49">
              <w:rPr>
                <w:sz w:val="22"/>
                <w:szCs w:val="22"/>
                <w:lang w:val="en-US"/>
              </w:rPr>
              <w:lastRenderedPageBreak/>
              <w:t xml:space="preserve">hoạch đầu tư năm 2021 ngay từ đầu năm; </w:t>
            </w:r>
          </w:p>
          <w:p w:rsidR="00400B49" w:rsidRPr="00400B49" w:rsidRDefault="00400B49" w:rsidP="00D13243">
            <w:pPr>
              <w:jc w:val="both"/>
              <w:rPr>
                <w:sz w:val="22"/>
                <w:szCs w:val="22"/>
                <w:lang w:val="en-US"/>
              </w:rPr>
            </w:pPr>
            <w:r w:rsidRPr="00400B49">
              <w:rPr>
                <w:sz w:val="22"/>
                <w:szCs w:val="22"/>
                <w:lang w:val="en-US"/>
              </w:rPr>
              <w:t>- Tập trung xử lý kịp thời các khó khăn, vướng mắc, nhất là trong công tác đền bù, giải phóng mặt bằng nhằm tạo điều kiện thuận lợi và đôn đốc các nhà đầu tư triển khai các dự án đúng tiến độ theo cam kết.</w:t>
            </w:r>
          </w:p>
          <w:p w:rsidR="00400B49" w:rsidRPr="00400B49" w:rsidRDefault="00400B49" w:rsidP="00D13243">
            <w:pPr>
              <w:jc w:val="both"/>
              <w:rPr>
                <w:sz w:val="22"/>
                <w:szCs w:val="22"/>
                <w:lang w:val="en-US"/>
              </w:rPr>
            </w:pPr>
            <w:r w:rsidRPr="00400B49">
              <w:rPr>
                <w:sz w:val="22"/>
                <w:szCs w:val="22"/>
                <w:lang w:val="en-US"/>
              </w:rPr>
              <w:t>- Thường xuyên theo dõi, nắm tiến độ và chỉ đạo kịp thời đẩy nhanh tiến độ thực hiện các dự án.</w:t>
            </w:r>
          </w:p>
          <w:p w:rsidR="00400B49" w:rsidRPr="00400B49" w:rsidRDefault="00400B49" w:rsidP="00D13243">
            <w:pPr>
              <w:jc w:val="both"/>
              <w:rPr>
                <w:sz w:val="22"/>
                <w:szCs w:val="22"/>
                <w:lang w:val="en-US"/>
              </w:rPr>
            </w:pPr>
            <w:r w:rsidRPr="00400B49">
              <w:rPr>
                <w:sz w:val="22"/>
                <w:szCs w:val="22"/>
                <w:lang w:val="en-US"/>
              </w:rPr>
              <w:t>- Tăng cường công tác theo dõi, đánh giá, giám sát, kiểm tra, thanh tra việc thực hiện kế hoạch đầu tư công,..</w:t>
            </w:r>
          </w:p>
        </w:tc>
        <w:tc>
          <w:tcPr>
            <w:tcW w:w="583" w:type="dxa"/>
          </w:tcPr>
          <w:p w:rsidR="00400B49" w:rsidRPr="00141290" w:rsidRDefault="00400B49" w:rsidP="008A1501">
            <w:pPr>
              <w:rPr>
                <w:rFonts w:asciiTheme="majorHAnsi" w:hAnsiTheme="majorHAnsi" w:cstheme="majorHAnsi"/>
                <w:noProof/>
                <w:color w:val="000000" w:themeColor="text1"/>
                <w:sz w:val="22"/>
                <w:szCs w:val="22"/>
                <w:lang w:val="en-US"/>
              </w:rPr>
            </w:pPr>
          </w:p>
          <w:p w:rsidR="00400B49" w:rsidRPr="00141290" w:rsidRDefault="00400B49" w:rsidP="008A1501">
            <w:pPr>
              <w:rPr>
                <w:rFonts w:asciiTheme="majorHAnsi" w:hAnsiTheme="majorHAnsi" w:cstheme="majorHAnsi"/>
                <w:noProof/>
                <w:color w:val="000000" w:themeColor="text1"/>
                <w:sz w:val="22"/>
                <w:szCs w:val="22"/>
                <w:lang w:val="en-US"/>
              </w:rPr>
            </w:pPr>
          </w:p>
        </w:tc>
      </w:tr>
      <w:tr w:rsidR="00204E29" w:rsidRPr="00141290" w:rsidTr="00400B49">
        <w:trPr>
          <w:trHeight w:val="475"/>
        </w:trPr>
        <w:tc>
          <w:tcPr>
            <w:tcW w:w="680" w:type="dxa"/>
          </w:tcPr>
          <w:p w:rsidR="00204E29" w:rsidRPr="00141290" w:rsidRDefault="00204E29" w:rsidP="00D13243">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lastRenderedPageBreak/>
              <w:t>Câu 147</w:t>
            </w:r>
          </w:p>
        </w:tc>
        <w:tc>
          <w:tcPr>
            <w:tcW w:w="2954" w:type="dxa"/>
          </w:tcPr>
          <w:p w:rsidR="00204E29" w:rsidRPr="00141290" w:rsidRDefault="00204E29" w:rsidP="00D13243">
            <w:pPr>
              <w:rPr>
                <w:rFonts w:asciiTheme="majorHAnsi" w:hAnsiTheme="majorHAnsi" w:cstheme="majorHAnsi"/>
                <w:sz w:val="22"/>
                <w:szCs w:val="22"/>
              </w:rPr>
            </w:pPr>
            <w:r w:rsidRPr="00141290">
              <w:rPr>
                <w:rFonts w:asciiTheme="majorHAnsi" w:hAnsiTheme="majorHAnsi" w:cstheme="majorHAnsi"/>
                <w:sz w:val="22"/>
                <w:szCs w:val="22"/>
              </w:rPr>
              <w:t>Đề nghị Ủy ban nhân dân tỉnh cho biết việc xử lý nợ đọng xây dựng cơ bản phân theo cấp ngân sách trên địa bàn toàn tỉnh hiện nay; nguyên nhân và giải pháp trong thời gian tới.</w:t>
            </w:r>
          </w:p>
        </w:tc>
        <w:tc>
          <w:tcPr>
            <w:tcW w:w="5835" w:type="dxa"/>
            <w:vMerge w:val="restart"/>
            <w:vAlign w:val="center"/>
          </w:tcPr>
          <w:p w:rsidR="00204E29" w:rsidRPr="003A4F90" w:rsidRDefault="00204E29" w:rsidP="00204E29">
            <w:pPr>
              <w:jc w:val="both"/>
              <w:rPr>
                <w:color w:val="000000"/>
                <w:sz w:val="22"/>
              </w:rPr>
            </w:pPr>
            <w:r w:rsidRPr="003A4F90">
              <w:rPr>
                <w:color w:val="000000"/>
                <w:sz w:val="22"/>
              </w:rPr>
              <w:t>Bên cạnh việc tập trung huy động mọi nguồn lực, bố trí vốn thanh toán nợ đọng xây dựng cơ bản và khối lượng hoàn thành; thời gian qua, UBND tỉnh đã triển khai nhiều biện pháp nhằm kiểm soát và giải quyết tình hình nợ đọng xây dựng cơ bản trên địa bàn. Cụ thể:</w:t>
            </w:r>
          </w:p>
          <w:p w:rsidR="00204E29" w:rsidRPr="003A4F90" w:rsidRDefault="00204E29" w:rsidP="00204E29">
            <w:pPr>
              <w:jc w:val="both"/>
              <w:rPr>
                <w:color w:val="000000"/>
                <w:sz w:val="22"/>
              </w:rPr>
            </w:pPr>
            <w:r w:rsidRPr="003A4F90">
              <w:rPr>
                <w:color w:val="000000"/>
                <w:sz w:val="22"/>
              </w:rPr>
              <w:t>- Triển khai thực hiện và chỉ đạo các địa phương, đơn vị xây dựng lộ trình thanh toán nợ xây dựng cơ bản, thanh toán khối lượng hoàn thành, chuyển tiếp gắn với việc xây dựng kế hoạch đầu tư công trung hạn ở các cấp ngân sách;</w:t>
            </w:r>
          </w:p>
          <w:p w:rsidR="00204E29" w:rsidRPr="003A4F90" w:rsidRDefault="00204E29" w:rsidP="00204E29">
            <w:pPr>
              <w:jc w:val="both"/>
              <w:rPr>
                <w:color w:val="000000"/>
                <w:sz w:val="22"/>
              </w:rPr>
            </w:pPr>
            <w:r w:rsidRPr="003A4F90">
              <w:rPr>
                <w:color w:val="000000"/>
                <w:sz w:val="22"/>
              </w:rPr>
              <w:t>- Kiểm soát chặt chẽ việc lập, thẩm định, phê duyệt chủ trương đầu tư và quyết định đầu tư các dự án đầu tư công; chỉ quyết định đầu tư đối với các dự án đã xác định được nguồn vốn và khả năng cân đối vốn để hoàn thành dự án.</w:t>
            </w:r>
          </w:p>
          <w:p w:rsidR="00204E29" w:rsidRPr="003A4F90" w:rsidRDefault="00204E29" w:rsidP="00204E29">
            <w:pPr>
              <w:jc w:val="both"/>
              <w:rPr>
                <w:color w:val="000000"/>
                <w:sz w:val="22"/>
              </w:rPr>
            </w:pPr>
            <w:r w:rsidRPr="003A4F90">
              <w:rPr>
                <w:color w:val="000000"/>
                <w:sz w:val="22"/>
              </w:rPr>
              <w:t>- Hạn chế tối đa khởi công mới các dự án, chỉ triển khai đối với những dự án thực sự cấp bách và có khả năng cân đối vốn. Thực hiện lập và phân kỳ kế hoạch lựa chọn nhà thầu theo tiến độ chung của dự án và kế hoạch vốn được giao.</w:t>
            </w:r>
          </w:p>
          <w:p w:rsidR="00204E29" w:rsidRPr="003A4F90" w:rsidRDefault="00204E29" w:rsidP="00204E29">
            <w:pPr>
              <w:jc w:val="both"/>
              <w:rPr>
                <w:color w:val="000000"/>
                <w:sz w:val="22"/>
              </w:rPr>
            </w:pPr>
            <w:r w:rsidRPr="003A4F90">
              <w:rPr>
                <w:color w:val="000000"/>
                <w:sz w:val="22"/>
              </w:rPr>
              <w:t>- Bổ sung danh mục kế hoạch đầu tư công trung hạn nguồn ngân sách địa phương (bao gồm các nguồn tăng thu, tiếp kiệm chi và các nguồn huy động khác,..) giai đoạn 2016-2020 làm căn cứ để phân bổ và triển khai kế hoạch hằng năm; đảm bảo nguyên tắc thống nhất, tập trung trong phân bổ vốn đầu tư nhằm xử lý dứt điểm nợ đọng XDCB và không phát sinh thêm nợ mới.</w:t>
            </w:r>
          </w:p>
          <w:p w:rsidR="00204E29" w:rsidRPr="003A4F90" w:rsidRDefault="00204E29" w:rsidP="00204E29">
            <w:pPr>
              <w:jc w:val="both"/>
              <w:rPr>
                <w:color w:val="000000"/>
                <w:sz w:val="22"/>
              </w:rPr>
            </w:pPr>
            <w:r w:rsidRPr="003A4F90">
              <w:rPr>
                <w:color w:val="000000"/>
                <w:sz w:val="22"/>
              </w:rPr>
              <w:t>- Thực hiện phân cấp quản lý nguồn vốn gắn với phân cấp quản lý đầu tư và phân cấp quản lý công trình. Nhằm tạo điều kiện tối đa cho các địa phương phát huy tính chủ động và chịu trách nhiệm trong việc thực hiện các nhiệm vụ đầu tư phát triển của cấp mình (theo Quyết định số 07/2020/QĐ-UBND ngày 26/02/2020 về ban hành quy định một số nội dung về quản lý, thực hiện dự án đầu tư công trên địa bàn).</w:t>
            </w:r>
          </w:p>
          <w:p w:rsidR="00204E29" w:rsidRPr="003A4F90" w:rsidRDefault="00204E29" w:rsidP="00204E29">
            <w:pPr>
              <w:jc w:val="both"/>
              <w:rPr>
                <w:color w:val="000000"/>
                <w:sz w:val="22"/>
              </w:rPr>
            </w:pPr>
            <w:r w:rsidRPr="003A4F90">
              <w:rPr>
                <w:color w:val="000000"/>
                <w:sz w:val="22"/>
              </w:rPr>
              <w:t xml:space="preserve">- Chấn chỉnh công tác lập, phân bổ kế hoạch vốn đầu tư đặc biệt là các nguồn vốn tăng thu, giảm cấp chi thường xuyên,..; Chỉ thực hiện phân bổ vốn cho các dự án có trong danh mục kế hoạch đầu tư công trung hạn và đã được cấp có thẩm quyền phê duyệt </w:t>
            </w:r>
            <w:r w:rsidRPr="003A4F90">
              <w:rPr>
                <w:color w:val="000000"/>
                <w:sz w:val="22"/>
              </w:rPr>
              <w:lastRenderedPageBreak/>
              <w:t>dự án đầu tư theo đúng quy định; Ưu tiên bố trí vốn để thanh toán nợ XDCB, thu hồi vốn ứng trước và hoàn thành các dự án dở dang, chuyển tiếp.</w:t>
            </w:r>
          </w:p>
          <w:p w:rsidR="00204E29" w:rsidRDefault="00204E29" w:rsidP="00204E29">
            <w:pPr>
              <w:jc w:val="both"/>
              <w:rPr>
                <w:color w:val="000000"/>
                <w:sz w:val="24"/>
                <w:szCs w:val="24"/>
              </w:rPr>
            </w:pPr>
            <w:r w:rsidRPr="003A4F90">
              <w:rPr>
                <w:color w:val="000000"/>
                <w:sz w:val="22"/>
              </w:rPr>
              <w:t>Đến nay, nợ đọng xây dựng cơ bản trên địa bàn đã cơ bản được kiểm soát; Tổng số nợ XDCB và KLHT các dự án cấp tỉnh quyết định đầu tư đến nay chỉ còn lại trên 156 tỷ đồng của 167 dự án (chủ yếu là phần vốn còn lại chờ quyết toán hoàn thành dự án), giảm 91,3% so với năm 2015 (nợ XDBC do cấp tỉnh quyết định đầu tư đến 31/12/2015 là 1.797 tỷ đồng của 381 dự án).</w:t>
            </w:r>
          </w:p>
        </w:tc>
        <w:tc>
          <w:tcPr>
            <w:tcW w:w="2977" w:type="dxa"/>
            <w:vMerge w:val="restart"/>
          </w:tcPr>
          <w:p w:rsidR="00204E29" w:rsidRPr="00400B49" w:rsidRDefault="00204E29" w:rsidP="00D13243">
            <w:pPr>
              <w:jc w:val="both"/>
              <w:rPr>
                <w:sz w:val="22"/>
                <w:szCs w:val="22"/>
                <w:lang w:val="en-US"/>
              </w:rPr>
            </w:pPr>
            <w:r w:rsidRPr="00400B49">
              <w:rPr>
                <w:sz w:val="22"/>
                <w:szCs w:val="22"/>
                <w:lang w:val="en-US"/>
              </w:rPr>
              <w:lastRenderedPageBreak/>
              <w:t>- Nhiều công trình thuộc ngân sách cấp huyện, xã được dự kiến bố trí nguồn thu tiền sử dụng đất, nhưng những năm gần đây tình hình kinh tế khó khăn, việc đấu giá quyền sử dụng đất ở các địa phương, nhất là các xã khó khăn, vùng xa đạt thấp dẫn đến hụt nguồn thanh toán vốn đầu tư.</w:t>
            </w:r>
          </w:p>
          <w:p w:rsidR="00204E29" w:rsidRPr="00400B49" w:rsidRDefault="00204E29" w:rsidP="00D13243">
            <w:pPr>
              <w:jc w:val="both"/>
              <w:rPr>
                <w:sz w:val="22"/>
                <w:szCs w:val="22"/>
                <w:lang w:val="en-US"/>
              </w:rPr>
            </w:pPr>
            <w:r w:rsidRPr="00400B49">
              <w:rPr>
                <w:sz w:val="22"/>
                <w:szCs w:val="22"/>
                <w:lang w:val="en-US"/>
              </w:rPr>
              <w:t>- Một số chủ đầu tư chưa tuân thủ nghiêm các quy định trong quản lý xây dựng cơ bản; để nhà thầu thi công vượt kế hoạch vốn được bố trí, chuẩn bị đầu tư và thi công khi chưa được bố trí vốn (phát sinh nợ ngoài kế hoạch); chậm nghiệm thu, quyết toán hoàn thành dự án làm cơ sở thanh toán,..</w:t>
            </w:r>
          </w:p>
          <w:p w:rsidR="00204E29" w:rsidRDefault="00204E29" w:rsidP="00D13243">
            <w:pPr>
              <w:jc w:val="both"/>
              <w:rPr>
                <w:lang w:val="en-US"/>
              </w:rPr>
            </w:pPr>
            <w:r w:rsidRPr="00400B49">
              <w:rPr>
                <w:sz w:val="22"/>
                <w:szCs w:val="22"/>
                <w:lang w:val="en-US"/>
              </w:rPr>
              <w:t>- Công tác lập, thẩm định, phê duyệt dự án, phê duyệt kế hoạch đấu thầu ở một số địa phương, nhất là ở cấp huyện, cấp xã chưa căn cứ vào khả năng cân đối nguồn vốn. Vẫn còn tình trạng phê duyệt chủ trương đầu tư, quyết định đầu tư khi chưa xác định rõ nguồn vốn và khả năng cân đối vốn gây ra nợ đọng XDCB.</w:t>
            </w:r>
          </w:p>
        </w:tc>
        <w:tc>
          <w:tcPr>
            <w:tcW w:w="3273" w:type="dxa"/>
            <w:vMerge w:val="restart"/>
          </w:tcPr>
          <w:p w:rsidR="00204E29" w:rsidRPr="00400B49" w:rsidRDefault="00204E29" w:rsidP="00D13243">
            <w:pPr>
              <w:jc w:val="both"/>
              <w:rPr>
                <w:sz w:val="22"/>
                <w:szCs w:val="22"/>
                <w:lang w:val="en-US"/>
              </w:rPr>
            </w:pPr>
            <w:r w:rsidRPr="00400B49">
              <w:rPr>
                <w:sz w:val="22"/>
                <w:szCs w:val="22"/>
                <w:lang w:val="en-US"/>
              </w:rPr>
              <w:t>- Dừng kỹ thuật, cắt giảm quy mô hoặc giãn tiến độ đối với các hạng mục công trình chưa thực sự cấp bách; sớm tổ chức nghiệm thu và quyết toán đối với các hạng mục, công trình hoàn thành để làm cơ sở thanh toán nợ;</w:t>
            </w:r>
          </w:p>
          <w:p w:rsidR="00204E29" w:rsidRPr="00400B49" w:rsidRDefault="00204E29" w:rsidP="00D13243">
            <w:pPr>
              <w:jc w:val="both"/>
              <w:rPr>
                <w:sz w:val="22"/>
                <w:szCs w:val="22"/>
                <w:lang w:val="en-US"/>
              </w:rPr>
            </w:pPr>
            <w:r w:rsidRPr="00400B49">
              <w:rPr>
                <w:sz w:val="22"/>
                <w:szCs w:val="22"/>
                <w:lang w:val="en-US"/>
              </w:rPr>
              <w:t>- Trong phân bổ nguồn lực đầu tư cần có sự thống nhất, đảm bảo bố trí vốn đúng mục tiêu, tập trung cho các dự án đảm bảo thời gian hoàn thành và tiến độ thực hiện dự án đã được cấp có thẩm quyền phê duyệt; tránh tình trạng đầu tư phân tán, dàn trải, dự án dở dang nhiều, thời gian thi công kéo dài gây lãng phí, thất thoát nguồn lực tài chính nhà nước.</w:t>
            </w:r>
          </w:p>
          <w:p w:rsidR="00204E29" w:rsidRPr="00400B49" w:rsidRDefault="00204E29" w:rsidP="00D13243">
            <w:pPr>
              <w:jc w:val="both"/>
              <w:rPr>
                <w:sz w:val="22"/>
                <w:szCs w:val="22"/>
                <w:lang w:val="en-US"/>
              </w:rPr>
            </w:pPr>
            <w:r w:rsidRPr="00400B49">
              <w:rPr>
                <w:sz w:val="22"/>
                <w:szCs w:val="22"/>
                <w:lang w:val="en-US"/>
              </w:rPr>
              <w:t>- Không cho phép doanh nghiệp tự bỏ vốn chuẩn bị đầu tư, thi công dự án khi chưa được bố trí vốn, làm phát sinh nợ đọng xây dựng cơ bản.</w:t>
            </w:r>
          </w:p>
          <w:p w:rsidR="00204E29" w:rsidRPr="00400B49" w:rsidRDefault="00204E29" w:rsidP="00D13243">
            <w:pPr>
              <w:jc w:val="both"/>
              <w:rPr>
                <w:sz w:val="22"/>
                <w:szCs w:val="22"/>
                <w:lang w:val="en-US"/>
              </w:rPr>
            </w:pPr>
            <w:r w:rsidRPr="00400B49">
              <w:rPr>
                <w:sz w:val="22"/>
                <w:szCs w:val="22"/>
                <w:lang w:val="en-US"/>
              </w:rPr>
              <w:t xml:space="preserve">-Tăng cường kỷ cương kỷ luật trong quản lý đầu tư xây dựng cơ bản. Kiểm điểm, làm rõ trách nhiệm, xử lý theo quy định pháp luật đối với các cá nhân, tổ chức trong việc vi phạm quy định về quản lý đầu tư, gây nợ đọng xây dựng cơ bản. Tăng cường công tác giám sát, thanh tra, kiểm tra việc lập, thẩm định, phê duyệt chủ trương đầu tư, quyết định đầu tư, </w:t>
            </w:r>
            <w:r w:rsidRPr="00400B49">
              <w:rPr>
                <w:sz w:val="22"/>
                <w:szCs w:val="22"/>
                <w:lang w:val="en-US"/>
              </w:rPr>
              <w:lastRenderedPageBreak/>
              <w:t>điều chỉnh quyết định đầu tư và thực hiện các dự án đầu tư công;</w:t>
            </w:r>
          </w:p>
          <w:p w:rsidR="00204E29" w:rsidRDefault="00204E29" w:rsidP="00D13243">
            <w:pPr>
              <w:jc w:val="both"/>
              <w:rPr>
                <w:lang w:val="en-US"/>
              </w:rPr>
            </w:pPr>
            <w:r w:rsidRPr="00400B49">
              <w:rPr>
                <w:sz w:val="22"/>
                <w:szCs w:val="22"/>
                <w:lang w:val="en-US"/>
              </w:rPr>
              <w:t>- Thực hiện phân cấp quản lý nguồn vốn, gắn với quản lý công trình; tạo điều kiện chủ động cho các địa phương trong việc  thanh toán nợ XDCB, KLHT và thực hiện các nhiệm vụ đầu tư của cấp mình (trong phạm vi nguồn vốn được phân cấp).</w:t>
            </w:r>
          </w:p>
        </w:tc>
        <w:tc>
          <w:tcPr>
            <w:tcW w:w="583" w:type="dxa"/>
          </w:tcPr>
          <w:p w:rsidR="00204E29" w:rsidRPr="00141290" w:rsidRDefault="00204E29" w:rsidP="008A1501">
            <w:pPr>
              <w:rPr>
                <w:rFonts w:asciiTheme="majorHAnsi" w:hAnsiTheme="majorHAnsi" w:cstheme="majorHAnsi"/>
                <w:noProof/>
                <w:color w:val="000000" w:themeColor="text1"/>
                <w:sz w:val="22"/>
                <w:szCs w:val="22"/>
              </w:rPr>
            </w:pPr>
          </w:p>
        </w:tc>
      </w:tr>
      <w:tr w:rsidR="00204E29" w:rsidRPr="00141290" w:rsidTr="00273A49">
        <w:trPr>
          <w:trHeight w:val="475"/>
        </w:trPr>
        <w:tc>
          <w:tcPr>
            <w:tcW w:w="680" w:type="dxa"/>
          </w:tcPr>
          <w:p w:rsidR="00204E29" w:rsidRPr="00141290" w:rsidRDefault="00204E29" w:rsidP="00D13243">
            <w:pPr>
              <w:jc w:val="center"/>
              <w:rPr>
                <w:rFonts w:asciiTheme="majorHAnsi" w:hAnsiTheme="majorHAnsi" w:cstheme="majorHAnsi"/>
                <w:sz w:val="22"/>
                <w:szCs w:val="22"/>
                <w:lang w:val="en-US"/>
              </w:rPr>
            </w:pPr>
            <w:r w:rsidRPr="00141290">
              <w:rPr>
                <w:rFonts w:asciiTheme="majorHAnsi" w:hAnsiTheme="majorHAnsi" w:cstheme="majorHAnsi"/>
                <w:sz w:val="22"/>
                <w:szCs w:val="22"/>
                <w:lang w:val="en-US"/>
              </w:rPr>
              <w:t>Câu 1</w:t>
            </w:r>
          </w:p>
        </w:tc>
        <w:tc>
          <w:tcPr>
            <w:tcW w:w="2954" w:type="dxa"/>
          </w:tcPr>
          <w:p w:rsidR="00204E29" w:rsidRPr="00141290" w:rsidRDefault="00204E29" w:rsidP="00D13243">
            <w:pPr>
              <w:rPr>
                <w:rFonts w:asciiTheme="majorHAnsi" w:hAnsiTheme="majorHAnsi" w:cstheme="majorHAnsi"/>
                <w:color w:val="000000"/>
                <w:sz w:val="22"/>
                <w:szCs w:val="22"/>
              </w:rPr>
            </w:pPr>
            <w:r w:rsidRPr="00141290">
              <w:rPr>
                <w:rFonts w:asciiTheme="majorHAnsi" w:hAnsiTheme="majorHAnsi" w:cstheme="majorHAnsi"/>
                <w:color w:val="000000"/>
                <w:sz w:val="22"/>
                <w:szCs w:val="22"/>
              </w:rPr>
              <w:t>Đến nay, nợ xây dựng cơ bản của 3 cấp ngân sách tỉnh ta là khá lớn, phát sinh năm sau cao hơn năm trước. Điều đó ảnh hưởng đến kế hoạch đầu tư công của tỉnh và gây khó khăn cho các doanh nghiệp. Đề nghị Ủy ban nhân dân tỉnh cho biết nguyên nhân và các giải pháp để khắc phục?</w:t>
            </w:r>
          </w:p>
          <w:p w:rsidR="00204E29" w:rsidRPr="00141290" w:rsidRDefault="00204E29" w:rsidP="00D13243">
            <w:pPr>
              <w:rPr>
                <w:rFonts w:asciiTheme="majorHAnsi" w:hAnsiTheme="majorHAnsi" w:cstheme="majorHAnsi"/>
                <w:sz w:val="22"/>
                <w:szCs w:val="22"/>
              </w:rPr>
            </w:pPr>
          </w:p>
        </w:tc>
        <w:tc>
          <w:tcPr>
            <w:tcW w:w="5835" w:type="dxa"/>
            <w:vMerge/>
            <w:vAlign w:val="center"/>
          </w:tcPr>
          <w:p w:rsidR="00204E29" w:rsidRDefault="00204E29" w:rsidP="00D13243">
            <w:pPr>
              <w:rPr>
                <w:color w:val="000000"/>
                <w:sz w:val="24"/>
                <w:szCs w:val="24"/>
              </w:rPr>
            </w:pPr>
          </w:p>
        </w:tc>
        <w:tc>
          <w:tcPr>
            <w:tcW w:w="2977" w:type="dxa"/>
            <w:vMerge/>
          </w:tcPr>
          <w:p w:rsidR="00204E29" w:rsidRPr="00400B49" w:rsidRDefault="00204E29" w:rsidP="00D13243">
            <w:pPr>
              <w:jc w:val="both"/>
              <w:rPr>
                <w:sz w:val="22"/>
                <w:szCs w:val="22"/>
                <w:lang w:val="en-US"/>
              </w:rPr>
            </w:pPr>
          </w:p>
        </w:tc>
        <w:tc>
          <w:tcPr>
            <w:tcW w:w="3273" w:type="dxa"/>
            <w:vMerge/>
          </w:tcPr>
          <w:p w:rsidR="00204E29" w:rsidRPr="00400B49" w:rsidRDefault="00204E29" w:rsidP="00D13243">
            <w:pPr>
              <w:jc w:val="both"/>
              <w:rPr>
                <w:sz w:val="22"/>
                <w:szCs w:val="22"/>
                <w:lang w:val="en-US"/>
              </w:rPr>
            </w:pPr>
          </w:p>
        </w:tc>
        <w:tc>
          <w:tcPr>
            <w:tcW w:w="583" w:type="dxa"/>
          </w:tcPr>
          <w:p w:rsidR="00204E29" w:rsidRPr="00141290" w:rsidRDefault="00204E29" w:rsidP="008A1501">
            <w:pPr>
              <w:rPr>
                <w:rFonts w:asciiTheme="majorHAnsi" w:hAnsiTheme="majorHAnsi" w:cstheme="majorHAnsi"/>
                <w:noProof/>
                <w:color w:val="000000" w:themeColor="text1"/>
                <w:sz w:val="22"/>
                <w:szCs w:val="22"/>
              </w:rPr>
            </w:pPr>
          </w:p>
        </w:tc>
      </w:tr>
      <w:tr w:rsidR="00204E29" w:rsidRPr="00141290" w:rsidTr="00D43DDE">
        <w:trPr>
          <w:trHeight w:val="475"/>
        </w:trPr>
        <w:tc>
          <w:tcPr>
            <w:tcW w:w="680" w:type="dxa"/>
          </w:tcPr>
          <w:p w:rsidR="00204E29" w:rsidRPr="00F8798D" w:rsidRDefault="00204E29" w:rsidP="00D13243">
            <w:pPr>
              <w:jc w:val="center"/>
              <w:rPr>
                <w:rFonts w:asciiTheme="majorHAnsi" w:hAnsiTheme="majorHAnsi" w:cstheme="majorHAnsi"/>
                <w:sz w:val="24"/>
                <w:szCs w:val="24"/>
                <w:lang w:val="en-US"/>
              </w:rPr>
            </w:pPr>
            <w:r>
              <w:rPr>
                <w:rFonts w:asciiTheme="majorHAnsi" w:hAnsiTheme="majorHAnsi" w:cstheme="majorHAnsi"/>
                <w:sz w:val="24"/>
                <w:szCs w:val="24"/>
                <w:lang w:val="en-US"/>
              </w:rPr>
              <w:t>Câu 113</w:t>
            </w:r>
          </w:p>
        </w:tc>
        <w:tc>
          <w:tcPr>
            <w:tcW w:w="2954" w:type="dxa"/>
          </w:tcPr>
          <w:p w:rsidR="00204E29" w:rsidRPr="00F8798D" w:rsidRDefault="00204E29" w:rsidP="00D13243">
            <w:pPr>
              <w:rPr>
                <w:rFonts w:asciiTheme="majorHAnsi" w:hAnsiTheme="majorHAnsi" w:cstheme="majorHAnsi"/>
                <w:sz w:val="24"/>
                <w:szCs w:val="24"/>
              </w:rPr>
            </w:pPr>
            <w:r w:rsidRPr="00F8798D">
              <w:rPr>
                <w:rFonts w:asciiTheme="majorHAnsi" w:hAnsiTheme="majorHAnsi" w:cstheme="majorHAnsi"/>
                <w:sz w:val="24"/>
                <w:szCs w:val="24"/>
              </w:rPr>
              <w:t>Công tác quản lý, phân bổ vốn đầu tư và giải pháp trả nợ xây dựng cơ bản; nguyên nhân, trách nhiệm và giải pháp trong thời gian tới.</w:t>
            </w:r>
          </w:p>
        </w:tc>
        <w:tc>
          <w:tcPr>
            <w:tcW w:w="5835" w:type="dxa"/>
            <w:vMerge/>
            <w:vAlign w:val="center"/>
          </w:tcPr>
          <w:p w:rsidR="00204E29" w:rsidRDefault="00204E29">
            <w:pPr>
              <w:rPr>
                <w:color w:val="000000"/>
                <w:sz w:val="24"/>
                <w:szCs w:val="24"/>
              </w:rPr>
            </w:pPr>
          </w:p>
        </w:tc>
        <w:tc>
          <w:tcPr>
            <w:tcW w:w="2977" w:type="dxa"/>
            <w:vMerge/>
            <w:vAlign w:val="center"/>
          </w:tcPr>
          <w:p w:rsidR="00204E29" w:rsidRPr="00141290" w:rsidRDefault="00204E29" w:rsidP="008A1501">
            <w:pPr>
              <w:jc w:val="both"/>
              <w:rPr>
                <w:rFonts w:asciiTheme="majorHAnsi" w:hAnsiTheme="majorHAnsi" w:cstheme="majorHAnsi"/>
                <w:noProof/>
                <w:color w:val="000000" w:themeColor="text1"/>
                <w:sz w:val="22"/>
                <w:szCs w:val="22"/>
              </w:rPr>
            </w:pPr>
          </w:p>
        </w:tc>
        <w:tc>
          <w:tcPr>
            <w:tcW w:w="3273" w:type="dxa"/>
            <w:vMerge/>
            <w:vAlign w:val="center"/>
          </w:tcPr>
          <w:p w:rsidR="00204E29" w:rsidRPr="00141290" w:rsidRDefault="00204E29" w:rsidP="008A1501">
            <w:pPr>
              <w:jc w:val="both"/>
              <w:rPr>
                <w:rFonts w:asciiTheme="majorHAnsi" w:hAnsiTheme="majorHAnsi" w:cstheme="majorHAnsi"/>
                <w:noProof/>
                <w:color w:val="000000" w:themeColor="text1"/>
                <w:spacing w:val="-4"/>
                <w:sz w:val="22"/>
                <w:szCs w:val="22"/>
              </w:rPr>
            </w:pPr>
          </w:p>
        </w:tc>
        <w:tc>
          <w:tcPr>
            <w:tcW w:w="583" w:type="dxa"/>
          </w:tcPr>
          <w:p w:rsidR="00204E29" w:rsidRPr="00141290" w:rsidRDefault="00204E29" w:rsidP="008A1501">
            <w:pPr>
              <w:rPr>
                <w:rFonts w:asciiTheme="majorHAnsi" w:hAnsiTheme="majorHAnsi" w:cstheme="majorHAnsi"/>
                <w:noProof/>
                <w:color w:val="000000" w:themeColor="text1"/>
                <w:sz w:val="22"/>
                <w:szCs w:val="22"/>
              </w:rPr>
            </w:pPr>
          </w:p>
        </w:tc>
      </w:tr>
    </w:tbl>
    <w:p w:rsidR="00E468C8" w:rsidRPr="00141290" w:rsidRDefault="00E468C8">
      <w:pPr>
        <w:rPr>
          <w:rFonts w:asciiTheme="majorHAnsi" w:hAnsiTheme="majorHAnsi" w:cstheme="majorHAnsi"/>
          <w:noProof/>
          <w:sz w:val="22"/>
          <w:szCs w:val="22"/>
        </w:rPr>
      </w:pPr>
    </w:p>
    <w:sectPr w:rsidR="00E468C8" w:rsidRPr="00141290" w:rsidSect="00275D69">
      <w:pgSz w:w="16838" w:h="11906" w:orient="landscape"/>
      <w:pgMar w:top="993"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E28" w:rsidRDefault="00634E28" w:rsidP="005A24A0">
      <w:r>
        <w:separator/>
      </w:r>
    </w:p>
  </w:endnote>
  <w:endnote w:type="continuationSeparator" w:id="0">
    <w:p w:rsidR="00634E28" w:rsidRDefault="00634E28" w:rsidP="005A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E28" w:rsidRDefault="00634E28" w:rsidP="005A24A0">
      <w:r>
        <w:separator/>
      </w:r>
    </w:p>
  </w:footnote>
  <w:footnote w:type="continuationSeparator" w:id="0">
    <w:p w:rsidR="00634E28" w:rsidRDefault="00634E28" w:rsidP="005A24A0">
      <w:r>
        <w:continuationSeparator/>
      </w:r>
    </w:p>
  </w:footnote>
  <w:footnote w:id="1">
    <w:p w:rsidR="008A1501" w:rsidRPr="00112D9D" w:rsidRDefault="008A1501" w:rsidP="007E41B2">
      <w:pPr>
        <w:pStyle w:val="FootnoteText"/>
        <w:spacing w:before="60"/>
        <w:jc w:val="both"/>
        <w:rPr>
          <w:sz w:val="22"/>
          <w:szCs w:val="22"/>
          <w:lang w:val="en-GB"/>
        </w:rPr>
      </w:pPr>
      <w:r w:rsidRPr="00896E44">
        <w:rPr>
          <w:rStyle w:val="FootnoteReference"/>
          <w:sz w:val="22"/>
          <w:szCs w:val="22"/>
        </w:rPr>
        <w:footnoteRef/>
      </w:r>
      <w:r w:rsidRPr="00896E44">
        <w:rPr>
          <w:sz w:val="22"/>
          <w:szCs w:val="22"/>
          <w:lang w:val="en-GB"/>
        </w:rPr>
        <w:t>G</w:t>
      </w:r>
      <w:r w:rsidRPr="00112D9D">
        <w:rPr>
          <w:sz w:val="22"/>
          <w:szCs w:val="22"/>
          <w:lang w:val="en-GB"/>
        </w:rPr>
        <w:t xml:space="preserve">ồm: </w:t>
      </w:r>
      <w:r w:rsidRPr="00112D9D">
        <w:rPr>
          <w:sz w:val="22"/>
          <w:szCs w:val="22"/>
        </w:rPr>
        <w:t>Nhà máy rác thải tại xã Kỳ Tân (công suất 500 tấn/ngày); Nhà máy rác tại xã Cẩm Quan (công suất 200 tấn/ngày); Nhà máy rác tại xã Hồng Lộc (200 tấn/ngày); Nhà máy rác Can Lộc (40 tấn/ngày); Lò đốt rác Xuân Thành 24 tấn/ngày; Lò đốt rác Cương Gián 15 tấn/ngày; Lò đốt rác Phù Việt 24 tấn/ngày; Lò đốt rác Thạch Trị (24 tấn/ngày); Lò đốt rác tại thị trấn Phố Châu (20 tấn/ngày)</w:t>
      </w:r>
      <w:r w:rsidRPr="00112D9D">
        <w:rPr>
          <w:sz w:val="22"/>
          <w:szCs w:val="22"/>
          <w:lang w:val="en-GB"/>
        </w:rPr>
        <w:t>.</w:t>
      </w:r>
    </w:p>
  </w:footnote>
  <w:footnote w:id="2">
    <w:p w:rsidR="008A1501" w:rsidRPr="00112D9D" w:rsidRDefault="008A1501" w:rsidP="007E41B2">
      <w:pPr>
        <w:pStyle w:val="FootnoteText"/>
        <w:spacing w:before="60"/>
        <w:jc w:val="both"/>
        <w:rPr>
          <w:sz w:val="22"/>
          <w:szCs w:val="22"/>
        </w:rPr>
      </w:pPr>
      <w:r w:rsidRPr="00896E44">
        <w:rPr>
          <w:rStyle w:val="FootnoteReference"/>
          <w:sz w:val="22"/>
          <w:szCs w:val="22"/>
        </w:rPr>
        <w:footnoteRef/>
      </w:r>
      <w:r w:rsidRPr="00112D9D">
        <w:rPr>
          <w:sz w:val="22"/>
          <w:szCs w:val="22"/>
        </w:rPr>
        <w:t xml:space="preserve">Gồm: (i) </w:t>
      </w:r>
      <w:r w:rsidRPr="00112D9D">
        <w:rPr>
          <w:bCs/>
          <w:sz w:val="22"/>
          <w:szCs w:val="22"/>
        </w:rPr>
        <w:t xml:space="preserve">Nhà máy rác tại xã Hồng Lộc, huyện Lộc Hà: Đã hoàn thành quy hoạch chi tiết 1/500; thực hiện xong thủ tục đền bù, GPMB; được Bộ Tài nguyên và Môi trường phê duyệt báo cáo ĐTM tại Quyết định số </w:t>
      </w:r>
      <w:r w:rsidRPr="00112D9D">
        <w:rPr>
          <w:sz w:val="22"/>
          <w:szCs w:val="22"/>
        </w:rPr>
        <w:t xml:space="preserve">2129/QĐ-BTNMT ngày 21/8/2019; (ii)Nhà máy rác Phù Việt: </w:t>
      </w:r>
      <w:r w:rsidRPr="00AD55FE">
        <w:rPr>
          <w:sz w:val="22"/>
          <w:szCs w:val="22"/>
        </w:rPr>
        <w:t>đã</w:t>
      </w:r>
      <w:r>
        <w:rPr>
          <w:sz w:val="22"/>
          <w:szCs w:val="22"/>
        </w:rPr>
        <w:t xml:space="preserve"> thu h</w:t>
      </w:r>
      <w:r w:rsidRPr="00AD55FE">
        <w:rPr>
          <w:sz w:val="22"/>
          <w:szCs w:val="22"/>
        </w:rPr>
        <w:t>ồi</w:t>
      </w:r>
      <w:r>
        <w:rPr>
          <w:sz w:val="22"/>
          <w:szCs w:val="22"/>
        </w:rPr>
        <w:t xml:space="preserve"> d</w:t>
      </w:r>
      <w:r w:rsidRPr="00AD55FE">
        <w:rPr>
          <w:sz w:val="22"/>
          <w:szCs w:val="22"/>
        </w:rPr>
        <w:t>ự</w:t>
      </w:r>
      <w:r>
        <w:rPr>
          <w:sz w:val="22"/>
          <w:szCs w:val="22"/>
        </w:rPr>
        <w:t xml:space="preserve"> </w:t>
      </w:r>
      <w:r w:rsidRPr="00AD55FE">
        <w:rPr>
          <w:sz w:val="22"/>
          <w:szCs w:val="22"/>
        </w:rPr>
        <w:t>á</w:t>
      </w:r>
      <w:r>
        <w:rPr>
          <w:sz w:val="22"/>
          <w:szCs w:val="22"/>
        </w:rPr>
        <w:t xml:space="preserve">n do </w:t>
      </w:r>
      <w:r w:rsidRPr="00112D9D">
        <w:rPr>
          <w:sz w:val="22"/>
          <w:szCs w:val="22"/>
        </w:rPr>
        <w:t>giá trị tài sản Nhà nước được định giá khá cao nên không thể tiếp nhận, sử dụng</w:t>
      </w:r>
      <w:r>
        <w:rPr>
          <w:sz w:val="22"/>
          <w:szCs w:val="22"/>
        </w:rPr>
        <w:t xml:space="preserve">. </w:t>
      </w:r>
      <w:r w:rsidRPr="00112D9D">
        <w:rPr>
          <w:sz w:val="22"/>
          <w:szCs w:val="22"/>
        </w:rPr>
        <w:t xml:space="preserve">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2FC"/>
    <w:multiLevelType w:val="hybridMultilevel"/>
    <w:tmpl w:val="7974D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B748D"/>
    <w:multiLevelType w:val="hybridMultilevel"/>
    <w:tmpl w:val="CF2A038E"/>
    <w:lvl w:ilvl="0" w:tplc="522E014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2B1"/>
    <w:multiLevelType w:val="hybridMultilevel"/>
    <w:tmpl w:val="2FC02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3E6AE8"/>
    <w:multiLevelType w:val="hybridMultilevel"/>
    <w:tmpl w:val="66B22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E71E0"/>
    <w:multiLevelType w:val="hybridMultilevel"/>
    <w:tmpl w:val="3CFCF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DA40F3"/>
    <w:multiLevelType w:val="hybridMultilevel"/>
    <w:tmpl w:val="E27A0BCE"/>
    <w:lvl w:ilvl="0" w:tplc="A5BEDFB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6A1A81"/>
    <w:multiLevelType w:val="hybridMultilevel"/>
    <w:tmpl w:val="D31C7C8A"/>
    <w:lvl w:ilvl="0" w:tplc="4340725C">
      <w:start w:val="1"/>
      <w:numFmt w:val="decimal"/>
      <w:lvlText w:val="%1."/>
      <w:lvlJc w:val="left"/>
      <w:pPr>
        <w:ind w:left="720" w:hanging="360"/>
      </w:pPr>
      <w:rPr>
        <w:rFonts w:ascii="Times New Roman" w:hAnsi="Times New Roman" w:cs="Times New Roman" w:hint="default"/>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C8"/>
    <w:rsid w:val="0000696A"/>
    <w:rsid w:val="00024E8D"/>
    <w:rsid w:val="00027C51"/>
    <w:rsid w:val="00031C80"/>
    <w:rsid w:val="000423D0"/>
    <w:rsid w:val="00046BC9"/>
    <w:rsid w:val="00052EA5"/>
    <w:rsid w:val="00054B75"/>
    <w:rsid w:val="00060E2B"/>
    <w:rsid w:val="00072A8C"/>
    <w:rsid w:val="000772C3"/>
    <w:rsid w:val="000773CF"/>
    <w:rsid w:val="00077CD7"/>
    <w:rsid w:val="00082355"/>
    <w:rsid w:val="0008407B"/>
    <w:rsid w:val="00084B20"/>
    <w:rsid w:val="00093860"/>
    <w:rsid w:val="000A76F7"/>
    <w:rsid w:val="000B0951"/>
    <w:rsid w:val="000C7677"/>
    <w:rsid w:val="000C7FC9"/>
    <w:rsid w:val="000E0B4E"/>
    <w:rsid w:val="000E548F"/>
    <w:rsid w:val="000E5C18"/>
    <w:rsid w:val="000F1F7F"/>
    <w:rsid w:val="00105FA2"/>
    <w:rsid w:val="001063C1"/>
    <w:rsid w:val="0012038E"/>
    <w:rsid w:val="001247FE"/>
    <w:rsid w:val="001309E5"/>
    <w:rsid w:val="00136669"/>
    <w:rsid w:val="00141290"/>
    <w:rsid w:val="0014368D"/>
    <w:rsid w:val="00153AD1"/>
    <w:rsid w:val="0015412C"/>
    <w:rsid w:val="00155EDD"/>
    <w:rsid w:val="00165531"/>
    <w:rsid w:val="001664E7"/>
    <w:rsid w:val="0016749C"/>
    <w:rsid w:val="001724F5"/>
    <w:rsid w:val="0017639C"/>
    <w:rsid w:val="0018168C"/>
    <w:rsid w:val="00184B77"/>
    <w:rsid w:val="001B2EB9"/>
    <w:rsid w:val="001B4617"/>
    <w:rsid w:val="001C5DF7"/>
    <w:rsid w:val="001C706F"/>
    <w:rsid w:val="001C7582"/>
    <w:rsid w:val="001C76B0"/>
    <w:rsid w:val="001E4D75"/>
    <w:rsid w:val="001E5790"/>
    <w:rsid w:val="001E619F"/>
    <w:rsid w:val="001F5FF6"/>
    <w:rsid w:val="00204CD5"/>
    <w:rsid w:val="00204E29"/>
    <w:rsid w:val="00207C60"/>
    <w:rsid w:val="00214E0B"/>
    <w:rsid w:val="00222D22"/>
    <w:rsid w:val="002302D5"/>
    <w:rsid w:val="00234A55"/>
    <w:rsid w:val="002604EE"/>
    <w:rsid w:val="00275D69"/>
    <w:rsid w:val="00276510"/>
    <w:rsid w:val="002776BD"/>
    <w:rsid w:val="0028068F"/>
    <w:rsid w:val="00284D8F"/>
    <w:rsid w:val="00290DE5"/>
    <w:rsid w:val="002914FC"/>
    <w:rsid w:val="00292CBB"/>
    <w:rsid w:val="00295EB4"/>
    <w:rsid w:val="002962BB"/>
    <w:rsid w:val="002A39D3"/>
    <w:rsid w:val="002B37AA"/>
    <w:rsid w:val="002D5C24"/>
    <w:rsid w:val="002E3133"/>
    <w:rsid w:val="002E320E"/>
    <w:rsid w:val="002F1285"/>
    <w:rsid w:val="002F128A"/>
    <w:rsid w:val="002F7000"/>
    <w:rsid w:val="00304827"/>
    <w:rsid w:val="00305E81"/>
    <w:rsid w:val="003161E7"/>
    <w:rsid w:val="00317CF7"/>
    <w:rsid w:val="00321AE2"/>
    <w:rsid w:val="00321DDF"/>
    <w:rsid w:val="0033774F"/>
    <w:rsid w:val="00346D03"/>
    <w:rsid w:val="00347BDF"/>
    <w:rsid w:val="003503A1"/>
    <w:rsid w:val="0035610E"/>
    <w:rsid w:val="00356E62"/>
    <w:rsid w:val="00371EBF"/>
    <w:rsid w:val="0037418D"/>
    <w:rsid w:val="00384B2D"/>
    <w:rsid w:val="0038678E"/>
    <w:rsid w:val="003876F0"/>
    <w:rsid w:val="00392E23"/>
    <w:rsid w:val="003A4F90"/>
    <w:rsid w:val="003A5928"/>
    <w:rsid w:val="003C4BEB"/>
    <w:rsid w:val="003C4F02"/>
    <w:rsid w:val="003C596B"/>
    <w:rsid w:val="003D4EAD"/>
    <w:rsid w:val="003D7003"/>
    <w:rsid w:val="003E1BE1"/>
    <w:rsid w:val="003E4B42"/>
    <w:rsid w:val="003F75E9"/>
    <w:rsid w:val="00400B49"/>
    <w:rsid w:val="00411CF8"/>
    <w:rsid w:val="00421D0F"/>
    <w:rsid w:val="00425700"/>
    <w:rsid w:val="004308B5"/>
    <w:rsid w:val="00433849"/>
    <w:rsid w:val="00433C62"/>
    <w:rsid w:val="00444C26"/>
    <w:rsid w:val="00445D09"/>
    <w:rsid w:val="00447E61"/>
    <w:rsid w:val="00460E7A"/>
    <w:rsid w:val="00462E38"/>
    <w:rsid w:val="004752A4"/>
    <w:rsid w:val="00476932"/>
    <w:rsid w:val="004843DE"/>
    <w:rsid w:val="00490810"/>
    <w:rsid w:val="00490A10"/>
    <w:rsid w:val="00492470"/>
    <w:rsid w:val="00493BC5"/>
    <w:rsid w:val="004A066C"/>
    <w:rsid w:val="004A4E21"/>
    <w:rsid w:val="004A793E"/>
    <w:rsid w:val="004B067E"/>
    <w:rsid w:val="004C0252"/>
    <w:rsid w:val="004C64CA"/>
    <w:rsid w:val="004D5868"/>
    <w:rsid w:val="004D6E0E"/>
    <w:rsid w:val="004E68B0"/>
    <w:rsid w:val="004F4FA5"/>
    <w:rsid w:val="004F5238"/>
    <w:rsid w:val="0050142F"/>
    <w:rsid w:val="00502C6C"/>
    <w:rsid w:val="00504218"/>
    <w:rsid w:val="00504841"/>
    <w:rsid w:val="00505205"/>
    <w:rsid w:val="00512380"/>
    <w:rsid w:val="00526DD1"/>
    <w:rsid w:val="00535EE8"/>
    <w:rsid w:val="00537DB3"/>
    <w:rsid w:val="005477A4"/>
    <w:rsid w:val="005555D5"/>
    <w:rsid w:val="005556B1"/>
    <w:rsid w:val="0055722D"/>
    <w:rsid w:val="005602AA"/>
    <w:rsid w:val="005611CA"/>
    <w:rsid w:val="00561CE8"/>
    <w:rsid w:val="00563483"/>
    <w:rsid w:val="00572343"/>
    <w:rsid w:val="00574091"/>
    <w:rsid w:val="005756ED"/>
    <w:rsid w:val="00581D75"/>
    <w:rsid w:val="005834C3"/>
    <w:rsid w:val="00585197"/>
    <w:rsid w:val="00596F64"/>
    <w:rsid w:val="00597549"/>
    <w:rsid w:val="00597F8A"/>
    <w:rsid w:val="005A24A0"/>
    <w:rsid w:val="005A2B1B"/>
    <w:rsid w:val="005A635E"/>
    <w:rsid w:val="005C175F"/>
    <w:rsid w:val="005D5B96"/>
    <w:rsid w:val="005E3E11"/>
    <w:rsid w:val="005F0653"/>
    <w:rsid w:val="005F09D3"/>
    <w:rsid w:val="005F2064"/>
    <w:rsid w:val="005F7348"/>
    <w:rsid w:val="006137D2"/>
    <w:rsid w:val="00616C34"/>
    <w:rsid w:val="0062668C"/>
    <w:rsid w:val="0063346D"/>
    <w:rsid w:val="00634E28"/>
    <w:rsid w:val="006365DF"/>
    <w:rsid w:val="0063691B"/>
    <w:rsid w:val="0064127C"/>
    <w:rsid w:val="006569B3"/>
    <w:rsid w:val="00663667"/>
    <w:rsid w:val="00664E0C"/>
    <w:rsid w:val="00666AE6"/>
    <w:rsid w:val="00672604"/>
    <w:rsid w:val="006817C2"/>
    <w:rsid w:val="006848C5"/>
    <w:rsid w:val="00693883"/>
    <w:rsid w:val="006A521F"/>
    <w:rsid w:val="006B3DAF"/>
    <w:rsid w:val="006C1B85"/>
    <w:rsid w:val="006C7C79"/>
    <w:rsid w:val="006D3A4C"/>
    <w:rsid w:val="006F29EE"/>
    <w:rsid w:val="0070729A"/>
    <w:rsid w:val="00711657"/>
    <w:rsid w:val="0071635F"/>
    <w:rsid w:val="007201D7"/>
    <w:rsid w:val="00731DB5"/>
    <w:rsid w:val="00731DC8"/>
    <w:rsid w:val="00736EE9"/>
    <w:rsid w:val="00744E98"/>
    <w:rsid w:val="00746A22"/>
    <w:rsid w:val="007474A8"/>
    <w:rsid w:val="0075182F"/>
    <w:rsid w:val="0075201A"/>
    <w:rsid w:val="00757971"/>
    <w:rsid w:val="007645FE"/>
    <w:rsid w:val="00765CDF"/>
    <w:rsid w:val="00766088"/>
    <w:rsid w:val="00771ECC"/>
    <w:rsid w:val="00777F70"/>
    <w:rsid w:val="00785778"/>
    <w:rsid w:val="0078729F"/>
    <w:rsid w:val="007A5EEB"/>
    <w:rsid w:val="007B0B05"/>
    <w:rsid w:val="007B135D"/>
    <w:rsid w:val="007B1AF1"/>
    <w:rsid w:val="007B58CA"/>
    <w:rsid w:val="007D2263"/>
    <w:rsid w:val="007D2428"/>
    <w:rsid w:val="007D2E74"/>
    <w:rsid w:val="007D3BE8"/>
    <w:rsid w:val="007D484D"/>
    <w:rsid w:val="007D5037"/>
    <w:rsid w:val="007E3C1C"/>
    <w:rsid w:val="007E64E9"/>
    <w:rsid w:val="007E6A17"/>
    <w:rsid w:val="007F2E40"/>
    <w:rsid w:val="00802BD0"/>
    <w:rsid w:val="00805703"/>
    <w:rsid w:val="00811CD9"/>
    <w:rsid w:val="0081620B"/>
    <w:rsid w:val="00817F3E"/>
    <w:rsid w:val="00821CB1"/>
    <w:rsid w:val="00826D29"/>
    <w:rsid w:val="00834B38"/>
    <w:rsid w:val="0083623F"/>
    <w:rsid w:val="008374E3"/>
    <w:rsid w:val="008407B7"/>
    <w:rsid w:val="00842568"/>
    <w:rsid w:val="00845E95"/>
    <w:rsid w:val="00846B7C"/>
    <w:rsid w:val="00854E0E"/>
    <w:rsid w:val="00855C1A"/>
    <w:rsid w:val="00856AE3"/>
    <w:rsid w:val="008613F3"/>
    <w:rsid w:val="0086583F"/>
    <w:rsid w:val="00883C51"/>
    <w:rsid w:val="00894974"/>
    <w:rsid w:val="008A0521"/>
    <w:rsid w:val="008A1501"/>
    <w:rsid w:val="008A323A"/>
    <w:rsid w:val="008C15F2"/>
    <w:rsid w:val="008C1EBF"/>
    <w:rsid w:val="008C5B4E"/>
    <w:rsid w:val="008D0F3C"/>
    <w:rsid w:val="008D1E09"/>
    <w:rsid w:val="008D6416"/>
    <w:rsid w:val="008E76C5"/>
    <w:rsid w:val="008F0A66"/>
    <w:rsid w:val="008F346A"/>
    <w:rsid w:val="008F6204"/>
    <w:rsid w:val="00900FF3"/>
    <w:rsid w:val="00904011"/>
    <w:rsid w:val="0090590C"/>
    <w:rsid w:val="00911D3E"/>
    <w:rsid w:val="009162E9"/>
    <w:rsid w:val="00921201"/>
    <w:rsid w:val="009241F2"/>
    <w:rsid w:val="0093703D"/>
    <w:rsid w:val="0094096F"/>
    <w:rsid w:val="009461CB"/>
    <w:rsid w:val="009543BC"/>
    <w:rsid w:val="009550A7"/>
    <w:rsid w:val="00961CE9"/>
    <w:rsid w:val="009640CD"/>
    <w:rsid w:val="009646CC"/>
    <w:rsid w:val="00970897"/>
    <w:rsid w:val="009716CE"/>
    <w:rsid w:val="009775F7"/>
    <w:rsid w:val="00993321"/>
    <w:rsid w:val="009A007E"/>
    <w:rsid w:val="009A5CB8"/>
    <w:rsid w:val="009B1A2C"/>
    <w:rsid w:val="009C2836"/>
    <w:rsid w:val="009C2D4C"/>
    <w:rsid w:val="009C67D0"/>
    <w:rsid w:val="009C6E0A"/>
    <w:rsid w:val="009D4BE6"/>
    <w:rsid w:val="009E7269"/>
    <w:rsid w:val="00A0021C"/>
    <w:rsid w:val="00A0142A"/>
    <w:rsid w:val="00A078B5"/>
    <w:rsid w:val="00A37C9D"/>
    <w:rsid w:val="00A40468"/>
    <w:rsid w:val="00A50896"/>
    <w:rsid w:val="00A51C2D"/>
    <w:rsid w:val="00A652A6"/>
    <w:rsid w:val="00A65357"/>
    <w:rsid w:val="00A65CF0"/>
    <w:rsid w:val="00A67798"/>
    <w:rsid w:val="00A729E8"/>
    <w:rsid w:val="00A86D5B"/>
    <w:rsid w:val="00AB074C"/>
    <w:rsid w:val="00AB57D7"/>
    <w:rsid w:val="00AB7B70"/>
    <w:rsid w:val="00AC21D1"/>
    <w:rsid w:val="00AD6BA8"/>
    <w:rsid w:val="00AE2495"/>
    <w:rsid w:val="00AE347B"/>
    <w:rsid w:val="00AE3C79"/>
    <w:rsid w:val="00AE57C0"/>
    <w:rsid w:val="00AE7BF9"/>
    <w:rsid w:val="00AF1B89"/>
    <w:rsid w:val="00AF516C"/>
    <w:rsid w:val="00AF57E7"/>
    <w:rsid w:val="00AF6029"/>
    <w:rsid w:val="00AF692A"/>
    <w:rsid w:val="00B00E95"/>
    <w:rsid w:val="00B07005"/>
    <w:rsid w:val="00B076D2"/>
    <w:rsid w:val="00B1260C"/>
    <w:rsid w:val="00B2030B"/>
    <w:rsid w:val="00B217F7"/>
    <w:rsid w:val="00B2662A"/>
    <w:rsid w:val="00B41499"/>
    <w:rsid w:val="00B63B89"/>
    <w:rsid w:val="00B81E35"/>
    <w:rsid w:val="00B84961"/>
    <w:rsid w:val="00BA05AB"/>
    <w:rsid w:val="00BA2135"/>
    <w:rsid w:val="00BA26AF"/>
    <w:rsid w:val="00BA4C1C"/>
    <w:rsid w:val="00BA7FB6"/>
    <w:rsid w:val="00BB1CB4"/>
    <w:rsid w:val="00BB225E"/>
    <w:rsid w:val="00BB79AF"/>
    <w:rsid w:val="00BC0F53"/>
    <w:rsid w:val="00BE06CB"/>
    <w:rsid w:val="00BF6CD0"/>
    <w:rsid w:val="00C028D8"/>
    <w:rsid w:val="00C0792C"/>
    <w:rsid w:val="00C157BF"/>
    <w:rsid w:val="00C21409"/>
    <w:rsid w:val="00C2183D"/>
    <w:rsid w:val="00C239DF"/>
    <w:rsid w:val="00C25895"/>
    <w:rsid w:val="00C25F6F"/>
    <w:rsid w:val="00C306D6"/>
    <w:rsid w:val="00C35EBC"/>
    <w:rsid w:val="00C5107D"/>
    <w:rsid w:val="00C51E24"/>
    <w:rsid w:val="00C5586E"/>
    <w:rsid w:val="00C56D82"/>
    <w:rsid w:val="00C56E32"/>
    <w:rsid w:val="00C67EF2"/>
    <w:rsid w:val="00C71265"/>
    <w:rsid w:val="00C71611"/>
    <w:rsid w:val="00C732FB"/>
    <w:rsid w:val="00C80D65"/>
    <w:rsid w:val="00C830F4"/>
    <w:rsid w:val="00C9074B"/>
    <w:rsid w:val="00C910A4"/>
    <w:rsid w:val="00C93636"/>
    <w:rsid w:val="00CA04FB"/>
    <w:rsid w:val="00CA0893"/>
    <w:rsid w:val="00CA0BC0"/>
    <w:rsid w:val="00CA0C5D"/>
    <w:rsid w:val="00CA28A5"/>
    <w:rsid w:val="00CA59E3"/>
    <w:rsid w:val="00CB03D6"/>
    <w:rsid w:val="00CB441F"/>
    <w:rsid w:val="00CC3BB3"/>
    <w:rsid w:val="00CD1C1C"/>
    <w:rsid w:val="00CE10F9"/>
    <w:rsid w:val="00CE1922"/>
    <w:rsid w:val="00CE6D7E"/>
    <w:rsid w:val="00CF2D2E"/>
    <w:rsid w:val="00D031AE"/>
    <w:rsid w:val="00D0739E"/>
    <w:rsid w:val="00D102F0"/>
    <w:rsid w:val="00D24170"/>
    <w:rsid w:val="00D32851"/>
    <w:rsid w:val="00D34D85"/>
    <w:rsid w:val="00D528B3"/>
    <w:rsid w:val="00D64339"/>
    <w:rsid w:val="00D65A50"/>
    <w:rsid w:val="00D660F3"/>
    <w:rsid w:val="00D7195E"/>
    <w:rsid w:val="00D75DB0"/>
    <w:rsid w:val="00D80AD9"/>
    <w:rsid w:val="00D8146F"/>
    <w:rsid w:val="00D905FD"/>
    <w:rsid w:val="00D95431"/>
    <w:rsid w:val="00DA1C2D"/>
    <w:rsid w:val="00DA324B"/>
    <w:rsid w:val="00DA75C8"/>
    <w:rsid w:val="00DB2C08"/>
    <w:rsid w:val="00DB39B3"/>
    <w:rsid w:val="00DD54A7"/>
    <w:rsid w:val="00DD62E4"/>
    <w:rsid w:val="00DD7DDE"/>
    <w:rsid w:val="00DE34E1"/>
    <w:rsid w:val="00DE72E1"/>
    <w:rsid w:val="00DF5D50"/>
    <w:rsid w:val="00E04CA3"/>
    <w:rsid w:val="00E05265"/>
    <w:rsid w:val="00E065AC"/>
    <w:rsid w:val="00E10706"/>
    <w:rsid w:val="00E13121"/>
    <w:rsid w:val="00E15F1E"/>
    <w:rsid w:val="00E23C53"/>
    <w:rsid w:val="00E24446"/>
    <w:rsid w:val="00E3181C"/>
    <w:rsid w:val="00E3246A"/>
    <w:rsid w:val="00E32A61"/>
    <w:rsid w:val="00E468C8"/>
    <w:rsid w:val="00E65763"/>
    <w:rsid w:val="00E7187B"/>
    <w:rsid w:val="00E76667"/>
    <w:rsid w:val="00E779E0"/>
    <w:rsid w:val="00E8096E"/>
    <w:rsid w:val="00E83929"/>
    <w:rsid w:val="00E904EA"/>
    <w:rsid w:val="00E9334B"/>
    <w:rsid w:val="00E93A07"/>
    <w:rsid w:val="00EA3EDE"/>
    <w:rsid w:val="00EB1009"/>
    <w:rsid w:val="00EB5672"/>
    <w:rsid w:val="00EB6252"/>
    <w:rsid w:val="00EB6BC5"/>
    <w:rsid w:val="00EC15D1"/>
    <w:rsid w:val="00EC1FBB"/>
    <w:rsid w:val="00EC4C8D"/>
    <w:rsid w:val="00ED081A"/>
    <w:rsid w:val="00ED3B17"/>
    <w:rsid w:val="00EE3BE4"/>
    <w:rsid w:val="00EF0E8D"/>
    <w:rsid w:val="00F048AC"/>
    <w:rsid w:val="00F31741"/>
    <w:rsid w:val="00F34F82"/>
    <w:rsid w:val="00F57885"/>
    <w:rsid w:val="00F630F2"/>
    <w:rsid w:val="00F63915"/>
    <w:rsid w:val="00F63B78"/>
    <w:rsid w:val="00F64251"/>
    <w:rsid w:val="00F70665"/>
    <w:rsid w:val="00F71649"/>
    <w:rsid w:val="00F718CB"/>
    <w:rsid w:val="00F72987"/>
    <w:rsid w:val="00F7398B"/>
    <w:rsid w:val="00F76737"/>
    <w:rsid w:val="00F823A6"/>
    <w:rsid w:val="00F85EFC"/>
    <w:rsid w:val="00F95DF3"/>
    <w:rsid w:val="00FA1362"/>
    <w:rsid w:val="00FA555B"/>
    <w:rsid w:val="00FA586F"/>
    <w:rsid w:val="00FB2AE8"/>
    <w:rsid w:val="00FC11D6"/>
    <w:rsid w:val="00FC2AB5"/>
    <w:rsid w:val="00FC7B30"/>
    <w:rsid w:val="00FE1248"/>
    <w:rsid w:val="00FE2D4A"/>
    <w:rsid w:val="00FF7F52"/>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BACDB-668E-497A-AA78-D5B2A15D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8C8"/>
    <w:pPr>
      <w:spacing w:after="0"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FBB"/>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FOOTNOTES"/>
    <w:basedOn w:val="Normal"/>
    <w:link w:val="FootnoteTextChar"/>
    <w:uiPriority w:val="99"/>
    <w:unhideWhenUsed/>
    <w:qFormat/>
    <w:rsid w:val="005A24A0"/>
    <w:rPr>
      <w:sz w:val="24"/>
      <w:szCs w:val="24"/>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sid w:val="005A24A0"/>
    <w:rPr>
      <w:rFonts w:eastAsia="Times New Roman" w:cs="Times New Roman"/>
      <w:sz w:val="24"/>
      <w:szCs w:val="24"/>
      <w:lang w:val="x-none" w:eastAsia="x-none"/>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Footnote dich"/>
    <w:link w:val="CharChar1CharCharCharChar1CharCharCharCharCharCharCharChar"/>
    <w:uiPriority w:val="99"/>
    <w:unhideWhenUsed/>
    <w:qFormat/>
    <w:rsid w:val="005A24A0"/>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A24A0"/>
    <w:pPr>
      <w:spacing w:after="160" w:line="240" w:lineRule="exact"/>
    </w:pPr>
    <w:rPr>
      <w:rFonts w:eastAsiaTheme="minorHAnsi" w:cstheme="minorBidi"/>
      <w:szCs w:val="22"/>
      <w:vertAlign w:val="superscript"/>
    </w:rPr>
  </w:style>
  <w:style w:type="paragraph" w:customStyle="1" w:styleId="Char">
    <w:name w:val="Char"/>
    <w:basedOn w:val="Normal"/>
    <w:link w:val="CharChar"/>
    <w:rsid w:val="001B2EB9"/>
    <w:rPr>
      <w:rFonts w:ascii="Arial" w:eastAsia="MS Mincho" w:hAnsi="Arial"/>
      <w:sz w:val="22"/>
      <w:szCs w:val="20"/>
      <w:lang w:val="en-AU"/>
    </w:rPr>
  </w:style>
  <w:style w:type="character" w:customStyle="1" w:styleId="CharChar">
    <w:name w:val="Char Char"/>
    <w:link w:val="Char"/>
    <w:rsid w:val="001B2EB9"/>
    <w:rPr>
      <w:rFonts w:ascii="Arial" w:eastAsia="MS Mincho" w:hAnsi="Arial" w:cs="Times New Roman"/>
      <w:sz w:val="22"/>
      <w:szCs w:val="20"/>
      <w:lang w:val="en-AU"/>
    </w:rPr>
  </w:style>
  <w:style w:type="character" w:customStyle="1" w:styleId="fontstyle21">
    <w:name w:val="fontstyle21"/>
    <w:rsid w:val="0093703D"/>
    <w:rPr>
      <w:rFonts w:ascii="Times New Roman" w:hAnsi="Times New Roman" w:cs="Times New Roman" w:hint="default"/>
      <w:b w:val="0"/>
      <w:bCs w:val="0"/>
      <w:i w:val="0"/>
      <w:iCs w:val="0"/>
      <w:color w:val="000000"/>
      <w:sz w:val="28"/>
      <w:szCs w:val="28"/>
    </w:rPr>
  </w:style>
  <w:style w:type="paragraph" w:customStyle="1" w:styleId="Char0">
    <w:name w:val="Char"/>
    <w:basedOn w:val="Normal"/>
    <w:rsid w:val="00C21409"/>
    <w:pPr>
      <w:spacing w:after="160" w:line="240" w:lineRule="exact"/>
    </w:pPr>
    <w:rPr>
      <w:rFonts w:ascii="Verdana" w:hAnsi="Verdana"/>
      <w:sz w:val="20"/>
      <w:szCs w:val="20"/>
      <w:lang w:val="en-US"/>
    </w:rPr>
  </w:style>
  <w:style w:type="character" w:customStyle="1" w:styleId="Bodytext2">
    <w:name w:val="Body text (2)_"/>
    <w:link w:val="Bodytext20"/>
    <w:rsid w:val="00DD54A7"/>
    <w:rPr>
      <w:sz w:val="26"/>
      <w:szCs w:val="26"/>
      <w:shd w:val="clear" w:color="auto" w:fill="FFFFFF"/>
    </w:rPr>
  </w:style>
  <w:style w:type="paragraph" w:customStyle="1" w:styleId="Bodytext20">
    <w:name w:val="Body text (2)"/>
    <w:basedOn w:val="Normal"/>
    <w:link w:val="Bodytext2"/>
    <w:rsid w:val="00DD54A7"/>
    <w:pPr>
      <w:widowControl w:val="0"/>
      <w:shd w:val="clear" w:color="auto" w:fill="FFFFFF"/>
      <w:spacing w:before="180" w:after="480" w:line="0" w:lineRule="atLeast"/>
      <w:jc w:val="both"/>
    </w:pPr>
    <w:rPr>
      <w:rFonts w:eastAsiaTheme="minorHAnsi" w:cstheme="minorBidi"/>
      <w:sz w:val="26"/>
      <w:szCs w:val="26"/>
    </w:rPr>
  </w:style>
  <w:style w:type="character" w:customStyle="1" w:styleId="fontstyle01">
    <w:name w:val="fontstyle01"/>
    <w:rsid w:val="008613F3"/>
    <w:rPr>
      <w:rFonts w:ascii="Times New Roman" w:hAnsi="Times New Roman" w:cs="Times New Roman" w:hint="default"/>
      <w:b w:val="0"/>
      <w:bCs w:val="0"/>
      <w:i w:val="0"/>
      <w:iCs w:val="0"/>
      <w:color w:val="000000"/>
      <w:sz w:val="28"/>
      <w:szCs w:val="28"/>
    </w:rPr>
  </w:style>
  <w:style w:type="character" w:customStyle="1" w:styleId="Bodytext4">
    <w:name w:val="Body text (4)_"/>
    <w:link w:val="Bodytext40"/>
    <w:uiPriority w:val="99"/>
    <w:locked/>
    <w:rsid w:val="00BA7FB6"/>
    <w:rPr>
      <w:i/>
      <w:iCs/>
      <w:sz w:val="26"/>
      <w:szCs w:val="26"/>
      <w:shd w:val="clear" w:color="auto" w:fill="FFFFFF"/>
    </w:rPr>
  </w:style>
  <w:style w:type="paragraph" w:customStyle="1" w:styleId="Bodytext40">
    <w:name w:val="Body text (4)"/>
    <w:basedOn w:val="Normal"/>
    <w:link w:val="Bodytext4"/>
    <w:uiPriority w:val="99"/>
    <w:rsid w:val="00BA7FB6"/>
    <w:pPr>
      <w:widowControl w:val="0"/>
      <w:shd w:val="clear" w:color="auto" w:fill="FFFFFF"/>
      <w:spacing w:after="1140" w:line="336" w:lineRule="exact"/>
      <w:ind w:firstLine="760"/>
      <w:jc w:val="both"/>
    </w:pPr>
    <w:rPr>
      <w:rFonts w:eastAsiaTheme="minorHAnsi" w:cstheme="minorBidi"/>
      <w:i/>
      <w:iCs/>
      <w:sz w:val="26"/>
      <w:szCs w:val="26"/>
      <w:shd w:val="clear" w:color="auto" w:fill="FFFFFF"/>
    </w:rPr>
  </w:style>
  <w:style w:type="paragraph" w:customStyle="1" w:styleId="body">
    <w:name w:val="body"/>
    <w:basedOn w:val="Normal"/>
    <w:rsid w:val="007D2428"/>
    <w:pPr>
      <w:spacing w:before="120" w:after="120"/>
      <w:ind w:firstLine="720"/>
      <w:jc w:val="both"/>
    </w:pPr>
    <w:rPr>
      <w:rFonts w:ascii=".VnTime" w:hAnsi=".VnTime"/>
      <w:szCs w:val="20"/>
      <w:lang w:val="en-US"/>
    </w:rPr>
  </w:style>
  <w:style w:type="character" w:styleId="Hyperlink">
    <w:name w:val="Hyperlink"/>
    <w:basedOn w:val="DefaultParagraphFont"/>
    <w:uiPriority w:val="99"/>
    <w:semiHidden/>
    <w:unhideWhenUsed/>
    <w:rsid w:val="00346D03"/>
    <w:rPr>
      <w:color w:val="0000FF"/>
      <w:u w:val="single"/>
    </w:rPr>
  </w:style>
  <w:style w:type="paragraph" w:styleId="BodyText">
    <w:name w:val="Body Text"/>
    <w:basedOn w:val="Normal"/>
    <w:link w:val="BodyTextChar"/>
    <w:unhideWhenUsed/>
    <w:rsid w:val="00AF57E7"/>
    <w:pPr>
      <w:spacing w:after="120"/>
    </w:pPr>
    <w:rPr>
      <w:lang w:val="en-US"/>
    </w:rPr>
  </w:style>
  <w:style w:type="character" w:customStyle="1" w:styleId="BodyTextChar">
    <w:name w:val="Body Text Char"/>
    <w:basedOn w:val="DefaultParagraphFont"/>
    <w:link w:val="BodyText"/>
    <w:rsid w:val="00AF57E7"/>
    <w:rPr>
      <w:rFonts w:eastAsia="Times New Roman" w:cs="Times New Roman"/>
      <w:szCs w:val="28"/>
      <w:lang w:val="en-US"/>
    </w:rPr>
  </w:style>
  <w:style w:type="paragraph" w:styleId="BalloonText">
    <w:name w:val="Balloon Text"/>
    <w:basedOn w:val="Normal"/>
    <w:link w:val="BalloonTextChar"/>
    <w:uiPriority w:val="99"/>
    <w:semiHidden/>
    <w:unhideWhenUsed/>
    <w:rsid w:val="00A37C9D"/>
    <w:rPr>
      <w:rFonts w:ascii="Tahoma" w:hAnsi="Tahoma" w:cs="Tahoma"/>
      <w:sz w:val="16"/>
      <w:szCs w:val="16"/>
    </w:rPr>
  </w:style>
  <w:style w:type="character" w:customStyle="1" w:styleId="BalloonTextChar">
    <w:name w:val="Balloon Text Char"/>
    <w:basedOn w:val="DefaultParagraphFont"/>
    <w:link w:val="BalloonText"/>
    <w:uiPriority w:val="99"/>
    <w:semiHidden/>
    <w:rsid w:val="00A37C9D"/>
    <w:rPr>
      <w:rFonts w:ascii="Tahoma" w:eastAsia="Times New Roman" w:hAnsi="Tahoma" w:cs="Tahoma"/>
      <w:sz w:val="16"/>
      <w:szCs w:val="16"/>
    </w:rPr>
  </w:style>
  <w:style w:type="character" w:customStyle="1" w:styleId="PicturecaptionExact">
    <w:name w:val="Picture caption Exact"/>
    <w:basedOn w:val="DefaultParagraphFont"/>
    <w:link w:val="Picturecaption"/>
    <w:rsid w:val="003D4EAD"/>
    <w:rPr>
      <w:rFonts w:eastAsia="Times New Roman"/>
      <w:sz w:val="26"/>
      <w:szCs w:val="26"/>
      <w:shd w:val="clear" w:color="auto" w:fill="FFFFFF"/>
    </w:rPr>
  </w:style>
  <w:style w:type="paragraph" w:customStyle="1" w:styleId="Picturecaption">
    <w:name w:val="Picture caption"/>
    <w:basedOn w:val="Normal"/>
    <w:link w:val="PicturecaptionExact"/>
    <w:rsid w:val="003D4EAD"/>
    <w:pPr>
      <w:widowControl w:val="0"/>
      <w:shd w:val="clear" w:color="auto" w:fill="FFFFFF"/>
      <w:spacing w:line="0" w:lineRule="atLeast"/>
    </w:pPr>
    <w:rPr>
      <w:rFonts w:cstheme="minorBidi"/>
      <w:sz w:val="26"/>
      <w:szCs w:val="26"/>
    </w:rPr>
  </w:style>
  <w:style w:type="paragraph" w:customStyle="1" w:styleId="Body1">
    <w:name w:val="Body 1"/>
    <w:rsid w:val="00E904EA"/>
    <w:pPr>
      <w:spacing w:after="0" w:line="240" w:lineRule="auto"/>
      <w:jc w:val="left"/>
      <w:outlineLvl w:val="0"/>
    </w:pPr>
    <w:rPr>
      <w:rFonts w:eastAsia="Times New Roman" w:cs="Times New Roman"/>
      <w:color w:val="000000"/>
      <w:szCs w:val="20"/>
      <w:u w:color="000000"/>
      <w:lang w:val="en-US"/>
    </w:rPr>
  </w:style>
  <w:style w:type="paragraph" w:customStyle="1" w:styleId="Normal1">
    <w:name w:val="Normal1"/>
    <w:basedOn w:val="Normal"/>
    <w:rsid w:val="00E904EA"/>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146C0-F65D-46AB-BD3A-F6959B0F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9159</Words>
  <Characters>52208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2020-12-04T10:44:00Z</cp:lastPrinted>
  <dcterms:created xsi:type="dcterms:W3CDTF">2020-12-07T04:29:00Z</dcterms:created>
  <dcterms:modified xsi:type="dcterms:W3CDTF">2020-12-07T06:19:00Z</dcterms:modified>
</cp:coreProperties>
</file>