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9A167B" w:rsidRPr="00754BA8" w:rsidTr="00754BA8">
        <w:trPr>
          <w:trHeight w:val="1244"/>
        </w:trPr>
        <w:tc>
          <w:tcPr>
            <w:tcW w:w="1761" w:type="pct"/>
          </w:tcPr>
          <w:p w:rsidR="009A167B" w:rsidRPr="00754BA8" w:rsidRDefault="009A167B" w:rsidP="00F95B5B">
            <w:pPr>
              <w:jc w:val="center"/>
              <w:rPr>
                <w:b/>
                <w:sz w:val="26"/>
                <w:szCs w:val="26"/>
              </w:rPr>
            </w:pPr>
            <w:r w:rsidRPr="00754BA8">
              <w:rPr>
                <w:b/>
                <w:sz w:val="26"/>
                <w:szCs w:val="26"/>
              </w:rPr>
              <w:t>HỘI ĐỒNG NHÂN DÂN</w:t>
            </w:r>
          </w:p>
          <w:p w:rsidR="009A167B" w:rsidRPr="00754BA8" w:rsidRDefault="009A167B" w:rsidP="00F95B5B">
            <w:pPr>
              <w:jc w:val="center"/>
              <w:rPr>
                <w:b/>
                <w:sz w:val="26"/>
                <w:szCs w:val="26"/>
              </w:rPr>
            </w:pPr>
            <w:r w:rsidRPr="00754BA8">
              <w:rPr>
                <w:b/>
                <w:sz w:val="26"/>
                <w:szCs w:val="26"/>
              </w:rPr>
              <w:t>TỈNH HÀ TĨNH</w:t>
            </w:r>
          </w:p>
          <w:p w:rsidR="009A167B" w:rsidRPr="00754BA8" w:rsidRDefault="009A167B" w:rsidP="00F95B5B">
            <w:pPr>
              <w:jc w:val="center"/>
              <w:rPr>
                <w:sz w:val="26"/>
                <w:szCs w:val="26"/>
              </w:rPr>
            </w:pPr>
            <w:r w:rsidRPr="00754BA8">
              <w:rPr>
                <w:b/>
                <w:noProof/>
                <w:sz w:val="26"/>
                <w:szCs w:val="26"/>
              </w:rPr>
              <mc:AlternateContent>
                <mc:Choice Requires="wps">
                  <w:drawing>
                    <wp:anchor distT="0" distB="0" distL="114300" distR="114300" simplePos="0" relativeHeight="251660288" behindDoc="0" locked="0" layoutInCell="1" allowOverlap="1" wp14:anchorId="4FA59085" wp14:editId="1DA610BD">
                      <wp:simplePos x="0" y="0"/>
                      <wp:positionH relativeFrom="column">
                        <wp:posOffset>501015</wp:posOffset>
                      </wp:positionH>
                      <wp:positionV relativeFrom="paragraph">
                        <wp:posOffset>52705</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4.15pt" to="117.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2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"/>
                  </w:pict>
                </mc:Fallback>
              </mc:AlternateContent>
            </w:r>
          </w:p>
          <w:p w:rsidR="009A167B" w:rsidRPr="00754BA8" w:rsidRDefault="009A167B" w:rsidP="00815940">
            <w:pPr>
              <w:jc w:val="center"/>
              <w:rPr>
                <w:b/>
                <w:sz w:val="26"/>
                <w:szCs w:val="26"/>
                <w:lang w:val="vi-VN"/>
              </w:rPr>
            </w:pPr>
            <w:r w:rsidRPr="00754BA8">
              <w:rPr>
                <w:sz w:val="26"/>
                <w:szCs w:val="26"/>
              </w:rPr>
              <w:t xml:space="preserve">Số: </w:t>
            </w:r>
            <w:r w:rsidR="00815940">
              <w:rPr>
                <w:sz w:val="26"/>
                <w:szCs w:val="26"/>
              </w:rPr>
              <w:t>575</w:t>
            </w:r>
            <w:r w:rsidRPr="00754BA8">
              <w:rPr>
                <w:sz w:val="26"/>
                <w:szCs w:val="26"/>
              </w:rPr>
              <w:t>/BC-HĐND</w:t>
            </w:r>
          </w:p>
        </w:tc>
        <w:tc>
          <w:tcPr>
            <w:tcW w:w="3239" w:type="pct"/>
          </w:tcPr>
          <w:p w:rsidR="009A167B" w:rsidRPr="00754BA8" w:rsidRDefault="009A167B" w:rsidP="00F95B5B">
            <w:pPr>
              <w:jc w:val="center"/>
              <w:rPr>
                <w:b/>
                <w:sz w:val="26"/>
                <w:szCs w:val="26"/>
                <w:lang w:val="vi-VN"/>
              </w:rPr>
            </w:pPr>
            <w:r w:rsidRPr="00754BA8">
              <w:rPr>
                <w:b/>
                <w:sz w:val="26"/>
                <w:szCs w:val="26"/>
                <w:lang w:val="vi-VN"/>
              </w:rPr>
              <w:t>CỘNG HOÀ XÃ HỘI CHỦ NGHĨA VIỆT NAM</w:t>
            </w:r>
          </w:p>
          <w:p w:rsidR="009A167B" w:rsidRPr="00754BA8" w:rsidRDefault="009A167B" w:rsidP="00F95B5B">
            <w:pPr>
              <w:jc w:val="center"/>
              <w:rPr>
                <w:b/>
                <w:sz w:val="26"/>
                <w:szCs w:val="26"/>
              </w:rPr>
            </w:pPr>
            <w:r w:rsidRPr="00754BA8">
              <w:rPr>
                <w:b/>
                <w:sz w:val="26"/>
                <w:szCs w:val="26"/>
              </w:rPr>
              <w:t>Độc lập - Tự do - Hạnh phúc</w:t>
            </w:r>
          </w:p>
          <w:p w:rsidR="009A167B" w:rsidRPr="00754BA8" w:rsidRDefault="009A167B" w:rsidP="00F95B5B">
            <w:pPr>
              <w:tabs>
                <w:tab w:val="left" w:pos="1620"/>
              </w:tabs>
              <w:jc w:val="center"/>
              <w:rPr>
                <w:sz w:val="26"/>
                <w:szCs w:val="26"/>
              </w:rPr>
            </w:pPr>
            <w:r w:rsidRPr="00754BA8">
              <w:rPr>
                <w:b/>
                <w:noProof/>
                <w:sz w:val="26"/>
                <w:szCs w:val="26"/>
              </w:rPr>
              <mc:AlternateContent>
                <mc:Choice Requires="wps">
                  <w:drawing>
                    <wp:anchor distT="0" distB="0" distL="114300" distR="114300" simplePos="0" relativeHeight="251659264" behindDoc="0" locked="0" layoutInCell="1" allowOverlap="1" wp14:anchorId="06DCF503" wp14:editId="65B0191A">
                      <wp:simplePos x="0" y="0"/>
                      <wp:positionH relativeFrom="column">
                        <wp:posOffset>938530</wp:posOffset>
                      </wp:positionH>
                      <wp:positionV relativeFrom="paragraph">
                        <wp:posOffset>71755</wp:posOffset>
                      </wp:positionV>
                      <wp:extent cx="17335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5.65pt" to="210.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bZ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MI0U6&#10;aNHWWyL2rUeVVgoE1BZlQafeuALCK7WxoVJ6Ulvzoul3h5SuWqL2PPJ9OxsASUNG8i4lbJyB23b9&#10;F80ghhy8jqKdGtsFSJADnWJvzvfe8JNHFA7Tp/F4MoE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"/>
                  </w:pict>
                </mc:Fallback>
              </mc:AlternateContent>
            </w:r>
          </w:p>
          <w:p w:rsidR="009A167B" w:rsidRPr="00754BA8" w:rsidRDefault="009A167B" w:rsidP="00815940">
            <w:pPr>
              <w:jc w:val="center"/>
              <w:rPr>
                <w:sz w:val="26"/>
                <w:szCs w:val="26"/>
              </w:rPr>
            </w:pPr>
            <w:r w:rsidRPr="00754BA8">
              <w:rPr>
                <w:i/>
                <w:sz w:val="26"/>
                <w:szCs w:val="26"/>
              </w:rPr>
              <w:t xml:space="preserve">Hà Tĩnh, ngày </w:t>
            </w:r>
            <w:r w:rsidR="00815940">
              <w:rPr>
                <w:i/>
                <w:sz w:val="26"/>
                <w:szCs w:val="26"/>
              </w:rPr>
              <w:t xml:space="preserve">05 </w:t>
            </w:r>
            <w:bookmarkStart w:id="0" w:name="_GoBack"/>
            <w:bookmarkEnd w:id="0"/>
            <w:r w:rsidRPr="00754BA8">
              <w:rPr>
                <w:i/>
                <w:sz w:val="26"/>
                <w:szCs w:val="26"/>
              </w:rPr>
              <w:t>tháng 12 năm 2020</w:t>
            </w:r>
          </w:p>
        </w:tc>
      </w:tr>
    </w:tbl>
    <w:p w:rsidR="009A167B" w:rsidRPr="0000687E" w:rsidRDefault="009A167B" w:rsidP="009A167B">
      <w:pPr>
        <w:tabs>
          <w:tab w:val="left" w:pos="520"/>
        </w:tabs>
        <w:rPr>
          <w:b/>
          <w:lang w:val="vi-VN"/>
        </w:rPr>
      </w:pPr>
      <w:r>
        <w:rPr>
          <w:b/>
          <w:lang w:val="vi-VN"/>
        </w:rPr>
        <w:tab/>
      </w:r>
    </w:p>
    <w:p w:rsidR="009A167B" w:rsidRDefault="009A167B" w:rsidP="009A167B">
      <w:pPr>
        <w:jc w:val="center"/>
        <w:rPr>
          <w:b/>
          <w:lang w:val="vi-VN"/>
        </w:rPr>
      </w:pPr>
    </w:p>
    <w:p w:rsidR="009A167B" w:rsidRPr="0000687E" w:rsidRDefault="009A167B" w:rsidP="009A167B">
      <w:pPr>
        <w:jc w:val="center"/>
        <w:rPr>
          <w:b/>
          <w:lang w:val="vi-VN"/>
        </w:rPr>
      </w:pPr>
      <w:r w:rsidRPr="0000687E">
        <w:rPr>
          <w:b/>
          <w:lang w:val="vi-VN"/>
        </w:rPr>
        <w:t>BÁO CÁO</w:t>
      </w:r>
    </w:p>
    <w:p w:rsidR="009A167B" w:rsidRPr="0000687E" w:rsidRDefault="009A167B" w:rsidP="009A167B">
      <w:pPr>
        <w:jc w:val="center"/>
        <w:rPr>
          <w:b/>
          <w:lang w:val="vi-VN"/>
        </w:rPr>
      </w:pPr>
      <w:r w:rsidRPr="0000687E">
        <w:rPr>
          <w:b/>
          <w:lang w:val="vi-VN"/>
        </w:rPr>
        <w:t xml:space="preserve">Thẩm tra </w:t>
      </w:r>
      <w:r w:rsidRPr="0000687E">
        <w:rPr>
          <w:b/>
          <w:iCs/>
          <w:spacing w:val="-6"/>
          <w:lang w:val="vi-VN"/>
        </w:rPr>
        <w:t xml:space="preserve">Tờ trình và Dự thảo </w:t>
      </w:r>
      <w:r w:rsidRPr="0000687E">
        <w:rPr>
          <w:b/>
        </w:rPr>
        <w:t xml:space="preserve">Nghị quyết </w:t>
      </w:r>
      <w:r>
        <w:rPr>
          <w:b/>
        </w:rPr>
        <w:t>về điều chỉnh thời kỳ ổn định ngân sách địa phương giai đoạn 2017-2020 sang thực hiện đến hết năm 2021</w:t>
      </w:r>
    </w:p>
    <w:p w:rsidR="009A167B" w:rsidRPr="0000687E" w:rsidRDefault="009A167B" w:rsidP="009A167B">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076AB889" wp14:editId="24361CB0">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CDC6B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9A167B" w:rsidRPr="0000687E" w:rsidRDefault="009A167B" w:rsidP="00DB6819">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w:t>
      </w:r>
      <w:r w:rsidRPr="00DB6819">
        <w:rPr>
          <w:lang w:val="vi-VN"/>
        </w:rPr>
        <w:t>Tờ trình số</w:t>
      </w:r>
      <w:r w:rsidR="00DB6819">
        <w:t xml:space="preserve"> 442</w:t>
      </w:r>
      <w:r w:rsidRPr="00DB6819">
        <w:rPr>
          <w:lang w:val="vi-VN"/>
        </w:rPr>
        <w:t>/TTr-UBND ngày</w:t>
      </w:r>
      <w:r w:rsidR="00DB6819">
        <w:t xml:space="preserve"> 30</w:t>
      </w:r>
      <w:r w:rsidRPr="00DB6819">
        <w:rPr>
          <w:lang w:val="vi-VN"/>
        </w:rPr>
        <w:t>/1</w:t>
      </w:r>
      <w:r w:rsidR="00DB6819">
        <w:t>1</w:t>
      </w:r>
      <w:r w:rsidRPr="00DB6819">
        <w:rPr>
          <w:lang w:val="vi-VN"/>
        </w:rPr>
        <w:t>/20</w:t>
      </w:r>
      <w:r w:rsidRPr="00DB6819">
        <w:t>20</w:t>
      </w:r>
      <w:r w:rsidRPr="00DB6819">
        <w:rPr>
          <w:lang w:val="vi-VN"/>
        </w:rPr>
        <w:t xml:space="preserve"> của</w:t>
      </w:r>
      <w:r w:rsidRPr="0000687E">
        <w:rPr>
          <w:lang w:val="vi-VN"/>
        </w:rPr>
        <w:t xml:space="preserve"> Ủy ban nhân dân tỉ</w:t>
      </w:r>
      <w:r>
        <w:rPr>
          <w:lang w:val="vi-VN"/>
        </w:rPr>
        <w:t>nh và d</w:t>
      </w:r>
      <w:r w:rsidRPr="0000687E">
        <w:rPr>
          <w:lang w:val="vi-VN"/>
        </w:rPr>
        <w:t xml:space="preserve">ự thảo </w:t>
      </w:r>
      <w:r w:rsidRPr="0000687E">
        <w:t xml:space="preserve">Nghị quyết </w:t>
      </w:r>
      <w:r>
        <w:t>về điều chỉnh thời kỳ ổn định ngân sách địa phương giai đoạn 2017-2020 sang thực hiện đến hết năm 2021 như sau:</w:t>
      </w:r>
    </w:p>
    <w:p w:rsidR="009A167B" w:rsidRDefault="009A167B" w:rsidP="00DB6819">
      <w:pPr>
        <w:spacing w:before="40" w:after="60" w:line="340" w:lineRule="exact"/>
        <w:ind w:firstLine="720"/>
        <w:jc w:val="both"/>
        <w:rPr>
          <w:b/>
        </w:rPr>
      </w:pPr>
      <w:bookmarkStart w:id="1" w:name="dieu_58"/>
      <w:r w:rsidRPr="0000687E">
        <w:rPr>
          <w:b/>
          <w:lang w:val="vi-VN"/>
        </w:rPr>
        <w:t>1. Căn cứ pháp lý, sự cần thiết và thẩm quyền ban hành</w:t>
      </w:r>
    </w:p>
    <w:p w:rsidR="00AA21E9" w:rsidRDefault="009A167B" w:rsidP="00DB6819">
      <w:pPr>
        <w:tabs>
          <w:tab w:val="left" w:pos="709"/>
        </w:tabs>
        <w:spacing w:before="40" w:after="60" w:line="340" w:lineRule="exact"/>
        <w:ind w:firstLine="720"/>
        <w:jc w:val="both"/>
      </w:pPr>
      <w:r>
        <w:t xml:space="preserve">Khoản 5, Điều 1, Nghị quyết số 122/2020/QH14 ngày 19/6/2020 của Quốc hội về kỳ họp thứ 9, Quốc hội khóa XIV quy định: </w:t>
      </w:r>
      <w:r w:rsidRPr="00A67999">
        <w:rPr>
          <w:i/>
        </w:rPr>
        <w:t>“Kéo dài thời kỳ ổn định ngân sách nhà nước giai đoạn 2017-2020 sang năm 2021. Lùi thời gian ban hành định mức phân bổ dự toán chi thường xuyên sang năm 2021 để áp dụng cho thời kỳ ổn định ngân sách mới”</w:t>
      </w:r>
      <w:r>
        <w:t xml:space="preserve">. </w:t>
      </w:r>
      <w:r w:rsidR="00AA21E9" w:rsidRPr="000B59AD">
        <w:t xml:space="preserve">Tuy vậy, hiện nay các Nghị quyết của </w:t>
      </w:r>
      <w:r w:rsidR="00AA21E9" w:rsidRPr="00B02671">
        <w:t>H</w:t>
      </w:r>
      <w:r w:rsidR="00AA21E9">
        <w:t>ội đồng nhân dân</w:t>
      </w:r>
      <w:r w:rsidR="00AA21E9" w:rsidRPr="000B59AD">
        <w:t xml:space="preserve"> tỉnh</w:t>
      </w:r>
      <w:r w:rsidR="00AA21E9">
        <w:t>, bao gồm: Nghị quyết s</w:t>
      </w:r>
      <w:r w:rsidR="00AA21E9" w:rsidRPr="000B59AD">
        <w:t>ố 28/2016/NQ-HĐND ngày 15/12/2016 quy định về phân cấp nguồn thu, nhiệm vụ chi các cấp ngân sách, tỷ lệ phần trăm (%) phân chia nguồn thu giữa các cấp ngân sách</w:t>
      </w:r>
      <w:r w:rsidR="00AA21E9">
        <w:t xml:space="preserve"> giai đoạn 2017-2020</w:t>
      </w:r>
      <w:r w:rsidR="00AA21E9" w:rsidRPr="000B59AD">
        <w:t xml:space="preserve"> và định mức phân bổ chi thường xuyên ngân sách địa phương năm 2017; </w:t>
      </w:r>
      <w:r w:rsidR="00AA21E9">
        <w:t xml:space="preserve">Nghị quyết </w:t>
      </w:r>
      <w:r w:rsidR="00AA21E9" w:rsidRPr="000B59AD">
        <w:t xml:space="preserve">số 74/2017/NQ-HĐND ngày 13/12/2017 về sửa đổi, bổ sung một số điều của Nghị quyết số 28/2016/NQ-HĐND ngày 15/12/2016 của </w:t>
      </w:r>
      <w:r w:rsidR="00AA21E9" w:rsidRPr="00B02671">
        <w:t>H</w:t>
      </w:r>
      <w:r w:rsidR="00AA21E9">
        <w:t>ội đồng nhân dân</w:t>
      </w:r>
      <w:r w:rsidR="00AA21E9" w:rsidRPr="000B59AD">
        <w:t xml:space="preserve"> tỉnh; </w:t>
      </w:r>
      <w:r w:rsidR="00AA21E9">
        <w:t xml:space="preserve">Nghị quyết </w:t>
      </w:r>
      <w:r w:rsidR="00AA21E9" w:rsidRPr="000B59AD">
        <w:t xml:space="preserve">số 122/2018/NQ-HĐND ngày 13/12/2018 về sửa đổi, bổ sung một số nội dung quy định tại Nghị quyết số 28/2016/NQ-HĐND ngày 15/12/2016 có </w:t>
      </w:r>
      <w:r w:rsidR="00AA21E9">
        <w:t>hiệu lực thi hành</w:t>
      </w:r>
      <w:r w:rsidR="00AA21E9" w:rsidRPr="000B59AD">
        <w:t xml:space="preserve"> đến hết năm 2020.</w:t>
      </w:r>
      <w:r w:rsidR="00AA21E9">
        <w:t xml:space="preserve"> Do đó, việc Ủy ban nhân dân tỉnh trình Hội đồng nhân dân tỉnh ban hành </w:t>
      </w:r>
      <w:r w:rsidR="00AA21E9" w:rsidRPr="00A87DB4">
        <w:t>Nghị quyết về điều chỉnh thời kỳ ổn định ngân sách địa phương giai đoạn 2017-2020 sang thực hiện đến hết năm 2021</w:t>
      </w:r>
      <w:r w:rsidR="00AA21E9">
        <w:t xml:space="preserve"> là cần thiết.</w:t>
      </w:r>
    </w:p>
    <w:p w:rsidR="00AA21E9" w:rsidRDefault="00AA21E9" w:rsidP="00DB6819">
      <w:pPr>
        <w:spacing w:before="40" w:after="60" w:line="340" w:lineRule="exact"/>
        <w:ind w:firstLine="720"/>
        <w:jc w:val="both"/>
        <w:rPr>
          <w:lang w:val="nl-NL"/>
        </w:rPr>
      </w:pPr>
      <w:r w:rsidRPr="000D6FA9">
        <w:rPr>
          <w:bCs/>
          <w:lang w:val="pt-BR"/>
        </w:rPr>
        <w:t>T</w:t>
      </w:r>
      <w:r w:rsidRPr="000D6FA9">
        <w:rPr>
          <w:iCs/>
          <w:lang w:val="nb-NO"/>
        </w:rPr>
        <w:t>ờ trình và dự thảo Nghị quyết đã có đầy đủ hồ sơ, thủ tục, các căn cứ pháp lý liên quan</w:t>
      </w:r>
      <w:r w:rsidRPr="000D6FA9">
        <w:rPr>
          <w:rStyle w:val="FootnoteReference"/>
        </w:rPr>
        <w:footnoteReference w:id="1"/>
      </w:r>
      <w:r w:rsidRPr="000D6FA9">
        <w:rPr>
          <w:iCs/>
          <w:lang w:val="nb-NO"/>
        </w:rPr>
        <w:t xml:space="preserve">; </w:t>
      </w:r>
      <w:r w:rsidRPr="000D6FA9">
        <w:rPr>
          <w:lang w:val="vi-VN"/>
        </w:rPr>
        <w:t xml:space="preserve">lấy ý kiến đóng góp của </w:t>
      </w:r>
      <w:r>
        <w:t>các địa phương, đơn vị liên quan</w:t>
      </w:r>
      <w:r w:rsidRPr="000D6FA9">
        <w:rPr>
          <w:lang w:val="nb-NO"/>
        </w:rPr>
        <w:t xml:space="preserve"> </w:t>
      </w:r>
      <w:r w:rsidRPr="000D6FA9">
        <w:rPr>
          <w:iCs/>
          <w:lang w:val="nb-NO"/>
        </w:rPr>
        <w:t>và được cơ quan t</w:t>
      </w:r>
      <w:r w:rsidRPr="000D6FA9">
        <w:rPr>
          <w:bCs/>
          <w:lang w:val="vi-VN"/>
        </w:rPr>
        <w:t xml:space="preserve">ư pháp thẩm </w:t>
      </w:r>
      <w:r w:rsidRPr="000D6FA9">
        <w:rPr>
          <w:iCs/>
          <w:lang w:val="nb-NO"/>
        </w:rPr>
        <w:t>định theo đúng trình tự, quy phạm pháp luật</w:t>
      </w:r>
      <w:r w:rsidRPr="000D6FA9">
        <w:rPr>
          <w:rStyle w:val="FootnoteReference"/>
        </w:rPr>
        <w:footnoteReference w:id="2"/>
      </w:r>
      <w:r w:rsidRPr="000D6FA9">
        <w:rPr>
          <w:iCs/>
          <w:lang w:val="nb-NO"/>
        </w:rPr>
        <w:t>.</w:t>
      </w:r>
    </w:p>
    <w:p w:rsidR="009A167B" w:rsidRDefault="009A167B" w:rsidP="00DB6819">
      <w:pPr>
        <w:spacing w:before="40" w:after="60" w:line="340" w:lineRule="exact"/>
        <w:ind w:firstLine="720"/>
        <w:jc w:val="both"/>
        <w:rPr>
          <w:b/>
          <w:bCs/>
          <w:lang w:val="sq-AL"/>
        </w:rPr>
      </w:pPr>
      <w:r w:rsidRPr="0000687E">
        <w:rPr>
          <w:b/>
          <w:bCs/>
          <w:lang w:val="vi-VN"/>
        </w:rPr>
        <w:lastRenderedPageBreak/>
        <w:t>2</w:t>
      </w:r>
      <w:r w:rsidRPr="0000687E">
        <w:rPr>
          <w:b/>
          <w:bCs/>
          <w:lang w:val="sq-AL"/>
        </w:rPr>
        <w:t>. Về nội dung Tờ trình và dự thảo Nghị quyết</w:t>
      </w:r>
    </w:p>
    <w:p w:rsidR="002369A7" w:rsidRPr="00774D4D" w:rsidRDefault="002369A7" w:rsidP="00DB6819">
      <w:pPr>
        <w:tabs>
          <w:tab w:val="left" w:pos="709"/>
        </w:tabs>
        <w:spacing w:before="40" w:after="60" w:line="340" w:lineRule="exact"/>
        <w:ind w:firstLine="720"/>
        <w:jc w:val="both"/>
      </w:pPr>
      <w:r w:rsidRPr="00AA42A9">
        <w:t>Để</w:t>
      </w:r>
      <w:r>
        <w:t xml:space="preserve"> có</w:t>
      </w:r>
      <w:r w:rsidRPr="00AA42A9">
        <w:t xml:space="preserve"> cơ sở pháp lý tiếp tục áp dụng</w:t>
      </w:r>
      <w:r>
        <w:t xml:space="preserve"> thực hiện</w:t>
      </w:r>
      <w:r w:rsidRPr="00AA42A9">
        <w:t xml:space="preserve"> các Nghị quyết</w:t>
      </w:r>
      <w:r>
        <w:t xml:space="preserve"> của </w:t>
      </w:r>
      <w:r w:rsidRPr="00B02671">
        <w:t>H</w:t>
      </w:r>
      <w:r>
        <w:t>ội đồng nhân dân tỉnh</w:t>
      </w:r>
      <w:r w:rsidRPr="00AA42A9">
        <w:t xml:space="preserve"> </w:t>
      </w:r>
      <w:r>
        <w:t>về</w:t>
      </w:r>
      <w:r w:rsidRPr="00AA42A9">
        <w:t xml:space="preserve"> phân cấp nguồn thu, nhiệm vụ chi các cấp ngân sách, tỷ lệ phần trăm (%) phân chia nguồn thu giữa các cấp ngân sách và định mức phân bổ chi thường xuyên ngân sách địa phương giai đoạn 2017-2020</w:t>
      </w:r>
      <w:r>
        <w:t xml:space="preserve"> </w:t>
      </w:r>
      <w:r w:rsidRPr="00AA42A9">
        <w:t>trong năm 2021 theo quy định của</w:t>
      </w:r>
      <w:r w:rsidR="00774D4D">
        <w:t xml:space="preserve"> Trung ương, Ban Kinh tế Ngân sách đồng tình với nội dung Tờ trình và dự thảo Nghị quyết.</w:t>
      </w:r>
    </w:p>
    <w:bookmarkEnd w:id="1"/>
    <w:p w:rsidR="009A167B" w:rsidRPr="0000687E" w:rsidRDefault="009A167B" w:rsidP="00DB6819">
      <w:pPr>
        <w:spacing w:before="40" w:after="60" w:line="340" w:lineRule="exact"/>
        <w:ind w:firstLine="720"/>
        <w:jc w:val="both"/>
      </w:pPr>
      <w:r w:rsidRPr="0000687E">
        <w:t xml:space="preserve">Căn cứ nội dung </w:t>
      </w:r>
      <w:r>
        <w:t xml:space="preserve">thẩm tra </w:t>
      </w:r>
      <w:r w:rsidRPr="0000687E">
        <w:t>nêu trên, Ban Kinh tế</w:t>
      </w:r>
      <w:r>
        <w:t xml:space="preserve"> </w:t>
      </w:r>
      <w:r w:rsidRPr="0000687E">
        <w:t xml:space="preserve">ngân sách đề nghị Hội đồng nhân dân tỉnh </w:t>
      </w:r>
      <w:r>
        <w:t xml:space="preserve">thảo luận, quyết định </w:t>
      </w:r>
      <w:r w:rsidRPr="0000687E">
        <w:t xml:space="preserve">ban hành </w:t>
      </w:r>
      <w:r w:rsidRPr="00774D4D">
        <w:rPr>
          <w:i/>
        </w:rPr>
        <w:t xml:space="preserve">Nghị </w:t>
      </w:r>
      <w:r w:rsidR="00774D4D" w:rsidRPr="00774D4D">
        <w:rPr>
          <w:i/>
        </w:rPr>
        <w:t>quyết về điều chỉnh thời kỳ ổn định ngân sách địa phương giai đoạn 2017-2020 sang thực hiện đến hết năm 2021</w:t>
      </w:r>
      <w:r w:rsidRPr="0000687E">
        <w:t>./.</w:t>
      </w:r>
    </w:p>
    <w:p w:rsidR="009A167B" w:rsidRPr="00A37843" w:rsidRDefault="009A167B" w:rsidP="009A167B">
      <w:pPr>
        <w:ind w:firstLine="720"/>
        <w:jc w:val="both"/>
        <w:rPr>
          <w:iCs/>
          <w:lang w:val="vi-VN"/>
        </w:rPr>
      </w:pPr>
    </w:p>
    <w:tbl>
      <w:tblPr>
        <w:tblW w:w="5000" w:type="pct"/>
        <w:tblLook w:val="0000" w:firstRow="0" w:lastRow="0" w:firstColumn="0" w:lastColumn="0" w:noHBand="0" w:noVBand="0"/>
      </w:tblPr>
      <w:tblGrid>
        <w:gridCol w:w="4733"/>
        <w:gridCol w:w="4555"/>
      </w:tblGrid>
      <w:tr w:rsidR="009A167B" w:rsidRPr="0000687E" w:rsidTr="00DB6819">
        <w:trPr>
          <w:trHeight w:val="1169"/>
        </w:trPr>
        <w:tc>
          <w:tcPr>
            <w:tcW w:w="2548" w:type="pct"/>
          </w:tcPr>
          <w:p w:rsidR="009A167B" w:rsidRPr="00754BA8" w:rsidRDefault="009A167B" w:rsidP="00F95B5B">
            <w:pPr>
              <w:pStyle w:val="Heading1"/>
              <w:jc w:val="both"/>
              <w:rPr>
                <w:rFonts w:ascii="Times New Roman" w:hAnsi="Times New Roman"/>
                <w:szCs w:val="24"/>
                <w:lang w:val="vi-VN"/>
              </w:rPr>
            </w:pPr>
            <w:r w:rsidRPr="00754BA8">
              <w:rPr>
                <w:rFonts w:ascii="Times New Roman" w:hAnsi="Times New Roman"/>
                <w:i/>
                <w:iCs/>
                <w:szCs w:val="24"/>
                <w:lang w:val="vi-VN"/>
              </w:rPr>
              <w:t>Nơi nhận:</w:t>
            </w:r>
          </w:p>
          <w:p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w:t>
            </w:r>
            <w:r w:rsidR="007B171C">
              <w:rPr>
                <w:rFonts w:ascii="Times New Roman" w:hAnsi="Times New Roman"/>
                <w:b w:val="0"/>
                <w:sz w:val="22"/>
                <w:szCs w:val="22"/>
              </w:rPr>
              <w:t>VN</w:t>
            </w:r>
            <w:r w:rsidRPr="0000687E">
              <w:rPr>
                <w:rFonts w:ascii="Times New Roman" w:hAnsi="Times New Roman"/>
                <w:b w:val="0"/>
                <w:sz w:val="22"/>
                <w:szCs w:val="22"/>
                <w:lang w:val="vi-VN"/>
              </w:rPr>
              <w:t xml:space="preserve"> tỉnh;</w:t>
            </w:r>
          </w:p>
          <w:p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Pr>
                <w:rFonts w:ascii="Times New Roman" w:hAnsi="Times New Roman"/>
                <w:b w:val="0"/>
                <w:sz w:val="22"/>
                <w:szCs w:val="22"/>
                <w:lang w:val="vi-VN"/>
              </w:rPr>
              <w:t xml:space="preserve"> 1</w:t>
            </w:r>
            <w:r>
              <w:rPr>
                <w:rFonts w:ascii="Times New Roman" w:hAnsi="Times New Roman"/>
                <w:b w:val="0"/>
                <w:sz w:val="22"/>
                <w:szCs w:val="22"/>
              </w:rPr>
              <w:t>8</w:t>
            </w:r>
            <w:r w:rsidRPr="0000687E">
              <w:rPr>
                <w:rFonts w:ascii="Times New Roman" w:hAnsi="Times New Roman"/>
                <w:b w:val="0"/>
                <w:sz w:val="22"/>
                <w:szCs w:val="22"/>
                <w:lang w:val="vi-VN"/>
              </w:rPr>
              <w:t>;</w:t>
            </w:r>
          </w:p>
          <w:p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Pr="0000687E">
              <w:rPr>
                <w:rFonts w:ascii="Times New Roman" w:hAnsi="Times New Roman"/>
                <w:b w:val="0"/>
                <w:sz w:val="22"/>
                <w:szCs w:val="22"/>
                <w:lang w:val="vi-VN"/>
              </w:rPr>
              <w:t>;</w:t>
            </w:r>
          </w:p>
          <w:p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Lưu: VT, HĐ</w:t>
            </w:r>
            <w:r w:rsidRPr="00ED3BA9">
              <w:rPr>
                <w:rFonts w:ascii="Times New Roman" w:hAnsi="Times New Roman"/>
                <w:b w:val="0"/>
                <w:sz w:val="22"/>
                <w:szCs w:val="22"/>
                <w:vertAlign w:val="subscript"/>
                <w:lang w:val="vi-VN"/>
              </w:rPr>
              <w:t>8</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p w:rsidR="009A167B" w:rsidRPr="0000687E" w:rsidRDefault="009A167B" w:rsidP="00F95B5B">
            <w:pPr>
              <w:rPr>
                <w:sz w:val="22"/>
                <w:szCs w:val="22"/>
                <w:lang w:val="da-DK"/>
              </w:rPr>
            </w:pPr>
            <w:r w:rsidRPr="0000687E">
              <w:rPr>
                <w:sz w:val="22"/>
                <w:szCs w:val="22"/>
                <w:lang w:val="nb-NO"/>
              </w:rPr>
              <w:t>Gửi: Văn bản giấy và điện tử.</w:t>
            </w:r>
          </w:p>
        </w:tc>
        <w:tc>
          <w:tcPr>
            <w:tcW w:w="2452" w:type="pct"/>
          </w:tcPr>
          <w:p w:rsidR="009A167B" w:rsidRPr="00754BA8" w:rsidRDefault="009A167B" w:rsidP="00754BA8">
            <w:pPr>
              <w:jc w:val="center"/>
              <w:rPr>
                <w:b/>
                <w:sz w:val="26"/>
                <w:szCs w:val="26"/>
                <w:lang w:val="da-DK"/>
              </w:rPr>
            </w:pPr>
            <w:r w:rsidRPr="00754BA8">
              <w:rPr>
                <w:b/>
                <w:sz w:val="26"/>
                <w:szCs w:val="26"/>
                <w:lang w:val="da-DK"/>
              </w:rPr>
              <w:t>TM. BAN KINH TẾ NGÂN SÁCH</w:t>
            </w:r>
          </w:p>
          <w:p w:rsidR="009A167B" w:rsidRPr="00754BA8" w:rsidRDefault="009A167B" w:rsidP="00754BA8">
            <w:pPr>
              <w:jc w:val="center"/>
              <w:rPr>
                <w:b/>
                <w:sz w:val="26"/>
                <w:szCs w:val="26"/>
                <w:lang w:val="da-DK"/>
              </w:rPr>
            </w:pPr>
            <w:r w:rsidRPr="00754BA8">
              <w:rPr>
                <w:b/>
                <w:sz w:val="26"/>
                <w:szCs w:val="26"/>
                <w:lang w:val="da-DK"/>
              </w:rPr>
              <w:t>TRƯỞNG BAN</w:t>
            </w:r>
          </w:p>
          <w:p w:rsidR="009A167B" w:rsidRPr="00754BA8" w:rsidRDefault="009A167B" w:rsidP="00754BA8">
            <w:pPr>
              <w:jc w:val="center"/>
              <w:rPr>
                <w:sz w:val="26"/>
                <w:szCs w:val="26"/>
                <w:lang w:val="da-DK"/>
              </w:rPr>
            </w:pPr>
          </w:p>
          <w:p w:rsidR="009A167B" w:rsidRPr="00754BA8" w:rsidRDefault="009A167B" w:rsidP="00754BA8">
            <w:pPr>
              <w:jc w:val="center"/>
              <w:rPr>
                <w:b/>
                <w:sz w:val="26"/>
                <w:szCs w:val="26"/>
                <w:lang w:val="vi-VN"/>
              </w:rPr>
            </w:pPr>
          </w:p>
          <w:p w:rsidR="009A167B" w:rsidRPr="00754BA8" w:rsidRDefault="009A167B" w:rsidP="00754BA8">
            <w:pPr>
              <w:tabs>
                <w:tab w:val="left" w:pos="2835"/>
              </w:tabs>
              <w:jc w:val="center"/>
              <w:rPr>
                <w:i/>
                <w:sz w:val="26"/>
                <w:szCs w:val="26"/>
                <w:lang w:val="sv-SE"/>
              </w:rPr>
            </w:pPr>
          </w:p>
          <w:p w:rsidR="009A167B" w:rsidRPr="00754BA8" w:rsidRDefault="00FD1B5D" w:rsidP="00754BA8">
            <w:pPr>
              <w:jc w:val="center"/>
              <w:rPr>
                <w:i/>
                <w:sz w:val="26"/>
                <w:szCs w:val="26"/>
              </w:rPr>
            </w:pPr>
            <w:r>
              <w:rPr>
                <w:i/>
                <w:sz w:val="26"/>
                <w:szCs w:val="26"/>
              </w:rPr>
              <w:t>(Đã ký)</w:t>
            </w:r>
          </w:p>
          <w:p w:rsidR="009A167B" w:rsidRDefault="009A167B" w:rsidP="00754BA8">
            <w:pPr>
              <w:jc w:val="center"/>
              <w:rPr>
                <w:b/>
                <w:sz w:val="26"/>
                <w:szCs w:val="26"/>
              </w:rPr>
            </w:pPr>
          </w:p>
          <w:p w:rsidR="00754BA8" w:rsidRPr="00754BA8" w:rsidRDefault="00754BA8" w:rsidP="00754BA8">
            <w:pPr>
              <w:jc w:val="center"/>
              <w:rPr>
                <w:b/>
                <w:sz w:val="26"/>
                <w:szCs w:val="26"/>
              </w:rPr>
            </w:pPr>
          </w:p>
          <w:p w:rsidR="009A167B" w:rsidRPr="00754BA8" w:rsidRDefault="009A167B" w:rsidP="00754BA8">
            <w:pPr>
              <w:jc w:val="center"/>
              <w:rPr>
                <w:b/>
                <w:sz w:val="26"/>
                <w:szCs w:val="26"/>
                <w:lang w:val="da-DK"/>
              </w:rPr>
            </w:pPr>
          </w:p>
          <w:p w:rsidR="009A167B" w:rsidRPr="00754BA8" w:rsidRDefault="009A167B" w:rsidP="00754BA8">
            <w:pPr>
              <w:jc w:val="center"/>
              <w:rPr>
                <w:b/>
                <w:sz w:val="26"/>
                <w:szCs w:val="26"/>
                <w:lang w:val="es-PR"/>
              </w:rPr>
            </w:pPr>
          </w:p>
          <w:p w:rsidR="009A167B" w:rsidRPr="0000687E" w:rsidRDefault="009A167B" w:rsidP="00754BA8">
            <w:pPr>
              <w:jc w:val="center"/>
              <w:rPr>
                <w:lang w:val="es-PR"/>
              </w:rPr>
            </w:pPr>
            <w:r w:rsidRPr="00754BA8">
              <w:rPr>
                <w:b/>
                <w:sz w:val="26"/>
                <w:szCs w:val="26"/>
                <w:lang w:val="es-PR"/>
              </w:rPr>
              <w:t>Trần Viết Hậu</w:t>
            </w:r>
          </w:p>
        </w:tc>
      </w:tr>
    </w:tbl>
    <w:p w:rsidR="009A167B" w:rsidRPr="0000687E" w:rsidRDefault="009A167B" w:rsidP="009A167B">
      <w:pPr>
        <w:rPr>
          <w:sz w:val="2"/>
          <w:szCs w:val="2"/>
          <w:lang w:val="vi-VN"/>
        </w:rPr>
      </w:pPr>
    </w:p>
    <w:p w:rsidR="009A167B" w:rsidRDefault="009A167B" w:rsidP="009A167B"/>
    <w:p w:rsidR="00514149" w:rsidRDefault="00514149"/>
    <w:sectPr w:rsidR="00514149" w:rsidSect="00377C26">
      <w:headerReference w:type="default" r:id="rId7"/>
      <w:footerReference w:type="default" r:id="rId8"/>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75" w:rsidRDefault="00143F75" w:rsidP="009A167B">
      <w:r>
        <w:separator/>
      </w:r>
    </w:p>
  </w:endnote>
  <w:endnote w:type="continuationSeparator" w:id="0">
    <w:p w:rsidR="00143F75" w:rsidRDefault="00143F75" w:rsidP="009A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4616"/>
      <w:docPartObj>
        <w:docPartGallery w:val="Page Numbers (Bottom of Page)"/>
        <w:docPartUnique/>
      </w:docPartObj>
    </w:sdtPr>
    <w:sdtEndPr>
      <w:rPr>
        <w:noProof/>
      </w:rPr>
    </w:sdtEndPr>
    <w:sdtContent>
      <w:p w:rsidR="00F45687" w:rsidRDefault="00112F7E">
        <w:pPr>
          <w:pStyle w:val="Footer"/>
          <w:jc w:val="center"/>
        </w:pPr>
        <w:r>
          <w:fldChar w:fldCharType="begin"/>
        </w:r>
        <w:r>
          <w:instrText xml:space="preserve"> PAGE   \* MERGEFORMAT </w:instrText>
        </w:r>
        <w:r>
          <w:fldChar w:fldCharType="separate"/>
        </w:r>
        <w:r w:rsidR="0081594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75" w:rsidRDefault="00143F75" w:rsidP="009A167B">
      <w:r>
        <w:separator/>
      </w:r>
    </w:p>
  </w:footnote>
  <w:footnote w:type="continuationSeparator" w:id="0">
    <w:p w:rsidR="00143F75" w:rsidRDefault="00143F75" w:rsidP="009A167B">
      <w:r>
        <w:continuationSeparator/>
      </w:r>
    </w:p>
  </w:footnote>
  <w:footnote w:id="1">
    <w:p w:rsidR="00AA21E9" w:rsidRPr="00AA21E9" w:rsidRDefault="00AA21E9" w:rsidP="00AA21E9">
      <w:pPr>
        <w:widowControl w:val="0"/>
        <w:pBdr>
          <w:top w:val="nil"/>
          <w:left w:val="nil"/>
          <w:bottom w:val="nil"/>
          <w:right w:val="nil"/>
          <w:between w:val="nil"/>
        </w:pBdr>
        <w:tabs>
          <w:tab w:val="center" w:pos="4320"/>
          <w:tab w:val="right" w:pos="8640"/>
        </w:tabs>
        <w:spacing w:line="259" w:lineRule="auto"/>
        <w:jc w:val="both"/>
        <w:rPr>
          <w:sz w:val="20"/>
          <w:szCs w:val="20"/>
        </w:rPr>
      </w:pPr>
      <w:r w:rsidRPr="008341EA">
        <w:rPr>
          <w:rStyle w:val="FootnoteReference"/>
          <w:sz w:val="20"/>
          <w:szCs w:val="20"/>
        </w:rPr>
        <w:footnoteRef/>
      </w:r>
      <w:r>
        <w:rPr>
          <w:sz w:val="20"/>
          <w:szCs w:val="20"/>
        </w:rPr>
        <w:t xml:space="preserve"> </w:t>
      </w:r>
      <w:r w:rsidRPr="008341EA">
        <w:rPr>
          <w:sz w:val="20"/>
          <w:szCs w:val="20"/>
        </w:rPr>
        <w:t>Luật Tổ chức chính quyền địa phương năm 2015; Luật sửa đổi, bổ sung một số điều của Luật Tổ chức Chính phủ và Luật Tổ chức chính quyền địa phương</w:t>
      </w:r>
      <w:r>
        <w:rPr>
          <w:sz w:val="20"/>
          <w:szCs w:val="20"/>
        </w:rPr>
        <w:t xml:space="preserve"> năm 2019; </w:t>
      </w:r>
      <w:r w:rsidRPr="008341EA">
        <w:rPr>
          <w:sz w:val="20"/>
          <w:szCs w:val="20"/>
        </w:rPr>
        <w:t>Luật Ban hành văn bản quy phạm pháp luật</w:t>
      </w:r>
      <w:r>
        <w:rPr>
          <w:sz w:val="20"/>
          <w:szCs w:val="20"/>
        </w:rPr>
        <w:t xml:space="preserve"> </w:t>
      </w:r>
      <w:r w:rsidRPr="008341EA">
        <w:rPr>
          <w:sz w:val="20"/>
          <w:szCs w:val="20"/>
        </w:rPr>
        <w:t xml:space="preserve">năm 2015; </w:t>
      </w:r>
      <w:r>
        <w:rPr>
          <w:sz w:val="20"/>
          <w:szCs w:val="20"/>
        </w:rPr>
        <w:t xml:space="preserve">Luật Ngân sách Nhà nước năm 2015; </w:t>
      </w:r>
      <w:r w:rsidRPr="00AA21E9">
        <w:rPr>
          <w:sz w:val="20"/>
          <w:szCs w:val="20"/>
        </w:rPr>
        <w:t>Nghị quyết số 122/2020/QH14 ngày 19 tháng 6 năm 2020 của Quốc hội về kỳ họp thứ 9, Quốc hội khóa XIV; Nghị định số 163/2016/NĐ-CP ngày 21 tháng 12 năm 2016 của Chính phủ quy định chi tiết thi hành Luật Ngân sách nhà nước ; Thông tư số 342/2016/TT-BTC ngày 30 tháng 12 năm 2016 của Bộ Tài chính quy định chi tiết, hướng dẫn thi hành một số điều của Nghị định 163/2016/NĐ-CP quy định chi tiết thi hành một số điều của Luật ngân sách nhà nước; Thông tư số 71/2020/TT-BTC ngày 30 tháng 7 năm 2020 của Bộ trưởng Bộ Tài chính</w:t>
      </w:r>
      <w:r w:rsidRPr="00AE1F4F">
        <w:rPr>
          <w:i/>
        </w:rPr>
        <w:t xml:space="preserve"> </w:t>
      </w:r>
      <w:r w:rsidRPr="00AA21E9">
        <w:rPr>
          <w:sz w:val="20"/>
          <w:szCs w:val="20"/>
        </w:rPr>
        <w:t>hướng dẫn xây dựng dự toán ngân sách nhà nước năm</w:t>
      </w:r>
      <w:r w:rsidRPr="00AE1F4F">
        <w:rPr>
          <w:i/>
        </w:rPr>
        <w:t xml:space="preserve"> </w:t>
      </w:r>
      <w:r w:rsidRPr="00AA21E9">
        <w:rPr>
          <w:sz w:val="20"/>
          <w:szCs w:val="20"/>
        </w:rPr>
        <w:t>2021 và kế hoạch tài chính - ngân sách nhà nước 03 năm 2021-2023.</w:t>
      </w:r>
    </w:p>
  </w:footnote>
  <w:footnote w:id="2">
    <w:p w:rsidR="00AA21E9" w:rsidRPr="002E4775" w:rsidRDefault="00AA21E9" w:rsidP="00AA21E9">
      <w:pPr>
        <w:pStyle w:val="BodyText"/>
        <w:widowControl w:val="0"/>
        <w:jc w:val="both"/>
        <w:rPr>
          <w:rFonts w:ascii="Times New Roman" w:hAnsi="Times New Roman"/>
          <w:b w:val="0"/>
          <w:lang w:val="nl-NL"/>
        </w:rPr>
      </w:pPr>
      <w:r w:rsidRPr="002E4775">
        <w:rPr>
          <w:rStyle w:val="FootnoteReference"/>
          <w:rFonts w:ascii="Times New Roman" w:hAnsi="Times New Roman"/>
          <w:b w:val="0"/>
        </w:rPr>
        <w:footnoteRef/>
      </w:r>
      <w:r>
        <w:rPr>
          <w:rFonts w:ascii="Times New Roman" w:hAnsi="Times New Roman"/>
          <w:b w:val="0"/>
          <w:lang w:val="nl-NL"/>
        </w:rPr>
        <w:t xml:space="preserve"> Văn bản số 550/BC-STP ngày 25</w:t>
      </w:r>
      <w:r w:rsidRPr="002E4775">
        <w:rPr>
          <w:rFonts w:ascii="Times New Roman" w:hAnsi="Times New Roman"/>
          <w:b w:val="0"/>
          <w:lang w:val="nl-NL"/>
        </w:rPr>
        <w:t>/</w:t>
      </w:r>
      <w:r>
        <w:rPr>
          <w:rFonts w:ascii="Times New Roman" w:hAnsi="Times New Roman"/>
          <w:b w:val="0"/>
          <w:lang w:val="nl-NL"/>
        </w:rPr>
        <w:t>11</w:t>
      </w:r>
      <w:r w:rsidRPr="002E4775">
        <w:rPr>
          <w:rFonts w:ascii="Times New Roman" w:hAnsi="Times New Roman"/>
          <w:b w:val="0"/>
          <w:lang w:val="nl-NL"/>
        </w:rPr>
        <w:t>/2020 của Sở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016876"/>
      <w:docPartObj>
        <w:docPartGallery w:val="Page Numbers (Top of Page)"/>
        <w:docPartUnique/>
      </w:docPartObj>
    </w:sdtPr>
    <w:sdtEndPr>
      <w:rPr>
        <w:noProof/>
      </w:rPr>
    </w:sdtEndPr>
    <w:sdtContent>
      <w:p w:rsidR="00754BA8" w:rsidRDefault="00754BA8" w:rsidP="00754BA8">
        <w:pPr>
          <w:pStyle w:val="Header"/>
          <w:jc w:val="center"/>
        </w:pPr>
        <w:r>
          <w:fldChar w:fldCharType="begin"/>
        </w:r>
        <w:r>
          <w:instrText xml:space="preserve"> PAGE   \* MERGEFORMAT </w:instrText>
        </w:r>
        <w:r>
          <w:fldChar w:fldCharType="separate"/>
        </w:r>
        <w:r w:rsidR="00815940">
          <w:rPr>
            <w:noProof/>
          </w:rPr>
          <w:t>2</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7B"/>
    <w:rsid w:val="00112F7E"/>
    <w:rsid w:val="00143F75"/>
    <w:rsid w:val="002369A7"/>
    <w:rsid w:val="00273FF8"/>
    <w:rsid w:val="00280EC3"/>
    <w:rsid w:val="00401075"/>
    <w:rsid w:val="00514149"/>
    <w:rsid w:val="00754BA8"/>
    <w:rsid w:val="00774D4D"/>
    <w:rsid w:val="007B171C"/>
    <w:rsid w:val="00815940"/>
    <w:rsid w:val="009A167B"/>
    <w:rsid w:val="009E20B3"/>
    <w:rsid w:val="00AA21E9"/>
    <w:rsid w:val="00C945EC"/>
    <w:rsid w:val="00CE0A08"/>
    <w:rsid w:val="00DB6819"/>
    <w:rsid w:val="00FD1B5D"/>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paragraph" w:styleId="Header">
    <w:name w:val="header"/>
    <w:basedOn w:val="Normal"/>
    <w:link w:val="HeaderChar"/>
    <w:uiPriority w:val="99"/>
    <w:unhideWhenUsed/>
    <w:rsid w:val="00754BA8"/>
    <w:pPr>
      <w:tabs>
        <w:tab w:val="center" w:pos="4680"/>
        <w:tab w:val="right" w:pos="9360"/>
      </w:tabs>
    </w:pPr>
  </w:style>
  <w:style w:type="character" w:customStyle="1" w:styleId="HeaderChar">
    <w:name w:val="Header Char"/>
    <w:basedOn w:val="DefaultParagraphFont"/>
    <w:link w:val="Header"/>
    <w:uiPriority w:val="99"/>
    <w:rsid w:val="00754BA8"/>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paragraph" w:styleId="Header">
    <w:name w:val="header"/>
    <w:basedOn w:val="Normal"/>
    <w:link w:val="HeaderChar"/>
    <w:uiPriority w:val="99"/>
    <w:unhideWhenUsed/>
    <w:rsid w:val="00754BA8"/>
    <w:pPr>
      <w:tabs>
        <w:tab w:val="center" w:pos="4680"/>
        <w:tab w:val="right" w:pos="9360"/>
      </w:tabs>
    </w:pPr>
  </w:style>
  <w:style w:type="character" w:customStyle="1" w:styleId="HeaderChar">
    <w:name w:val="Header Char"/>
    <w:basedOn w:val="DefaultParagraphFont"/>
    <w:link w:val="Header"/>
    <w:uiPriority w:val="99"/>
    <w:rsid w:val="00754BA8"/>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5</cp:revision>
  <cp:lastPrinted>2020-12-01T08:21:00Z</cp:lastPrinted>
  <dcterms:created xsi:type="dcterms:W3CDTF">2020-12-04T13:47:00Z</dcterms:created>
  <dcterms:modified xsi:type="dcterms:W3CDTF">2020-12-05T07:05:00Z</dcterms:modified>
</cp:coreProperties>
</file>