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10" w:type="dxa"/>
        <w:tblInd w:w="108" w:type="dxa"/>
        <w:tblLayout w:type="fixed"/>
        <w:tblLook w:val="04A0" w:firstRow="1" w:lastRow="0" w:firstColumn="1" w:lastColumn="0" w:noHBand="0" w:noVBand="1"/>
      </w:tblPr>
      <w:tblGrid>
        <w:gridCol w:w="3544"/>
        <w:gridCol w:w="5954"/>
        <w:gridCol w:w="12"/>
      </w:tblGrid>
      <w:tr w:rsidR="005B3153" w:rsidTr="00E40060">
        <w:tc>
          <w:tcPr>
            <w:tcW w:w="3544" w:type="dxa"/>
          </w:tcPr>
          <w:p w:rsidR="005B3153" w:rsidRDefault="005B3153" w:rsidP="009F2546">
            <w:pPr>
              <w:jc w:val="center"/>
              <w:rPr>
                <w:b/>
                <w:sz w:val="26"/>
                <w:szCs w:val="26"/>
              </w:rPr>
            </w:pPr>
            <w:bookmarkStart w:id="0" w:name="_GoBack"/>
            <w:bookmarkEnd w:id="0"/>
            <w:r>
              <w:rPr>
                <w:b/>
                <w:sz w:val="26"/>
                <w:szCs w:val="26"/>
              </w:rPr>
              <w:t>ỦY BAN NHÂN DÂN</w:t>
            </w:r>
          </w:p>
          <w:p w:rsidR="005B3153" w:rsidRPr="00D12FB3" w:rsidRDefault="005B3153" w:rsidP="009F2546">
            <w:pPr>
              <w:jc w:val="center"/>
              <w:rPr>
                <w:b/>
                <w:sz w:val="26"/>
                <w:szCs w:val="26"/>
                <w:lang w:val="en-US"/>
              </w:rPr>
            </w:pPr>
            <w:r>
              <w:rPr>
                <w:b/>
                <w:sz w:val="26"/>
                <w:szCs w:val="26"/>
              </w:rPr>
              <w:t xml:space="preserve">TỈNH </w:t>
            </w:r>
            <w:r>
              <w:rPr>
                <w:b/>
                <w:sz w:val="26"/>
                <w:szCs w:val="26"/>
                <w:lang w:val="en-US"/>
              </w:rPr>
              <w:t>HÀ TĨNH</w:t>
            </w:r>
          </w:p>
          <w:p w:rsidR="005B3153" w:rsidRPr="0014341E" w:rsidRDefault="003E2447" w:rsidP="009F2546">
            <w:pPr>
              <w:jc w:val="center"/>
              <w:rPr>
                <w:sz w:val="24"/>
                <w:szCs w:val="24"/>
              </w:rPr>
            </w:pPr>
            <w:r>
              <w:rPr>
                <w:b/>
                <w:noProof/>
                <w:sz w:val="26"/>
                <w:szCs w:val="26"/>
                <w:lang w:val="en-US" w:eastAsia="en-US"/>
              </w:rPr>
              <mc:AlternateContent>
                <mc:Choice Requires="wps">
                  <w:drawing>
                    <wp:anchor distT="0" distB="0" distL="114300" distR="114300" simplePos="0" relativeHeight="251656192" behindDoc="0" locked="0" layoutInCell="1" allowOverlap="1">
                      <wp:simplePos x="0" y="0"/>
                      <wp:positionH relativeFrom="column">
                        <wp:posOffset>688340</wp:posOffset>
                      </wp:positionH>
                      <wp:positionV relativeFrom="paragraph">
                        <wp:posOffset>28575</wp:posOffset>
                      </wp:positionV>
                      <wp:extent cx="700405" cy="0"/>
                      <wp:effectExtent l="12065" t="9525" r="11430" b="9525"/>
                      <wp:wrapNone/>
                      <wp:docPr id="3"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04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2pt,2.25pt" to="109.3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FxbEwIAACg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jjBTp&#10;QKKNUBxl49Ca3rgCIiq1taE4elKvZqPpd4eUrlqi9jxSfDsbyMtCRvIuJWycgQt2/RfNIIYcvI59&#10;OjW2C5DQAXSKcpzvcvCTRxQOn9I0TycY0ZsrIcUtz1jnP3PdoWCUWALniEuOG+cDD1LcQsI1Sq+F&#10;lFFsqVBf4vlkNIkJTkvBgjOEObvfVdKiIwnjEr9YFHgew6w+KBbBWk7Y6mp7IuTFhsulCnhQCdC5&#10;Wpd5+DFP56vZapYP8tF0NcjTuh58Wlf5YLrOnib1uK6qOvsZqGV50QrGuArsbrOZ5X+n/fWVXKbq&#10;Pp33NiTv0WO/gOztH0lHKYN6lznYaXbe2pvEMI4x+Pp0wrw/7sF+fODLXwAAAP//AwBQSwMEFAAG&#10;AAgAAAAhAH5QUAPaAAAABwEAAA8AAABkcnMvZG93bnJldi54bWxMjsFOwzAQRO9I/IO1SFwqajcU&#10;iEKcCgG5cWkBcd0mSxIRr9PYbQNfz8IFjk8zmnn5anK9OtAYOs8WFnMDirjydceNhZfn8iIFFSJy&#10;jb1nsvBJAVbF6UmOWe2PvKbDJjZKRjhkaKGNcci0DlVLDsPcD8SSvfvRYRQcG12PeJRx1+vEmGvt&#10;sGN5aHGg+5aqj83eWQjlK+3Kr1k1M2+Xjadk9/D0iNaen013t6AiTfGvDD/6og6FOG39nuugemGT&#10;LqVqYXkFSvJkkd6A2v6yLnL937/4BgAA//8DAFBLAQItABQABgAIAAAAIQC2gziS/gAAAOEBAAAT&#10;AAAAAAAAAAAAAAAAAAAAAABbQ29udGVudF9UeXBlc10ueG1sUEsBAi0AFAAGAAgAAAAhADj9If/W&#10;AAAAlAEAAAsAAAAAAAAAAAAAAAAALwEAAF9yZWxzLy5yZWxzUEsBAi0AFAAGAAgAAAAhAOgMXFsT&#10;AgAAKAQAAA4AAAAAAAAAAAAAAAAALgIAAGRycy9lMm9Eb2MueG1sUEsBAi0AFAAGAAgAAAAhAH5Q&#10;UAPaAAAABwEAAA8AAAAAAAAAAAAAAAAAbQQAAGRycy9kb3ducmV2LnhtbFBLBQYAAAAABAAEAPMA&#10;AAB0BQAAAAA=&#10;"/>
                  </w:pict>
                </mc:Fallback>
              </mc:AlternateContent>
            </w:r>
          </w:p>
        </w:tc>
        <w:tc>
          <w:tcPr>
            <w:tcW w:w="5966" w:type="dxa"/>
            <w:gridSpan w:val="2"/>
          </w:tcPr>
          <w:p w:rsidR="005B3153" w:rsidRPr="00440FCC" w:rsidRDefault="005B3153" w:rsidP="009F2546">
            <w:pPr>
              <w:jc w:val="center"/>
              <w:rPr>
                <w:b/>
                <w:sz w:val="26"/>
              </w:rPr>
            </w:pPr>
            <w:r w:rsidRPr="00440FCC">
              <w:rPr>
                <w:b/>
                <w:sz w:val="26"/>
              </w:rPr>
              <w:t xml:space="preserve">CỘNG HOÀ XÃ HỘI CHỦ NGHĨA VIỆT </w:t>
            </w:r>
            <w:smartTag w:uri="urn:schemas-microsoft-com:office:smarttags" w:element="place">
              <w:smartTag w:uri="urn:schemas-microsoft-com:office:smarttags" w:element="country-region">
                <w:r w:rsidRPr="00440FCC">
                  <w:rPr>
                    <w:b/>
                    <w:sz w:val="26"/>
                  </w:rPr>
                  <w:t>NAM</w:t>
                </w:r>
              </w:smartTag>
            </w:smartTag>
          </w:p>
          <w:p w:rsidR="005B3153" w:rsidRPr="0014341E" w:rsidRDefault="003E2447" w:rsidP="009F2546">
            <w:pPr>
              <w:jc w:val="center"/>
              <w:rPr>
                <w:b/>
              </w:rPr>
            </w:pPr>
            <w:r>
              <w:rPr>
                <w:b/>
                <w:noProof/>
                <w:szCs w:val="26"/>
                <w:lang w:val="en-US" w:eastAsia="en-US"/>
              </w:rPr>
              <mc:AlternateContent>
                <mc:Choice Requires="wps">
                  <w:drawing>
                    <wp:anchor distT="0" distB="0" distL="114300" distR="114300" simplePos="0" relativeHeight="251657216" behindDoc="0" locked="0" layoutInCell="1" allowOverlap="1">
                      <wp:simplePos x="0" y="0"/>
                      <wp:positionH relativeFrom="column">
                        <wp:posOffset>777240</wp:posOffset>
                      </wp:positionH>
                      <wp:positionV relativeFrom="paragraph">
                        <wp:posOffset>233045</wp:posOffset>
                      </wp:positionV>
                      <wp:extent cx="2079625" cy="0"/>
                      <wp:effectExtent l="5715" t="13970" r="10160" b="5080"/>
                      <wp:wrapNone/>
                      <wp:docPr id="2"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96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2pt,18.35pt" to="224.95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HVNEQIAACkEAAAOAAAAZHJzL2Uyb0RvYy54bWysU9uO2jAQfa/Uf7D8Drk0sBARVlUCfaFd&#10;pN1+gLEdYtWxLdsQUNV/79hctLt9qarmwZnxzJw5c/Hi8dRLdOTWCa0qnI1TjLiimgm1r/D3l/Vo&#10;hpHzRDEiteIVPnOHH5cfPywGU/Jcd1oybhGAKFcOpsKd96ZMEkc73hM31oYrMLba9sSDavcJs2QA&#10;9F4meZpOk0FbZqym3Dm4bS5GvIz4bcupf2pbxz2SFQZuPp42nrtwJssFKfeWmE7QKw3yDyx6IhQk&#10;vUM1xBN0sOIPqF5Qq51u/ZjqPtFtKyiPNUA1WfqumueOGB5rgeY4c2+T+3+w9Ntxa5FgFc4xUqSH&#10;EW2E4igrQmsG40rwqNXWhuLoST2bjaY/HFK67oja80jx5WwgLgsRyZuQoDgDCXbDV83Ahxy8jn06&#10;tbYPkNABdIrjON/HwU8eUbjM04f5NJ9gRG+2hJS3QGOd/8J1j4JQYQmkIzA5bpwPREh5cwl5lF4L&#10;KeO0pUJDhecTQA4Wp6VgwRgVu9/V0qIjCfsSv1jVOzerD4pFsI4TtrrKngh5kSG5VAEPSgE6V+my&#10;ED/n6Xw1W82KUZFPV6MibZrR53VdjKbr7GHSfGrqusl+BWpZUXaCMa4Cu9tyZsXfDf/6TC5rdV/P&#10;exuSt+ixX0D29o+k4yzD+C6LsNPsvLW3GcM+Rufr2wkL/1oH+fULX/4GAAD//wMAUEsDBBQABgAI&#10;AAAAIQA8TfaW3QAAAAkBAAAPAAAAZHJzL2Rvd25yZXYueG1sTI/BTsMwDIbvSLxDZCQuE0vpqsFK&#10;0wkBvXFhgLh6jWkrGqdrsq3w9BhxgONvf/r9uVhPrlcHGkPn2cDlPAFFXHvbcWPg5bm6uAYVIrLF&#10;3jMZ+KQA6/L0pMDc+iM/0WETGyUlHHI00MY45FqHuiWHYe4HYtm9+9FhlDg22o54lHLX6zRJltph&#10;x3KhxYHuWqo/NntnIFSvtKu+ZvUseVs0ntLd/eMDGnN+Nt3egIo0xT8YfvRFHUpx2vo926B6yWma&#10;CWpgsbwCJUCWrVagtr8DXRb6/wflNwAAAP//AwBQSwECLQAUAAYACAAAACEAtoM4kv4AAADhAQAA&#10;EwAAAAAAAAAAAAAAAAAAAAAAW0NvbnRlbnRfVHlwZXNdLnhtbFBLAQItABQABgAIAAAAIQA4/SH/&#10;1gAAAJQBAAALAAAAAAAAAAAAAAAAAC8BAABfcmVscy8ucmVsc1BLAQItABQABgAIAAAAIQCpvHVN&#10;EQIAACkEAAAOAAAAAAAAAAAAAAAAAC4CAABkcnMvZTJvRG9jLnhtbFBLAQItABQABgAIAAAAIQA8&#10;TfaW3QAAAAkBAAAPAAAAAAAAAAAAAAAAAGsEAABkcnMvZG93bnJldi54bWxQSwUGAAAAAAQABADz&#10;AAAAdQUAAAAA&#10;"/>
                  </w:pict>
                </mc:Fallback>
              </mc:AlternateContent>
            </w:r>
            <w:r w:rsidR="005B3153" w:rsidRPr="005B3153">
              <w:rPr>
                <w:b/>
                <w:szCs w:val="26"/>
              </w:rPr>
              <w:t>Độc lập - Tự do - Hạnh phúc</w:t>
            </w:r>
          </w:p>
        </w:tc>
      </w:tr>
      <w:tr w:rsidR="005B3153" w:rsidRPr="00D12FB3" w:rsidTr="00E40060">
        <w:tblPrEx>
          <w:tblLook w:val="01E0" w:firstRow="1" w:lastRow="1" w:firstColumn="1" w:lastColumn="1" w:noHBand="0" w:noVBand="0"/>
        </w:tblPrEx>
        <w:trPr>
          <w:gridAfter w:val="1"/>
          <w:wAfter w:w="12" w:type="dxa"/>
          <w:trHeight w:val="508"/>
        </w:trPr>
        <w:tc>
          <w:tcPr>
            <w:tcW w:w="3544" w:type="dxa"/>
          </w:tcPr>
          <w:p w:rsidR="005B3153" w:rsidRPr="00CB6BCD" w:rsidRDefault="005B3153" w:rsidP="000F0C69">
            <w:pPr>
              <w:jc w:val="center"/>
              <w:rPr>
                <w:b/>
              </w:rPr>
            </w:pPr>
            <w:r w:rsidRPr="00440FCC">
              <w:t>Số</w:t>
            </w:r>
            <w:r w:rsidR="00680897">
              <w:rPr>
                <w:lang w:val="en-US"/>
              </w:rPr>
              <w:t>: 453</w:t>
            </w:r>
            <w:r w:rsidRPr="00440FCC">
              <w:t>/</w:t>
            </w:r>
            <w:r>
              <w:t>TTr-UBND</w:t>
            </w:r>
          </w:p>
        </w:tc>
        <w:tc>
          <w:tcPr>
            <w:tcW w:w="5954" w:type="dxa"/>
          </w:tcPr>
          <w:p w:rsidR="005B3153" w:rsidRPr="00F81E7D" w:rsidRDefault="005B3153" w:rsidP="009A22B3">
            <w:pPr>
              <w:jc w:val="center"/>
              <w:rPr>
                <w:i/>
              </w:rPr>
            </w:pPr>
            <w:r>
              <w:rPr>
                <w:i/>
              </w:rPr>
              <w:t xml:space="preserve">          </w:t>
            </w:r>
            <w:r w:rsidRPr="00D12FB3">
              <w:rPr>
                <w:i/>
              </w:rPr>
              <w:t>Hà Tĩnh</w:t>
            </w:r>
            <w:r w:rsidRPr="00440FCC">
              <w:rPr>
                <w:i/>
              </w:rPr>
              <w:t xml:space="preserve">, ngày </w:t>
            </w:r>
            <w:r w:rsidR="00680897">
              <w:rPr>
                <w:i/>
                <w:lang w:val="en-GB"/>
              </w:rPr>
              <w:t xml:space="preserve"> 03 </w:t>
            </w:r>
            <w:r>
              <w:rPr>
                <w:i/>
              </w:rPr>
              <w:t xml:space="preserve"> thán</w:t>
            </w:r>
            <w:r w:rsidR="006B47E6" w:rsidRPr="00AE58D4">
              <w:rPr>
                <w:i/>
              </w:rPr>
              <w:t>g</w:t>
            </w:r>
            <w:r>
              <w:rPr>
                <w:i/>
              </w:rPr>
              <w:t xml:space="preserve"> </w:t>
            </w:r>
            <w:r w:rsidR="008E1B5B">
              <w:rPr>
                <w:i/>
                <w:lang w:val="en-GB"/>
              </w:rPr>
              <w:t xml:space="preserve"> 1</w:t>
            </w:r>
            <w:r w:rsidR="009A22B3">
              <w:rPr>
                <w:i/>
                <w:lang w:val="en-GB"/>
              </w:rPr>
              <w:t>2</w:t>
            </w:r>
            <w:r w:rsidR="007D5E83">
              <w:rPr>
                <w:i/>
                <w:lang w:val="en-GB"/>
              </w:rPr>
              <w:t xml:space="preserve"> </w:t>
            </w:r>
            <w:r w:rsidRPr="00AE58D4">
              <w:rPr>
                <w:i/>
              </w:rPr>
              <w:t xml:space="preserve"> </w:t>
            </w:r>
            <w:r w:rsidRPr="00440FCC">
              <w:rPr>
                <w:i/>
              </w:rPr>
              <w:t>năm 20</w:t>
            </w:r>
            <w:r w:rsidR="007D5E83">
              <w:rPr>
                <w:i/>
                <w:lang w:val="en-GB"/>
              </w:rPr>
              <w:t>20</w:t>
            </w:r>
          </w:p>
        </w:tc>
      </w:tr>
    </w:tbl>
    <w:p w:rsidR="001F771B" w:rsidRPr="007F7D3C" w:rsidRDefault="001F771B" w:rsidP="001F771B">
      <w:pPr>
        <w:tabs>
          <w:tab w:val="left" w:pos="4080"/>
        </w:tabs>
        <w:jc w:val="both"/>
        <w:rPr>
          <w:sz w:val="32"/>
        </w:rPr>
      </w:pPr>
      <w:r w:rsidRPr="00A0367A">
        <w:tab/>
      </w:r>
    </w:p>
    <w:p w:rsidR="001F771B" w:rsidRPr="00AE58D4" w:rsidRDefault="00471FA2" w:rsidP="00397593">
      <w:pPr>
        <w:spacing w:before="240"/>
        <w:jc w:val="center"/>
        <w:rPr>
          <w:b/>
        </w:rPr>
      </w:pPr>
      <w:r w:rsidRPr="00AE58D4">
        <w:rPr>
          <w:b/>
        </w:rPr>
        <w:t>TỜ TRÌNH</w:t>
      </w:r>
    </w:p>
    <w:p w:rsidR="00471FA2" w:rsidRPr="00AE58D4" w:rsidRDefault="005B3153" w:rsidP="00397593">
      <w:pPr>
        <w:tabs>
          <w:tab w:val="left" w:pos="0"/>
        </w:tabs>
        <w:jc w:val="center"/>
        <w:rPr>
          <w:b/>
          <w:sz w:val="27"/>
          <w:szCs w:val="27"/>
        </w:rPr>
      </w:pPr>
      <w:r w:rsidRPr="00AE58D4">
        <w:rPr>
          <w:b/>
          <w:sz w:val="27"/>
          <w:szCs w:val="27"/>
        </w:rPr>
        <w:t xml:space="preserve">Về việc </w:t>
      </w:r>
      <w:r w:rsidR="00376C44">
        <w:rPr>
          <w:b/>
          <w:lang w:val="nl-NL"/>
        </w:rPr>
        <w:t>b</w:t>
      </w:r>
      <w:r w:rsidR="009D26DF" w:rsidRPr="001D2E4F">
        <w:rPr>
          <w:b/>
          <w:lang w:val="nl-NL"/>
        </w:rPr>
        <w:t xml:space="preserve">an hành các nguyên tắc, tiêu chí và định mức phân bổ vốn </w:t>
      </w:r>
      <w:r w:rsidR="009D26DF">
        <w:rPr>
          <w:b/>
          <w:lang w:val="nl-NL"/>
        </w:rPr>
        <w:t>đầu tư công nguồn ngân sách địa phương giai đoạn 2021-2025 tỉnh Hà Tĩnh</w:t>
      </w:r>
    </w:p>
    <w:p w:rsidR="001F771B" w:rsidRPr="007F7D3C" w:rsidRDefault="003E2447" w:rsidP="001F771B">
      <w:pPr>
        <w:tabs>
          <w:tab w:val="left" w:pos="0"/>
        </w:tabs>
        <w:spacing w:line="271" w:lineRule="auto"/>
        <w:jc w:val="both"/>
        <w:rPr>
          <w:lang w:val="en-GB"/>
        </w:rPr>
      </w:pPr>
      <w:r>
        <w:rPr>
          <w:noProof/>
          <w:lang w:val="en-US" w:eastAsia="en-US"/>
        </w:rPr>
        <mc:AlternateContent>
          <mc:Choice Requires="wps">
            <w:drawing>
              <wp:anchor distT="0" distB="0" distL="114300" distR="114300" simplePos="0" relativeHeight="251658240" behindDoc="0" locked="0" layoutInCell="1" allowOverlap="1">
                <wp:simplePos x="0" y="0"/>
                <wp:positionH relativeFrom="column">
                  <wp:posOffset>2426335</wp:posOffset>
                </wp:positionH>
                <wp:positionV relativeFrom="paragraph">
                  <wp:posOffset>42545</wp:posOffset>
                </wp:positionV>
                <wp:extent cx="906145" cy="0"/>
                <wp:effectExtent l="6985" t="13970" r="10795" b="5080"/>
                <wp:wrapNone/>
                <wp:docPr id="1"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61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6" o:spid="_x0000_s1026" type="#_x0000_t32" style="position:absolute;margin-left:191.05pt;margin-top:3.35pt;width:71.3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0wmHQIAADs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GGiHkSI9&#10;SPR08DpWRtk8zGcwroCwSu1s6JCe1It51vS7Q0pXHVEtj9GvZwPJWchI3qSEizNQZT981gxiCBSI&#10;wzo1tg+QMAZ0ipqcb5rwk0cUPi7TeZbPMKKjKyHFmGes85+47lEwSuy8JaLtfKWVAuG1zWIVcnx2&#10;PrAixZgQiiq9FVJG/aVCA1SaTWcxwWkpWHCGMGfbfSUtOpKwQfEXWwTPfZjVB8UiWMcJ21xtT4S8&#10;2FBcqoAHfQGdq3VZkR/LdLlZbBb5JJ/ON5M8revJ07bKJ/Nt9nFWf6irqs5+BmpZXnSCMa4Cu3Fd&#10;s/zv1uH6cC6LdlvY2xiSt+hxXkB2/I+ko7BBy8tW7DU77+woOGxoDL6+pvAE7u9g37/59S8AAAD/&#10;/wMAUEsDBBQABgAIAAAAIQCdoeYY3AAAAAcBAAAPAAAAZHJzL2Rvd25yZXYueG1sTI9BT8JAFITv&#10;JvyHzTPhYmTbKgilW0JMPHgUSLwu3Udb7L5tulta+fU+veBxMpOZb7LNaBtxwc7XjhTEswgEUuFM&#10;TaWCw/7tcQnCB01GN45QwTd62OSTu0ynxg30gZddKAWXkE+1giqENpXSFxVa7WeuRWLv5DqrA8uu&#10;lKbTA5fbRiZRtJBW18QLlW7xtcLia9dbBej7eRxtV7Y8vF+Hh8/keh7avVLT+3G7BhFwDLcw/OIz&#10;OuTMdHQ9GS8aBU/LJOaogsULCPbnyTNfOf5pmWfyP3/+AwAA//8DAFBLAQItABQABgAIAAAAIQC2&#10;gziS/gAAAOEBAAATAAAAAAAAAAAAAAAAAAAAAABbQ29udGVudF9UeXBlc10ueG1sUEsBAi0AFAAG&#10;AAgAAAAhADj9If/WAAAAlAEAAAsAAAAAAAAAAAAAAAAALwEAAF9yZWxzLy5yZWxzUEsBAi0AFAAG&#10;AAgAAAAhAKk3TCYdAgAAOwQAAA4AAAAAAAAAAAAAAAAALgIAAGRycy9lMm9Eb2MueG1sUEsBAi0A&#10;FAAGAAgAAAAhAJ2h5hjcAAAABwEAAA8AAAAAAAAAAAAAAAAAdwQAAGRycy9kb3ducmV2LnhtbFBL&#10;BQYAAAAABAAEAPMAAACABQAAAAA=&#10;"/>
            </w:pict>
          </mc:Fallback>
        </mc:AlternateContent>
      </w:r>
      <w:r w:rsidR="001F771B" w:rsidRPr="00A0367A">
        <w:tab/>
      </w:r>
    </w:p>
    <w:p w:rsidR="005B3153" w:rsidRPr="00DE3CF0" w:rsidRDefault="005B3153" w:rsidP="005B3153">
      <w:pPr>
        <w:spacing w:before="120" w:after="60" w:line="264" w:lineRule="auto"/>
        <w:jc w:val="center"/>
      </w:pPr>
      <w:r>
        <w:t>Kính gửi:</w:t>
      </w:r>
      <w:r w:rsidRPr="0014341E">
        <w:t xml:space="preserve"> </w:t>
      </w:r>
      <w:r w:rsidRPr="008D7670">
        <w:t>Hội đồng nhân dân tỉnh</w:t>
      </w:r>
    </w:p>
    <w:p w:rsidR="005B3153" w:rsidRPr="00AE58D4" w:rsidRDefault="005B3153" w:rsidP="00E61279">
      <w:pPr>
        <w:tabs>
          <w:tab w:val="left" w:pos="0"/>
        </w:tabs>
        <w:spacing w:line="340" w:lineRule="exact"/>
        <w:ind w:firstLine="720"/>
        <w:jc w:val="both"/>
      </w:pPr>
    </w:p>
    <w:p w:rsidR="00996F4B" w:rsidRPr="00EF12E8" w:rsidRDefault="00661FAF" w:rsidP="00EF12E8">
      <w:pPr>
        <w:spacing w:before="120" w:line="276" w:lineRule="auto"/>
        <w:ind w:firstLine="697"/>
        <w:jc w:val="both"/>
        <w:rPr>
          <w:lang w:val="en-US"/>
        </w:rPr>
      </w:pPr>
      <w:r w:rsidRPr="00EF12E8">
        <w:t xml:space="preserve">Căn cứ quy định của Luật Đầu tư công năm 2019, Luật Ngân sách </w:t>
      </w:r>
      <w:r w:rsidRPr="00EF12E8">
        <w:rPr>
          <w:lang w:val="en-US"/>
        </w:rPr>
        <w:t>N</w:t>
      </w:r>
      <w:r w:rsidRPr="00EF12E8">
        <w:t>hà nước năm 2015 và các Nghị định hướng dẫn thi hành,</w:t>
      </w:r>
      <w:r w:rsidRPr="00EF12E8">
        <w:rPr>
          <w:lang w:val="en-US"/>
        </w:rPr>
        <w:t xml:space="preserve"> </w:t>
      </w:r>
      <w:r w:rsidRPr="00EF12E8">
        <w:t xml:space="preserve">Nghị quyết số 973/2020/UBTVQH14 ngày 08 tháng 7 năm 2020 của Uỷ ban Thường vụ Quốc và Quyết định số 26/2020/QĐ-TTg ngày 14 tháng 9 năm 2020 của Thủ tướng Chính phủ về các nguyên tắc, tiêu chí và định mức phân bổ vốn đầu tư công nguồn ngân sách nhà nước giai đoạn 2021 - 2025; Ủy ban nhân dân tỉnh đã giao Sở Kế hoạch và Đầu tư chủ trì, phối hợp cùng các cơ quan, địa phương có liên quan xây dựng Dự thảo Nghị quyết của Hội đồng nhân dân tỉnh về ban hành các nguyên tắc, tiêu chí và định mức phân bổ vốn đầu tư công nguồn ngân sách địa phương giai đoạn 2021 - 2025 tỉnh Hà Tĩnh. Dự thảo đã được gửi xin ý kiến Ban Kinh tế Ngân sách, Ban Văn hóa Xã hội, Ban Pháp chế của Hội đồng nhân dân tỉnh, các sở, ngành, địa phương có liên quan và được Sở Kế hoạch và Đầu tư hoàn chỉnh, tiếp thu, giải trình ý kiến góp ý theo quy định, </w:t>
      </w:r>
      <w:r w:rsidR="0077294F" w:rsidRPr="00EF12E8">
        <w:t xml:space="preserve">được </w:t>
      </w:r>
      <w:r w:rsidR="001A00D0" w:rsidRPr="00EF12E8">
        <w:t xml:space="preserve">Sở Tư pháp thẩm </w:t>
      </w:r>
      <w:r w:rsidR="002862A7" w:rsidRPr="00EF12E8">
        <w:t xml:space="preserve">định tại </w:t>
      </w:r>
      <w:r w:rsidRPr="00EF12E8">
        <w:t>V</w:t>
      </w:r>
      <w:r w:rsidR="002862A7" w:rsidRPr="00EF12E8">
        <w:t xml:space="preserve">ăn bản số </w:t>
      </w:r>
      <w:r w:rsidR="007D3753" w:rsidRPr="00EF12E8">
        <w:t>545</w:t>
      </w:r>
      <w:r w:rsidR="002862A7" w:rsidRPr="00EF12E8">
        <w:t xml:space="preserve">/BC-STP ngày </w:t>
      </w:r>
      <w:r w:rsidR="007D3753" w:rsidRPr="00EF12E8">
        <w:t>24</w:t>
      </w:r>
      <w:r w:rsidR="002862A7" w:rsidRPr="00EF12E8">
        <w:t>/</w:t>
      </w:r>
      <w:r w:rsidR="007D3753" w:rsidRPr="00EF12E8">
        <w:t>11</w:t>
      </w:r>
      <w:r w:rsidR="002862A7" w:rsidRPr="00EF12E8">
        <w:t>/2020.</w:t>
      </w:r>
    </w:p>
    <w:p w:rsidR="00E800EC" w:rsidRPr="00EF12E8" w:rsidRDefault="00E51E32" w:rsidP="00EF12E8">
      <w:pPr>
        <w:spacing w:before="120" w:line="276" w:lineRule="auto"/>
        <w:ind w:firstLine="697"/>
        <w:jc w:val="both"/>
      </w:pPr>
      <w:r w:rsidRPr="00EF12E8">
        <w:t xml:space="preserve">Ủy ban nhân dân </w:t>
      </w:r>
      <w:r w:rsidR="00FE5107" w:rsidRPr="00EF12E8">
        <w:t>tính kính đề nghị</w:t>
      </w:r>
      <w:r w:rsidR="00D966FB" w:rsidRPr="00EF12E8">
        <w:t xml:space="preserve"> Hội đồng</w:t>
      </w:r>
      <w:r w:rsidR="00D966FB" w:rsidRPr="00EF12E8">
        <w:rPr>
          <w:lang w:val="nl-NL"/>
        </w:rPr>
        <w:t xml:space="preserve"> nhân dân tỉnh xem xét, thông qua</w:t>
      </w:r>
      <w:r w:rsidRPr="00EF12E8">
        <w:rPr>
          <w:lang w:val="nl-NL"/>
        </w:rPr>
        <w:t xml:space="preserve"> </w:t>
      </w:r>
      <w:r w:rsidR="00D966FB" w:rsidRPr="00EF12E8">
        <w:rPr>
          <w:lang w:val="en-GB"/>
        </w:rPr>
        <w:t>Nghị quyết về ban hành các nguyên tắc, tiêu chí và định mức phân bổ vốn đầu tư công nguồn ngân sách địa phương giai đoạn 2021</w:t>
      </w:r>
      <w:r w:rsidR="00E800EC" w:rsidRPr="00EF12E8">
        <w:rPr>
          <w:lang w:val="en-GB"/>
        </w:rPr>
        <w:t xml:space="preserve"> </w:t>
      </w:r>
      <w:r w:rsidR="00D966FB" w:rsidRPr="00EF12E8">
        <w:rPr>
          <w:lang w:val="en-GB"/>
        </w:rPr>
        <w:t>-</w:t>
      </w:r>
      <w:r w:rsidR="00E800EC" w:rsidRPr="00EF12E8">
        <w:rPr>
          <w:lang w:val="en-GB"/>
        </w:rPr>
        <w:t xml:space="preserve"> </w:t>
      </w:r>
      <w:r w:rsidR="00D966FB" w:rsidRPr="00EF12E8">
        <w:rPr>
          <w:lang w:val="en-GB"/>
        </w:rPr>
        <w:t xml:space="preserve">2025 tỉnh Hà Tĩnh, </w:t>
      </w:r>
      <w:r w:rsidR="00FE5107" w:rsidRPr="00EF12E8">
        <w:rPr>
          <w:lang w:val="en-GB"/>
        </w:rPr>
        <w:t xml:space="preserve">với các nội dung cụ thể </w:t>
      </w:r>
      <w:r w:rsidR="00D966FB" w:rsidRPr="00EF12E8">
        <w:rPr>
          <w:lang w:val="en-GB"/>
        </w:rPr>
        <w:t>như sau:</w:t>
      </w:r>
    </w:p>
    <w:p w:rsidR="00FB53D9" w:rsidRPr="00EF12E8" w:rsidRDefault="00FB53D9" w:rsidP="00EF12E8">
      <w:pPr>
        <w:spacing w:before="120" w:line="276" w:lineRule="auto"/>
        <w:ind w:firstLine="697"/>
        <w:jc w:val="both"/>
        <w:rPr>
          <w:lang w:val="en-US"/>
        </w:rPr>
      </w:pPr>
      <w:r w:rsidRPr="00EF12E8">
        <w:rPr>
          <w:b/>
          <w:sz w:val="26"/>
          <w:lang w:val="nl-NL"/>
        </w:rPr>
        <w:t>I. CĂN CỨ PHÁP LÝ VÀ SỰ CẦN THIẾT BAN HÀNH NGHỊ QUYẾT</w:t>
      </w:r>
    </w:p>
    <w:p w:rsidR="00BC4997" w:rsidRPr="00EF12E8" w:rsidRDefault="005E060A" w:rsidP="00EF12E8">
      <w:pPr>
        <w:tabs>
          <w:tab w:val="left" w:pos="0"/>
        </w:tabs>
        <w:spacing w:before="120" w:line="276" w:lineRule="auto"/>
        <w:ind w:firstLine="720"/>
        <w:jc w:val="both"/>
        <w:rPr>
          <w:b/>
          <w:lang w:val="nl-NL"/>
        </w:rPr>
      </w:pPr>
      <w:r w:rsidRPr="00EF12E8">
        <w:rPr>
          <w:b/>
          <w:lang w:val="nl-NL"/>
        </w:rPr>
        <w:t xml:space="preserve">1. </w:t>
      </w:r>
      <w:r w:rsidR="00A47ACC" w:rsidRPr="00EF12E8">
        <w:rPr>
          <w:b/>
          <w:lang w:val="nl-NL"/>
        </w:rPr>
        <w:t>Căn cứ pháp lý</w:t>
      </w:r>
      <w:r w:rsidR="00E800EC" w:rsidRPr="00EF12E8">
        <w:rPr>
          <w:b/>
          <w:lang w:val="nl-NL"/>
        </w:rPr>
        <w:t>:</w:t>
      </w:r>
    </w:p>
    <w:p w:rsidR="00543484" w:rsidRPr="00EF12E8" w:rsidRDefault="00267FE7" w:rsidP="00EF12E8">
      <w:pPr>
        <w:tabs>
          <w:tab w:val="left" w:pos="0"/>
        </w:tabs>
        <w:spacing w:before="120" w:line="276" w:lineRule="auto"/>
        <w:ind w:firstLine="720"/>
        <w:jc w:val="both"/>
        <w:rPr>
          <w:lang w:val="nl-NL"/>
        </w:rPr>
      </w:pPr>
      <w:r w:rsidRPr="00EF12E8">
        <w:rPr>
          <w:lang w:val="nl-NL"/>
        </w:rPr>
        <w:t>a)</w:t>
      </w:r>
      <w:r w:rsidR="00543484" w:rsidRPr="00EF12E8">
        <w:rPr>
          <w:lang w:val="nl-NL"/>
        </w:rPr>
        <w:t xml:space="preserve"> </w:t>
      </w:r>
      <w:r w:rsidR="00423845" w:rsidRPr="00EF12E8">
        <w:rPr>
          <w:lang w:val="nl-NL"/>
        </w:rPr>
        <w:t>K</w:t>
      </w:r>
      <w:r w:rsidR="00543484" w:rsidRPr="00EF12E8">
        <w:rPr>
          <w:lang w:val="nl-NL"/>
        </w:rPr>
        <w:t>hoản</w:t>
      </w:r>
      <w:r w:rsidR="00843798" w:rsidRPr="00EF12E8">
        <w:rPr>
          <w:lang w:val="nl-NL"/>
        </w:rPr>
        <w:t xml:space="preserve"> </w:t>
      </w:r>
      <w:r w:rsidR="00543484" w:rsidRPr="00EF12E8">
        <w:rPr>
          <w:lang w:val="nl-NL"/>
        </w:rPr>
        <w:t>3</w:t>
      </w:r>
      <w:r w:rsidR="00843798" w:rsidRPr="00EF12E8">
        <w:rPr>
          <w:lang w:val="nl-NL"/>
        </w:rPr>
        <w:t xml:space="preserve"> </w:t>
      </w:r>
      <w:r w:rsidR="00543484" w:rsidRPr="00EF12E8">
        <w:rPr>
          <w:lang w:val="nl-NL"/>
        </w:rPr>
        <w:t xml:space="preserve">Điều 48 Luật Đầu tư công </w:t>
      </w:r>
      <w:r w:rsidR="00E800EC" w:rsidRPr="00EF12E8">
        <w:t>năm 2019</w:t>
      </w:r>
      <w:r w:rsidR="00E800EC" w:rsidRPr="00EF12E8">
        <w:rPr>
          <w:lang w:val="en-US"/>
        </w:rPr>
        <w:t xml:space="preserve"> </w:t>
      </w:r>
      <w:r w:rsidR="00543484" w:rsidRPr="00EF12E8">
        <w:rPr>
          <w:lang w:val="nl-NL"/>
        </w:rPr>
        <w:t>quy định:</w:t>
      </w:r>
      <w:r w:rsidR="00843798" w:rsidRPr="00EF12E8">
        <w:rPr>
          <w:lang w:val="nl-NL"/>
        </w:rPr>
        <w:t xml:space="preserve"> </w:t>
      </w:r>
      <w:r w:rsidR="00543484" w:rsidRPr="00EF12E8">
        <w:rPr>
          <w:i/>
          <w:lang w:val="nl-NL"/>
        </w:rPr>
        <w:t>“Việc phân bổ vốn đầu tư công phải tuân thủ nguyên tắc, tiêu chí, định mức phân bổ vốn đầu tư công trong từng giai đoạn đã được cấp có thẩm quyền phê duyệt”.</w:t>
      </w:r>
    </w:p>
    <w:p w:rsidR="00D966FB" w:rsidRPr="00EF12E8" w:rsidRDefault="00267FE7" w:rsidP="00EF12E8">
      <w:pPr>
        <w:tabs>
          <w:tab w:val="left" w:pos="0"/>
        </w:tabs>
        <w:spacing w:before="120" w:line="276" w:lineRule="auto"/>
        <w:ind w:firstLine="720"/>
        <w:jc w:val="both"/>
        <w:rPr>
          <w:lang w:val="nl-NL"/>
        </w:rPr>
      </w:pPr>
      <w:r w:rsidRPr="00EF12E8">
        <w:rPr>
          <w:lang w:val="nl-NL"/>
        </w:rPr>
        <w:t xml:space="preserve">b) </w:t>
      </w:r>
      <w:r w:rsidR="00423845" w:rsidRPr="00EF12E8">
        <w:rPr>
          <w:lang w:val="en-US"/>
        </w:rPr>
        <w:t>Khoản 2 Điều 10 Quyết định số 26/2020/QĐ-TTg ngày 14/9/2020</w:t>
      </w:r>
      <w:r w:rsidR="004B2A70" w:rsidRPr="00EF12E8">
        <w:rPr>
          <w:lang w:val="en-US"/>
        </w:rPr>
        <w:t xml:space="preserve"> </w:t>
      </w:r>
      <w:r w:rsidR="00423845" w:rsidRPr="00EF12E8">
        <w:rPr>
          <w:lang w:val="en-US"/>
        </w:rPr>
        <w:t>của Thủ tướng Chính phủ quy định</w:t>
      </w:r>
      <w:r w:rsidR="004B2A70" w:rsidRPr="00EF12E8">
        <w:rPr>
          <w:lang w:val="en-US"/>
        </w:rPr>
        <w:t>:</w:t>
      </w:r>
      <w:r w:rsidR="00423845" w:rsidRPr="00EF12E8">
        <w:rPr>
          <w:i/>
          <w:lang w:val="en-US"/>
        </w:rPr>
        <w:t>“Căn cứ các nguyên tắc, tiêu chí và định mức phân bổ vốn đầu tư công nguồn ngân sách nhà nước giai đoạn 2021</w:t>
      </w:r>
      <w:r w:rsidR="00E800EC" w:rsidRPr="00EF12E8">
        <w:rPr>
          <w:i/>
          <w:lang w:val="en-US"/>
        </w:rPr>
        <w:t xml:space="preserve"> </w:t>
      </w:r>
      <w:r w:rsidR="00423845" w:rsidRPr="00EF12E8">
        <w:rPr>
          <w:i/>
          <w:lang w:val="en-US"/>
        </w:rPr>
        <w:t>-</w:t>
      </w:r>
      <w:r w:rsidR="00E800EC" w:rsidRPr="00EF12E8">
        <w:rPr>
          <w:i/>
          <w:lang w:val="en-US"/>
        </w:rPr>
        <w:t xml:space="preserve"> </w:t>
      </w:r>
      <w:r w:rsidR="00423845" w:rsidRPr="00EF12E8">
        <w:rPr>
          <w:i/>
          <w:lang w:val="en-US"/>
        </w:rPr>
        <w:t xml:space="preserve">2025 quy </w:t>
      </w:r>
      <w:r w:rsidR="00423845" w:rsidRPr="00EF12E8">
        <w:rPr>
          <w:i/>
          <w:lang w:val="en-US"/>
        </w:rPr>
        <w:lastRenderedPageBreak/>
        <w:t>định tại Quyết định này, khả năng tài chính và đặc điểm tình hình của địa phương, Ủy ban nhân dân các tỉnh, thành phố trực thuộc trung ương trình Hội đồng nhân dân cấp tỉnh ban hành nguyên tắc, tiêu chí, định mức phân bổ vốn đầu tư công nguồn ngân sách địa phương giai đoạn 2021</w:t>
      </w:r>
      <w:r w:rsidR="00E800EC" w:rsidRPr="00EF12E8">
        <w:rPr>
          <w:i/>
          <w:lang w:val="en-US"/>
        </w:rPr>
        <w:t xml:space="preserve"> </w:t>
      </w:r>
      <w:r w:rsidR="00423845" w:rsidRPr="00EF12E8">
        <w:rPr>
          <w:i/>
          <w:lang w:val="en-US"/>
        </w:rPr>
        <w:t>-</w:t>
      </w:r>
      <w:r w:rsidR="00E800EC" w:rsidRPr="00EF12E8">
        <w:rPr>
          <w:i/>
          <w:lang w:val="en-US"/>
        </w:rPr>
        <w:t xml:space="preserve"> </w:t>
      </w:r>
      <w:r w:rsidR="00423845" w:rsidRPr="00EF12E8">
        <w:rPr>
          <w:i/>
          <w:lang w:val="en-US"/>
        </w:rPr>
        <w:t>2025”</w:t>
      </w:r>
      <w:r w:rsidR="00E800EC" w:rsidRPr="00EF12E8">
        <w:rPr>
          <w:i/>
          <w:lang w:val="en-US"/>
        </w:rPr>
        <w:t>.</w:t>
      </w:r>
    </w:p>
    <w:p w:rsidR="00E800EC" w:rsidRPr="00EF12E8" w:rsidRDefault="00557EF7" w:rsidP="00EF12E8">
      <w:pPr>
        <w:tabs>
          <w:tab w:val="left" w:pos="0"/>
        </w:tabs>
        <w:spacing w:before="120" w:line="276" w:lineRule="auto"/>
        <w:ind w:firstLine="720"/>
        <w:jc w:val="both"/>
        <w:rPr>
          <w:lang w:val="en-GB"/>
        </w:rPr>
      </w:pPr>
      <w:r w:rsidRPr="00EF12E8">
        <w:rPr>
          <w:lang w:val="en-GB"/>
        </w:rPr>
        <w:t>c) Khoản 3 Điều 40 Luậ</w:t>
      </w:r>
      <w:r w:rsidR="00E800EC" w:rsidRPr="00EF12E8">
        <w:rPr>
          <w:lang w:val="en-GB"/>
        </w:rPr>
        <w:t>t Ngân sách N</w:t>
      </w:r>
      <w:r w:rsidRPr="00EF12E8">
        <w:rPr>
          <w:lang w:val="en-GB"/>
        </w:rPr>
        <w:t xml:space="preserve">hà nước </w:t>
      </w:r>
      <w:r w:rsidR="00E800EC" w:rsidRPr="00EF12E8">
        <w:rPr>
          <w:lang w:val="en-GB"/>
        </w:rPr>
        <w:t>năm 2015</w:t>
      </w:r>
      <w:r w:rsidR="00D80FA0" w:rsidRPr="00EF12E8">
        <w:rPr>
          <w:lang w:val="en-GB"/>
        </w:rPr>
        <w:t xml:space="preserve"> quy định</w:t>
      </w:r>
      <w:r w:rsidRPr="00EF12E8">
        <w:rPr>
          <w:lang w:val="en-GB"/>
        </w:rPr>
        <w:t xml:space="preserve">: </w:t>
      </w:r>
      <w:r w:rsidR="00B1172C" w:rsidRPr="00EF12E8">
        <w:rPr>
          <w:lang w:val="en-GB"/>
        </w:rPr>
        <w:t>“</w:t>
      </w:r>
      <w:r w:rsidRPr="00EF12E8">
        <w:rPr>
          <w:i/>
          <w:lang w:val="en-US"/>
        </w:rPr>
        <w:t>Số bổ sung có mục tiêu từ ngân sách cấp trên cho ngân sách cấp dưới được xác định theo nguyên tắc, tiêu chí, định mức phân bổ ngân sách và các chế độ, tiêu chuẩn, định mức chi ngân sách; khả năng ngân sách cấp trên và khả năng cân đối ngân sách của từng địa phương cấp dưới, để hỗ trợ ngân sách cấp dưới,..</w:t>
      </w:r>
      <w:r w:rsidR="00B1172C" w:rsidRPr="00EF12E8">
        <w:rPr>
          <w:i/>
          <w:lang w:val="en-US"/>
        </w:rPr>
        <w:t>”</w:t>
      </w:r>
      <w:r w:rsidR="00E800EC" w:rsidRPr="00EF12E8">
        <w:rPr>
          <w:i/>
          <w:lang w:val="en-US"/>
        </w:rPr>
        <w:t>.</w:t>
      </w:r>
    </w:p>
    <w:p w:rsidR="00D966FB" w:rsidRPr="00EF12E8" w:rsidRDefault="00DF3AC7" w:rsidP="00EF12E8">
      <w:pPr>
        <w:tabs>
          <w:tab w:val="left" w:pos="0"/>
        </w:tabs>
        <w:spacing w:before="120" w:line="276" w:lineRule="auto"/>
        <w:ind w:firstLine="720"/>
        <w:jc w:val="both"/>
        <w:rPr>
          <w:lang w:val="en-GB"/>
        </w:rPr>
      </w:pPr>
      <w:r w:rsidRPr="00EF12E8">
        <w:rPr>
          <w:b/>
          <w:lang w:val="en-GB"/>
        </w:rPr>
        <w:t xml:space="preserve">2. </w:t>
      </w:r>
      <w:r w:rsidR="00F11D71" w:rsidRPr="00EF12E8">
        <w:rPr>
          <w:b/>
          <w:lang w:val="en-GB"/>
        </w:rPr>
        <w:t>T</w:t>
      </w:r>
      <w:r w:rsidRPr="00EF12E8">
        <w:rPr>
          <w:b/>
          <w:lang w:val="en-GB"/>
        </w:rPr>
        <w:t>hực tiễn</w:t>
      </w:r>
      <w:r w:rsidR="00F11D71" w:rsidRPr="00EF12E8">
        <w:rPr>
          <w:b/>
          <w:lang w:val="en-GB"/>
        </w:rPr>
        <w:t xml:space="preserve"> và sự cần thiết ban hành Nghị quyết</w:t>
      </w:r>
      <w:r w:rsidR="00E800EC" w:rsidRPr="00EF12E8">
        <w:rPr>
          <w:b/>
          <w:lang w:val="en-GB"/>
        </w:rPr>
        <w:t>:</w:t>
      </w:r>
    </w:p>
    <w:p w:rsidR="00E800EC" w:rsidRPr="00EF12E8" w:rsidRDefault="000E346F" w:rsidP="00EF12E8">
      <w:pPr>
        <w:tabs>
          <w:tab w:val="left" w:pos="0"/>
        </w:tabs>
        <w:spacing w:before="120" w:line="276" w:lineRule="auto"/>
        <w:ind w:firstLine="720"/>
        <w:jc w:val="both"/>
        <w:rPr>
          <w:lang w:val="en-US"/>
        </w:rPr>
      </w:pPr>
      <w:r w:rsidRPr="00EF12E8">
        <w:rPr>
          <w:lang w:val="nl-NL"/>
        </w:rPr>
        <w:t xml:space="preserve">Thực hiện Luật Đầu tư công </w:t>
      </w:r>
      <w:r w:rsidR="00E800EC" w:rsidRPr="00EF12E8">
        <w:rPr>
          <w:lang w:val="nl-NL"/>
        </w:rPr>
        <w:t>năm 2014 (Luật cũ)</w:t>
      </w:r>
      <w:r w:rsidRPr="00EF12E8">
        <w:rPr>
          <w:lang w:val="nl-NL"/>
        </w:rPr>
        <w:t>, Nghị quyết số 1023/NQ-UBTVQH13 ngày 28 tháng 8 năm 2015 của Ủy ban Thường vụ Quốc hội và Quyết định số 40/2015/QĐ-TTg ngày 14 tháng 9 năm 2015</w:t>
      </w:r>
      <w:r w:rsidR="004F4FC1" w:rsidRPr="00EF12E8">
        <w:rPr>
          <w:lang w:val="nl-NL"/>
        </w:rPr>
        <w:t xml:space="preserve"> của Thủ tướng Chính phủ, Hội đồng nhâ</w:t>
      </w:r>
      <w:r w:rsidR="00556B0E" w:rsidRPr="00EF12E8">
        <w:t>n</w:t>
      </w:r>
      <w:r w:rsidR="004F4FC1" w:rsidRPr="00EF12E8">
        <w:rPr>
          <w:lang w:val="nl-NL"/>
        </w:rPr>
        <w:t xml:space="preserve"> dân tỉnh </w:t>
      </w:r>
      <w:r w:rsidR="00BE1C62" w:rsidRPr="00EF12E8">
        <w:rPr>
          <w:lang w:val="nl-NL"/>
        </w:rPr>
        <w:t xml:space="preserve">đã ban hành Nghị quyết số </w:t>
      </w:r>
      <w:r w:rsidR="00306B06" w:rsidRPr="00EF12E8">
        <w:rPr>
          <w:lang w:val="nl-NL"/>
        </w:rPr>
        <w:t>14/2016/NQ-HĐND ngày 24/9/2016 ban hành các</w:t>
      </w:r>
      <w:r w:rsidRPr="00EF12E8">
        <w:rPr>
          <w:lang w:val="nl-NL"/>
        </w:rPr>
        <w:t xml:space="preserve"> nguyên tắc, tiêu chí và định mức phân bổ vốn đầu tư phát triển</w:t>
      </w:r>
      <w:r w:rsidR="00A761B7" w:rsidRPr="00EF12E8">
        <w:rPr>
          <w:lang w:val="nl-NL"/>
        </w:rPr>
        <w:t xml:space="preserve"> bằng nguồn vốn đầu tư công </w:t>
      </w:r>
      <w:r w:rsidRPr="00EF12E8">
        <w:rPr>
          <w:lang w:val="nl-NL"/>
        </w:rPr>
        <w:t>giai đoạn 2016</w:t>
      </w:r>
      <w:r w:rsidR="00E800EC" w:rsidRPr="00EF12E8">
        <w:rPr>
          <w:lang w:val="nl-NL"/>
        </w:rPr>
        <w:t xml:space="preserve"> </w:t>
      </w:r>
      <w:r w:rsidRPr="00EF12E8">
        <w:rPr>
          <w:lang w:val="nl-NL"/>
        </w:rPr>
        <w:t>-</w:t>
      </w:r>
      <w:r w:rsidR="00E800EC" w:rsidRPr="00EF12E8">
        <w:rPr>
          <w:lang w:val="nl-NL"/>
        </w:rPr>
        <w:t xml:space="preserve"> </w:t>
      </w:r>
      <w:r w:rsidRPr="00EF12E8">
        <w:rPr>
          <w:lang w:val="nl-NL"/>
        </w:rPr>
        <w:t>2020</w:t>
      </w:r>
      <w:r w:rsidR="00E30DB4" w:rsidRPr="00EF12E8">
        <w:rPr>
          <w:lang w:val="nl-NL"/>
        </w:rPr>
        <w:t xml:space="preserve"> tỉnh Hà Tĩnh</w:t>
      </w:r>
      <w:r w:rsidRPr="00EF12E8">
        <w:rPr>
          <w:lang w:val="nl-NL"/>
        </w:rPr>
        <w:t>.</w:t>
      </w:r>
      <w:r w:rsidR="00852CEE" w:rsidRPr="00EF12E8">
        <w:t xml:space="preserve"> </w:t>
      </w:r>
    </w:p>
    <w:p w:rsidR="00E800EC" w:rsidRPr="00EF12E8" w:rsidRDefault="000E346F" w:rsidP="00EF12E8">
      <w:pPr>
        <w:tabs>
          <w:tab w:val="left" w:pos="0"/>
        </w:tabs>
        <w:spacing w:before="120" w:line="276" w:lineRule="auto"/>
        <w:ind w:firstLine="720"/>
        <w:jc w:val="both"/>
        <w:rPr>
          <w:lang w:val="nl-NL"/>
        </w:rPr>
      </w:pPr>
      <w:r w:rsidRPr="00EF12E8">
        <w:rPr>
          <w:lang w:val="nl-NL"/>
        </w:rPr>
        <w:t>Sau gần 05 năm,</w:t>
      </w:r>
      <w:r w:rsidR="00E00143" w:rsidRPr="00EF12E8">
        <w:rPr>
          <w:lang w:val="nl-NL"/>
        </w:rPr>
        <w:t xml:space="preserve"> </w:t>
      </w:r>
      <w:r w:rsidRPr="00EF12E8">
        <w:rPr>
          <w:lang w:val="nl-NL"/>
        </w:rPr>
        <w:t xml:space="preserve">việc thực hiện </w:t>
      </w:r>
      <w:r w:rsidR="00E00143" w:rsidRPr="00EF12E8">
        <w:rPr>
          <w:lang w:val="nl-NL"/>
        </w:rPr>
        <w:t>Nghị quyết số</w:t>
      </w:r>
      <w:r w:rsidR="003E72FA" w:rsidRPr="00EF12E8">
        <w:rPr>
          <w:lang w:val="nl-NL"/>
        </w:rPr>
        <w:t xml:space="preserve"> 14/2016/NQ-HĐND</w:t>
      </w:r>
      <w:r w:rsidR="00F71996" w:rsidRPr="00EF12E8">
        <w:rPr>
          <w:lang w:val="nl-NL"/>
        </w:rPr>
        <w:t xml:space="preserve"> </w:t>
      </w:r>
      <w:r w:rsidRPr="00EF12E8">
        <w:rPr>
          <w:lang w:val="nl-NL"/>
        </w:rPr>
        <w:t xml:space="preserve">đã đạt được những kết quả tích cực, đáng chú ý là: </w:t>
      </w:r>
    </w:p>
    <w:p w:rsidR="00E800EC" w:rsidRPr="00EF12E8" w:rsidRDefault="00DE79EC" w:rsidP="00EF12E8">
      <w:pPr>
        <w:tabs>
          <w:tab w:val="left" w:pos="0"/>
        </w:tabs>
        <w:spacing w:before="120" w:line="276" w:lineRule="auto"/>
        <w:ind w:firstLine="720"/>
        <w:jc w:val="both"/>
        <w:rPr>
          <w:lang w:val="nl-NL"/>
        </w:rPr>
      </w:pPr>
      <w:r w:rsidRPr="00EF12E8">
        <w:rPr>
          <w:lang w:val="en-GB"/>
        </w:rPr>
        <w:t>- Tạo cơ sở pháp lý thống nhất, đồng bộ và hoàn chỉnh để nâng cao hiệu lực, hiệu quả công tác phân bổ và sử dụng vốn đầu tư công trên địa bàn; khắc phục tình trạng đầu tư dàn trải, phân tán, góp phần nâng cao hiệu quả đầu tư theo đúng mục tiêu, định hướng của chiến lược, kế hoạch phát triển kinh tế - xã hội 05 năm giai đoạn 2016</w:t>
      </w:r>
      <w:r w:rsidR="00E800EC" w:rsidRPr="00EF12E8">
        <w:rPr>
          <w:lang w:val="en-GB"/>
        </w:rPr>
        <w:t xml:space="preserve"> </w:t>
      </w:r>
      <w:r w:rsidRPr="00EF12E8">
        <w:rPr>
          <w:lang w:val="en-GB"/>
        </w:rPr>
        <w:t>-</w:t>
      </w:r>
      <w:r w:rsidR="00E800EC" w:rsidRPr="00EF12E8">
        <w:rPr>
          <w:lang w:val="en-GB"/>
        </w:rPr>
        <w:t xml:space="preserve"> </w:t>
      </w:r>
      <w:r w:rsidRPr="00EF12E8">
        <w:rPr>
          <w:lang w:val="en-GB"/>
        </w:rPr>
        <w:t>2020 của tỉnh cũng như các ngành, lĩnh vực và địa phương; chống thất thoát, lãng phí; bảo đảm tính công bằng, công khai, minh bạch trong quản lý đầu tư công.</w:t>
      </w:r>
    </w:p>
    <w:p w:rsidR="00E800EC" w:rsidRPr="00EF12E8" w:rsidRDefault="00DE79EC" w:rsidP="00EF12E8">
      <w:pPr>
        <w:tabs>
          <w:tab w:val="left" w:pos="0"/>
        </w:tabs>
        <w:spacing w:before="120" w:line="276" w:lineRule="auto"/>
        <w:ind w:firstLine="720"/>
        <w:jc w:val="both"/>
        <w:rPr>
          <w:lang w:val="nl-NL"/>
        </w:rPr>
      </w:pPr>
      <w:r w:rsidRPr="00EF12E8">
        <w:rPr>
          <w:lang w:val="en-GB"/>
        </w:rPr>
        <w:t>- Việc áp dụng các nguyên tắc, tiêu chí và định mức phân bổ vốn đầu tư phát triển nguồn NSNN giai đoạn 2016</w:t>
      </w:r>
      <w:r w:rsidR="00E800EC" w:rsidRPr="00EF12E8">
        <w:rPr>
          <w:lang w:val="en-GB"/>
        </w:rPr>
        <w:t xml:space="preserve"> </w:t>
      </w:r>
      <w:r w:rsidRPr="00EF12E8">
        <w:rPr>
          <w:lang w:val="en-GB"/>
        </w:rPr>
        <w:t>-</w:t>
      </w:r>
      <w:r w:rsidR="00E800EC" w:rsidRPr="00EF12E8">
        <w:rPr>
          <w:lang w:val="en-GB"/>
        </w:rPr>
        <w:t xml:space="preserve"> </w:t>
      </w:r>
      <w:r w:rsidRPr="00EF12E8">
        <w:rPr>
          <w:lang w:val="en-GB"/>
        </w:rPr>
        <w:t xml:space="preserve">2020 </w:t>
      </w:r>
      <w:r w:rsidRPr="00EF12E8">
        <w:rPr>
          <w:lang w:val="nl-NL"/>
        </w:rPr>
        <w:t>đã góp phần thúc đẩy cơ cấu lại đầu tư và cơ cấu lại các ngành, vùng lãnh thổ</w:t>
      </w:r>
      <w:r w:rsidRPr="00EF12E8">
        <w:rPr>
          <w:lang w:val="en-GB"/>
        </w:rPr>
        <w:t>; cơ bản bảo đảm tương quan hợp lý giữa phát triển kinh tế - xã hội và an sinh xã hội, giữa các ngành, lĩnh vực</w:t>
      </w:r>
      <w:r w:rsidR="00997667" w:rsidRPr="00EF12E8">
        <w:t xml:space="preserve"> và</w:t>
      </w:r>
      <w:r w:rsidRPr="00EF12E8">
        <w:rPr>
          <w:lang w:val="en-GB"/>
        </w:rPr>
        <w:t xml:space="preserve"> các địa phương, vùng miền </w:t>
      </w:r>
      <w:r w:rsidR="00E357B4" w:rsidRPr="00EF12E8">
        <w:t>trong tỉnh</w:t>
      </w:r>
      <w:r w:rsidRPr="00EF12E8">
        <w:rPr>
          <w:lang w:val="en-GB"/>
        </w:rPr>
        <w:t>.</w:t>
      </w:r>
    </w:p>
    <w:p w:rsidR="00E800EC" w:rsidRPr="00EF12E8" w:rsidRDefault="00EE35C2" w:rsidP="00EF12E8">
      <w:pPr>
        <w:tabs>
          <w:tab w:val="left" w:pos="0"/>
        </w:tabs>
        <w:spacing w:before="120" w:line="276" w:lineRule="auto"/>
        <w:ind w:firstLine="720"/>
        <w:jc w:val="both"/>
        <w:rPr>
          <w:lang w:val="nl-NL"/>
        </w:rPr>
      </w:pPr>
      <w:r w:rsidRPr="00EF12E8">
        <w:rPr>
          <w:lang w:val="en-GB"/>
        </w:rPr>
        <w:t>- Nguồn vốn đầu tư trong cân đối ngân sách địa phương đã được tập trung, ưu tiên bố trí thanh toán nợ đọng xây dựng cơ bản, thu hồi vốn ứng trước và chuyển tiếp để hoàn thành các dự án dở dang do cấp tỉnh quyết định đầu tư giai đoạn 2011</w:t>
      </w:r>
      <w:r w:rsidR="00E800EC" w:rsidRPr="00EF12E8">
        <w:rPr>
          <w:lang w:val="en-GB"/>
        </w:rPr>
        <w:t xml:space="preserve"> </w:t>
      </w:r>
      <w:r w:rsidRPr="00EF12E8">
        <w:rPr>
          <w:lang w:val="en-GB"/>
        </w:rPr>
        <w:t>-</w:t>
      </w:r>
      <w:r w:rsidR="00E800EC" w:rsidRPr="00EF12E8">
        <w:rPr>
          <w:lang w:val="en-GB"/>
        </w:rPr>
        <w:t xml:space="preserve"> </w:t>
      </w:r>
      <w:r w:rsidRPr="00EF12E8">
        <w:rPr>
          <w:lang w:val="en-GB"/>
        </w:rPr>
        <w:t>20</w:t>
      </w:r>
      <w:r w:rsidR="00B92A73" w:rsidRPr="00EF12E8">
        <w:rPr>
          <w:lang w:val="en-GB"/>
        </w:rPr>
        <w:t>1</w:t>
      </w:r>
      <w:r w:rsidRPr="00EF12E8">
        <w:rPr>
          <w:lang w:val="en-GB"/>
        </w:rPr>
        <w:t>5 chuyển tiếp sang giai đoạn 2016</w:t>
      </w:r>
      <w:r w:rsidR="00E800EC" w:rsidRPr="00EF12E8">
        <w:rPr>
          <w:lang w:val="en-GB"/>
        </w:rPr>
        <w:t xml:space="preserve"> </w:t>
      </w:r>
      <w:r w:rsidRPr="00EF12E8">
        <w:rPr>
          <w:lang w:val="en-GB"/>
        </w:rPr>
        <w:t>-</w:t>
      </w:r>
      <w:r w:rsidR="00E800EC" w:rsidRPr="00EF12E8">
        <w:rPr>
          <w:lang w:val="en-GB"/>
        </w:rPr>
        <w:t xml:space="preserve"> </w:t>
      </w:r>
      <w:r w:rsidRPr="00EF12E8">
        <w:rPr>
          <w:lang w:val="en-GB"/>
        </w:rPr>
        <w:t xml:space="preserve">2020; </w:t>
      </w:r>
      <w:r w:rsidRPr="00EF12E8">
        <w:t>hạn chế tối đa việc triển khai các dự án mới</w:t>
      </w:r>
      <w:r w:rsidRPr="00EF12E8">
        <w:rPr>
          <w:rFonts w:eastAsia="Times New Roman"/>
          <w:lang w:val="fr-FR"/>
        </w:rPr>
        <w:t xml:space="preserve">. Do đó áp lực trả nợ trong kế hoạch giảm rất nhiều, số </w:t>
      </w:r>
      <w:r w:rsidRPr="00EF12E8">
        <w:rPr>
          <w:rFonts w:eastAsia="Times New Roman"/>
          <w:lang w:val="fr-FR"/>
        </w:rPr>
        <w:lastRenderedPageBreak/>
        <w:t>lượng công trình hoàn thành hàng năm tăng lên góp phần nâng cao hiệu quả sử dụng vốn ngân sách nhà nước.</w:t>
      </w:r>
    </w:p>
    <w:p w:rsidR="00E800EC" w:rsidRPr="00EF12E8" w:rsidRDefault="008F359C" w:rsidP="00EF12E8">
      <w:pPr>
        <w:tabs>
          <w:tab w:val="left" w:pos="0"/>
        </w:tabs>
        <w:spacing w:before="120" w:line="276" w:lineRule="auto"/>
        <w:ind w:firstLine="720"/>
        <w:jc w:val="both"/>
        <w:rPr>
          <w:lang w:val="nl-NL"/>
        </w:rPr>
      </w:pPr>
      <w:r w:rsidRPr="00EF12E8">
        <w:rPr>
          <w:lang w:val="en-GB"/>
        </w:rPr>
        <w:t>- Việc phân bổ vốn đầu tư trong cân đối ngân sách địa phương theo tiêu chí, định mức đã đảm bảo được mức vốn ưu tiên trong việc thực hiện các mục tiêu, nhiệm vụ đột phá theo Nghị quyết Đại hội Đảng bộ tỉnh cũng như tăng mức vốn bố trí cho các vùng miề</w:t>
      </w:r>
      <w:r w:rsidR="00E800EC" w:rsidRPr="00EF12E8">
        <w:rPr>
          <w:lang w:val="en-GB"/>
        </w:rPr>
        <w:t xml:space="preserve">n núi </w:t>
      </w:r>
      <w:r w:rsidRPr="00EF12E8">
        <w:rPr>
          <w:lang w:val="en-GB"/>
        </w:rPr>
        <w:t>và các vùng khó khăn một cách hợp lý, góp phần thu hẹp dần khoảng cách về trình độ phát triển kinh tế, thu nhập và mức sống của dân cư giữa các địa phương trong tỉnh.</w:t>
      </w:r>
    </w:p>
    <w:p w:rsidR="00E800EC" w:rsidRPr="00EF12E8" w:rsidRDefault="000E346F" w:rsidP="00EF12E8">
      <w:pPr>
        <w:tabs>
          <w:tab w:val="left" w:pos="0"/>
        </w:tabs>
        <w:spacing w:before="120" w:line="276" w:lineRule="auto"/>
        <w:ind w:firstLine="720"/>
        <w:jc w:val="both"/>
        <w:rPr>
          <w:lang w:val="nl-NL"/>
        </w:rPr>
      </w:pPr>
      <w:r w:rsidRPr="00EF12E8">
        <w:rPr>
          <w:lang w:val="en-GB"/>
        </w:rPr>
        <w:t xml:space="preserve">Bên cạnh những kết quả đã đạt được, </w:t>
      </w:r>
      <w:r w:rsidR="008F359C" w:rsidRPr="00EF12E8">
        <w:rPr>
          <w:lang w:val="nl-NL"/>
        </w:rPr>
        <w:t>việc thực hiện Nghị quyết số 14/2016/NQ-HĐND</w:t>
      </w:r>
      <w:r w:rsidRPr="00EF12E8">
        <w:rPr>
          <w:lang w:val="en-GB"/>
        </w:rPr>
        <w:t xml:space="preserve"> cũng còn một số hạn chế</w:t>
      </w:r>
      <w:r w:rsidR="00E800EC" w:rsidRPr="00EF12E8">
        <w:rPr>
          <w:lang w:val="en-GB"/>
        </w:rPr>
        <w:t>; c</w:t>
      </w:r>
      <w:r w:rsidRPr="00EF12E8">
        <w:rPr>
          <w:lang w:val="en-GB"/>
        </w:rPr>
        <w:t xml:space="preserve">ụ thể: </w:t>
      </w:r>
    </w:p>
    <w:p w:rsidR="00E800EC" w:rsidRPr="00EF12E8" w:rsidRDefault="00E12C8F" w:rsidP="00EF12E8">
      <w:pPr>
        <w:tabs>
          <w:tab w:val="left" w:pos="0"/>
        </w:tabs>
        <w:spacing w:before="120" w:line="276" w:lineRule="auto"/>
        <w:ind w:firstLine="720"/>
        <w:jc w:val="both"/>
        <w:rPr>
          <w:lang w:val="nl-NL"/>
        </w:rPr>
      </w:pPr>
      <w:r w:rsidRPr="00EF12E8">
        <w:rPr>
          <w:i/>
          <w:lang w:val="en-GB"/>
        </w:rPr>
        <w:t>Thứ nhất,</w:t>
      </w:r>
      <w:r w:rsidR="00E800EC" w:rsidRPr="00EF12E8">
        <w:rPr>
          <w:lang w:val="en-GB"/>
        </w:rPr>
        <w:t xml:space="preserve"> </w:t>
      </w:r>
      <w:r w:rsidR="00FB3E3B" w:rsidRPr="00EF12E8">
        <w:rPr>
          <w:lang w:val="en-GB"/>
        </w:rPr>
        <w:t>v</w:t>
      </w:r>
      <w:r w:rsidR="00F14970" w:rsidRPr="00EF12E8">
        <w:rPr>
          <w:lang w:val="en-GB"/>
        </w:rPr>
        <w:t>iệc phân loại ngành, lĩnh vực đầu tư tại Nghị quyết số</w:t>
      </w:r>
      <w:r w:rsidR="007D6867" w:rsidRPr="00EF12E8">
        <w:rPr>
          <w:lang w:val="en-GB"/>
        </w:rPr>
        <w:t xml:space="preserve"> 1023/NQ-UBTVQH13 và Quyết định số 40/2015/QĐ-TTg </w:t>
      </w:r>
      <w:r w:rsidR="004B6D6F" w:rsidRPr="00EF12E8">
        <w:rPr>
          <w:lang w:val="en-GB"/>
        </w:rPr>
        <w:t xml:space="preserve"> </w:t>
      </w:r>
      <w:r w:rsidR="00F14970" w:rsidRPr="00EF12E8">
        <w:rPr>
          <w:lang w:val="en-GB"/>
        </w:rPr>
        <w:t xml:space="preserve">(tỉnh đã ban hành cụ thể hóa tại </w:t>
      </w:r>
      <w:r w:rsidR="004B6D6F" w:rsidRPr="00EF12E8">
        <w:rPr>
          <w:lang w:val="en-GB"/>
        </w:rPr>
        <w:t>Nghị quyết số 14/2016/NQ-HĐND</w:t>
      </w:r>
      <w:r w:rsidR="00F14970" w:rsidRPr="00EF12E8">
        <w:rPr>
          <w:lang w:val="en-GB"/>
        </w:rPr>
        <w:t xml:space="preserve">) gồm 20 ngành, lĩnh vực và 21 chương trình mục tiêu vẫn chưa bao quát hết các ngành, lĩnh vực sử dụng vốn </w:t>
      </w:r>
      <w:r w:rsidR="00E800EC" w:rsidRPr="00EF12E8">
        <w:rPr>
          <w:lang w:val="en-GB"/>
        </w:rPr>
        <w:t>ngân sách nhà nước</w:t>
      </w:r>
      <w:r w:rsidR="00F14970" w:rsidRPr="00EF12E8">
        <w:rPr>
          <w:lang w:val="en-GB"/>
        </w:rPr>
        <w:t>, chưa cụ thể hóa hết các nội dung</w:t>
      </w:r>
      <w:r w:rsidR="00B171B1" w:rsidRPr="00EF12E8">
        <w:rPr>
          <w:lang w:val="en-GB"/>
        </w:rPr>
        <w:t xml:space="preserve"> đầu tư </w:t>
      </w:r>
      <w:r w:rsidR="00F14970" w:rsidRPr="00EF12E8">
        <w:rPr>
          <w:lang w:val="en-GB"/>
        </w:rPr>
        <w:t>của từng lĩnh vực.</w:t>
      </w:r>
    </w:p>
    <w:p w:rsidR="00B81EF9" w:rsidRPr="00EF12E8" w:rsidRDefault="00C72FEF" w:rsidP="00EF12E8">
      <w:pPr>
        <w:tabs>
          <w:tab w:val="left" w:pos="0"/>
        </w:tabs>
        <w:spacing w:before="120" w:line="276" w:lineRule="auto"/>
        <w:ind w:firstLine="720"/>
        <w:jc w:val="both"/>
        <w:rPr>
          <w:lang w:val="nl-NL"/>
        </w:rPr>
      </w:pPr>
      <w:r w:rsidRPr="00EF12E8">
        <w:rPr>
          <w:i/>
          <w:lang w:val="en-GB"/>
        </w:rPr>
        <w:t>Thứ hai,</w:t>
      </w:r>
      <w:r w:rsidR="00B81EF9" w:rsidRPr="00EF12E8">
        <w:rPr>
          <w:lang w:val="en-GB"/>
        </w:rPr>
        <w:t xml:space="preserve"> huy động, lồng ghép một số nguồn vốn </w:t>
      </w:r>
      <w:r w:rsidR="00DB08C2" w:rsidRPr="00EF12E8">
        <w:rPr>
          <w:lang w:val="en-GB"/>
        </w:rPr>
        <w:t xml:space="preserve">đầu tư </w:t>
      </w:r>
      <w:r w:rsidR="00B81EF9" w:rsidRPr="00EF12E8">
        <w:rPr>
          <w:lang w:val="en-GB"/>
        </w:rPr>
        <w:t xml:space="preserve">chưa đảm bảo </w:t>
      </w:r>
      <w:r w:rsidR="00771CC9" w:rsidRPr="00EF12E8">
        <w:rPr>
          <w:lang w:val="en-GB"/>
        </w:rPr>
        <w:t>tiến độ</w:t>
      </w:r>
      <w:r w:rsidR="00891590" w:rsidRPr="00EF12E8">
        <w:rPr>
          <w:lang w:val="en-GB"/>
        </w:rPr>
        <w:t xml:space="preserve"> </w:t>
      </w:r>
      <w:r w:rsidR="00B81EF9" w:rsidRPr="00EF12E8">
        <w:rPr>
          <w:lang w:val="en-GB"/>
        </w:rPr>
        <w:t>theo quyết định được phê duyệt, dẫn đế</w:t>
      </w:r>
      <w:r w:rsidR="001103BD" w:rsidRPr="00EF12E8">
        <w:rPr>
          <w:lang w:val="en-GB"/>
        </w:rPr>
        <w:t xml:space="preserve">n tình trạng đầu tư dàn trải, thiếu đồng bộ, </w:t>
      </w:r>
      <w:r w:rsidR="008B1D2E" w:rsidRPr="00EF12E8">
        <w:rPr>
          <w:lang w:val="en-GB"/>
        </w:rPr>
        <w:t xml:space="preserve">phải kéo dài </w:t>
      </w:r>
      <w:r w:rsidR="001103BD" w:rsidRPr="00EF12E8">
        <w:rPr>
          <w:lang w:val="en-GB"/>
        </w:rPr>
        <w:t>thời gian bố trí vốn theo quy định (nhóm B không quá 4 năm, nhóm C không quá 3 năm)</w:t>
      </w:r>
      <w:r w:rsidR="000604AF" w:rsidRPr="00EF12E8">
        <w:rPr>
          <w:lang w:val="en-GB"/>
        </w:rPr>
        <w:t xml:space="preserve"> ở một số dự</w:t>
      </w:r>
      <w:r w:rsidR="00577F53" w:rsidRPr="00EF12E8">
        <w:rPr>
          <w:lang w:val="en-GB"/>
        </w:rPr>
        <w:t xml:space="preserve"> án.</w:t>
      </w:r>
    </w:p>
    <w:p w:rsidR="00C265CF" w:rsidRPr="00EF12E8" w:rsidRDefault="00C265CF" w:rsidP="00EF12E8">
      <w:pPr>
        <w:tabs>
          <w:tab w:val="left" w:pos="0"/>
        </w:tabs>
        <w:spacing w:before="120" w:line="276" w:lineRule="auto"/>
        <w:ind w:firstLine="720"/>
        <w:jc w:val="both"/>
        <w:rPr>
          <w:lang w:val="en-GB"/>
        </w:rPr>
      </w:pPr>
      <w:r w:rsidRPr="00EF12E8">
        <w:rPr>
          <w:i/>
          <w:lang w:val="en-GB"/>
        </w:rPr>
        <w:t xml:space="preserve">Thứ </w:t>
      </w:r>
      <w:r w:rsidR="00120A5E" w:rsidRPr="00EF12E8">
        <w:rPr>
          <w:i/>
          <w:lang w:val="en-GB"/>
        </w:rPr>
        <w:t>ba</w:t>
      </w:r>
      <w:r w:rsidRPr="00EF12E8">
        <w:rPr>
          <w:i/>
          <w:lang w:val="en-GB"/>
        </w:rPr>
        <w:t xml:space="preserve">, </w:t>
      </w:r>
      <w:r w:rsidRPr="00EF12E8">
        <w:rPr>
          <w:lang w:val="en-GB"/>
        </w:rPr>
        <w:t xml:space="preserve">các nguồn vốn đầu tư </w:t>
      </w:r>
      <w:r w:rsidR="008B491F" w:rsidRPr="00EF12E8">
        <w:rPr>
          <w:lang w:val="en-GB"/>
        </w:rPr>
        <w:t xml:space="preserve">phát triển nguồn vốn </w:t>
      </w:r>
      <w:r w:rsidRPr="00EF12E8">
        <w:rPr>
          <w:lang w:val="en-GB"/>
        </w:rPr>
        <w:t>ngân sách tỉnh (</w:t>
      </w:r>
      <w:r w:rsidR="008B491F" w:rsidRPr="00EF12E8">
        <w:rPr>
          <w:lang w:val="en-GB"/>
        </w:rPr>
        <w:t>từ các nguồn tăng thu, tiết kiệm chi và các nguồn vốn khác từ ngân</w:t>
      </w:r>
      <w:r w:rsidR="0001602A" w:rsidRPr="00EF12E8">
        <w:rPr>
          <w:lang w:val="en-GB"/>
        </w:rPr>
        <w:t xml:space="preserve"> </w:t>
      </w:r>
      <w:r w:rsidR="00FD6044" w:rsidRPr="00EF12E8">
        <w:rPr>
          <w:lang w:val="en-GB"/>
        </w:rPr>
        <w:t>sách tỉnh</w:t>
      </w:r>
      <w:r w:rsidRPr="00EF12E8">
        <w:rPr>
          <w:lang w:val="en-GB"/>
        </w:rPr>
        <w:t>) chưa được</w:t>
      </w:r>
      <w:r w:rsidR="0001602A" w:rsidRPr="00EF12E8">
        <w:rPr>
          <w:lang w:val="en-GB"/>
        </w:rPr>
        <w:t xml:space="preserve"> </w:t>
      </w:r>
      <w:r w:rsidRPr="00EF12E8">
        <w:rPr>
          <w:lang w:val="en-GB"/>
        </w:rPr>
        <w:t xml:space="preserve">định hướng </w:t>
      </w:r>
      <w:r w:rsidR="0001602A" w:rsidRPr="00EF12E8">
        <w:rPr>
          <w:lang w:val="en-GB"/>
        </w:rPr>
        <w:t xml:space="preserve">sử dụng một cách cụ thể, rõ ràng; </w:t>
      </w:r>
      <w:r w:rsidRPr="00EF12E8">
        <w:rPr>
          <w:lang w:val="en-GB"/>
        </w:rPr>
        <w:t xml:space="preserve">dẫn đến việc </w:t>
      </w:r>
      <w:r w:rsidR="0001602A" w:rsidRPr="00EF12E8">
        <w:rPr>
          <w:lang w:val="en-GB"/>
        </w:rPr>
        <w:t xml:space="preserve">phân bổ các </w:t>
      </w:r>
      <w:r w:rsidRPr="00EF12E8">
        <w:rPr>
          <w:lang w:val="en-GB"/>
        </w:rPr>
        <w:t>nguồn vốn này còn</w:t>
      </w:r>
      <w:r w:rsidR="0001602A" w:rsidRPr="00EF12E8">
        <w:rPr>
          <w:lang w:val="en-GB"/>
        </w:rPr>
        <w:t xml:space="preserve"> manh mún, thiếu tập trung; chưa phát huy hết hiệu quả nguồn vốn đầ</w:t>
      </w:r>
      <w:r w:rsidR="005D1737" w:rsidRPr="00EF12E8">
        <w:rPr>
          <w:lang w:val="en-GB"/>
        </w:rPr>
        <w:t>u tư.</w:t>
      </w:r>
    </w:p>
    <w:p w:rsidR="007E726E" w:rsidRPr="00EF12E8" w:rsidRDefault="007E726E" w:rsidP="00EF12E8">
      <w:pPr>
        <w:tabs>
          <w:tab w:val="left" w:pos="0"/>
        </w:tabs>
        <w:spacing w:before="120" w:line="276" w:lineRule="auto"/>
        <w:ind w:firstLine="720"/>
        <w:jc w:val="both"/>
        <w:rPr>
          <w:lang w:val="en-GB"/>
        </w:rPr>
      </w:pPr>
      <w:r w:rsidRPr="00EF12E8">
        <w:rPr>
          <w:i/>
          <w:lang w:val="en-GB"/>
        </w:rPr>
        <w:t xml:space="preserve">Thứ </w:t>
      </w:r>
      <w:r w:rsidR="00120A5E" w:rsidRPr="00EF12E8">
        <w:rPr>
          <w:i/>
          <w:lang w:val="en-GB"/>
        </w:rPr>
        <w:t>tư</w:t>
      </w:r>
      <w:r w:rsidRPr="00EF12E8">
        <w:rPr>
          <w:i/>
          <w:lang w:val="en-GB"/>
        </w:rPr>
        <w:t xml:space="preserve">, </w:t>
      </w:r>
      <w:r w:rsidRPr="00EF12E8">
        <w:rPr>
          <w:lang w:val="en-GB"/>
        </w:rPr>
        <w:t>việc phân cấp quản lý nguồn vốn gắn với quản lý dự án đầu tư chưa triệt để, chưa thực sự tạo điều kiện chủ động cho các địa phương trong việc triển khai các nhiệm vụ đầu tư phát triển của cấp mình.</w:t>
      </w:r>
    </w:p>
    <w:p w:rsidR="000604AF" w:rsidRPr="00EF12E8" w:rsidRDefault="000604AF" w:rsidP="00EF12E8">
      <w:pPr>
        <w:tabs>
          <w:tab w:val="left" w:pos="0"/>
        </w:tabs>
        <w:spacing w:before="120" w:line="276" w:lineRule="auto"/>
        <w:ind w:firstLine="720"/>
        <w:jc w:val="both"/>
        <w:rPr>
          <w:lang w:val="en-GB"/>
        </w:rPr>
      </w:pPr>
      <w:r w:rsidRPr="00EF12E8">
        <w:rPr>
          <w:i/>
          <w:lang w:val="en-GB"/>
        </w:rPr>
        <w:t xml:space="preserve">Thứ </w:t>
      </w:r>
      <w:r w:rsidR="00876D82" w:rsidRPr="00EF12E8">
        <w:rPr>
          <w:i/>
          <w:lang w:val="en-GB"/>
        </w:rPr>
        <w:t>năm</w:t>
      </w:r>
      <w:r w:rsidRPr="00EF12E8">
        <w:rPr>
          <w:i/>
          <w:lang w:val="en-GB"/>
        </w:rPr>
        <w:t>,</w:t>
      </w:r>
      <w:r w:rsidRPr="00EF12E8">
        <w:rPr>
          <w:lang w:val="en-GB"/>
        </w:rPr>
        <w:t xml:space="preserve"> các nguyên tắc, tiêu chí và định mức phân bổ vốn ngân sách địa phương giai đoạn 2016</w:t>
      </w:r>
      <w:r w:rsidR="00E800EC" w:rsidRPr="00EF12E8">
        <w:rPr>
          <w:lang w:val="en-GB"/>
        </w:rPr>
        <w:t xml:space="preserve"> </w:t>
      </w:r>
      <w:r w:rsidRPr="00EF12E8">
        <w:rPr>
          <w:lang w:val="en-GB"/>
        </w:rPr>
        <w:t>-</w:t>
      </w:r>
      <w:r w:rsidR="00E800EC" w:rsidRPr="00EF12E8">
        <w:rPr>
          <w:lang w:val="en-GB"/>
        </w:rPr>
        <w:t xml:space="preserve"> </w:t>
      </w:r>
      <w:r w:rsidRPr="00EF12E8">
        <w:rPr>
          <w:lang w:val="en-GB"/>
        </w:rPr>
        <w:t>2020 cần được rà soát để thay đổi phù hợp với mục tiêu, định hướng phát triển của giai đoạn 2021</w:t>
      </w:r>
      <w:r w:rsidR="00E800EC" w:rsidRPr="00EF12E8">
        <w:rPr>
          <w:lang w:val="en-GB"/>
        </w:rPr>
        <w:t xml:space="preserve"> </w:t>
      </w:r>
      <w:r w:rsidRPr="00EF12E8">
        <w:rPr>
          <w:lang w:val="en-GB"/>
        </w:rPr>
        <w:t>-</w:t>
      </w:r>
      <w:r w:rsidR="00E800EC" w:rsidRPr="00EF12E8">
        <w:rPr>
          <w:lang w:val="en-GB"/>
        </w:rPr>
        <w:t xml:space="preserve"> </w:t>
      </w:r>
      <w:r w:rsidRPr="00EF12E8">
        <w:rPr>
          <w:lang w:val="en-GB"/>
        </w:rPr>
        <w:t>2025 theo Nghị quyết Đại hội Đảng bộ tỉnh lần thứ XIX</w:t>
      </w:r>
    </w:p>
    <w:p w:rsidR="00E800EC" w:rsidRPr="00EF12E8" w:rsidRDefault="00F11D71" w:rsidP="00EF12E8">
      <w:pPr>
        <w:widowControl w:val="0"/>
        <w:spacing w:before="120" w:line="276" w:lineRule="auto"/>
        <w:ind w:firstLine="720"/>
        <w:jc w:val="both"/>
        <w:rPr>
          <w:lang w:val="nl-NL"/>
        </w:rPr>
      </w:pPr>
      <w:r w:rsidRPr="00EF12E8">
        <w:rPr>
          <w:b/>
          <w:lang w:val="nl-NL" w:eastAsia="x-none"/>
        </w:rPr>
        <w:t>Như vậy,</w:t>
      </w:r>
      <w:r w:rsidRPr="00EF12E8">
        <w:rPr>
          <w:lang w:val="nl-NL" w:eastAsia="x-none"/>
        </w:rPr>
        <w:t xml:space="preserve"> </w:t>
      </w:r>
      <w:r w:rsidR="00887E2E" w:rsidRPr="00EF12E8">
        <w:rPr>
          <w:lang w:val="nl-NL" w:eastAsia="x-none"/>
        </w:rPr>
        <w:t xml:space="preserve">việc </w:t>
      </w:r>
      <w:r w:rsidRPr="00EF12E8">
        <w:rPr>
          <w:lang w:val="nl-NL" w:eastAsia="x-none"/>
        </w:rPr>
        <w:t xml:space="preserve">ban hành Nghị quyết của </w:t>
      </w:r>
      <w:r w:rsidR="00790E8A" w:rsidRPr="00EF12E8">
        <w:rPr>
          <w:lang w:val="nl-NL" w:eastAsia="x-none"/>
        </w:rPr>
        <w:t xml:space="preserve">Hội đồng nhân dân tỉnh </w:t>
      </w:r>
      <w:r w:rsidRPr="00EF12E8">
        <w:rPr>
          <w:lang w:val="nl-NL" w:eastAsia="x-none"/>
        </w:rPr>
        <w:t xml:space="preserve">quy định về các </w:t>
      </w:r>
      <w:r w:rsidRPr="00EF12E8">
        <w:rPr>
          <w:lang w:val="nl-NL"/>
        </w:rPr>
        <w:t xml:space="preserve">nguyên tắc, tiêu chí và định mức phân bổ vốn đầu tư công </w:t>
      </w:r>
      <w:r w:rsidR="00790E8A" w:rsidRPr="00EF12E8">
        <w:rPr>
          <w:lang w:val="nl-NL"/>
        </w:rPr>
        <w:t>ngân sách địa phương giai đoạn 2021</w:t>
      </w:r>
      <w:r w:rsidR="00E800EC" w:rsidRPr="00EF12E8">
        <w:rPr>
          <w:lang w:val="nl-NL"/>
        </w:rPr>
        <w:t xml:space="preserve"> - </w:t>
      </w:r>
      <w:r w:rsidR="00790E8A" w:rsidRPr="00EF12E8">
        <w:rPr>
          <w:lang w:val="nl-NL"/>
        </w:rPr>
        <w:t>2025</w:t>
      </w:r>
      <w:r w:rsidR="00E851D3" w:rsidRPr="00EF12E8">
        <w:rPr>
          <w:lang w:val="nl-NL"/>
        </w:rPr>
        <w:t xml:space="preserve"> là</w:t>
      </w:r>
      <w:r w:rsidR="00887E2E" w:rsidRPr="00EF12E8">
        <w:rPr>
          <w:lang w:val="nl-NL"/>
        </w:rPr>
        <w:t xml:space="preserve"> cần thiế</w:t>
      </w:r>
      <w:r w:rsidR="00E800EC" w:rsidRPr="00EF12E8">
        <w:rPr>
          <w:lang w:val="nl-NL"/>
        </w:rPr>
        <w:t xml:space="preserve">t, </w:t>
      </w:r>
      <w:r w:rsidRPr="00EF12E8">
        <w:rPr>
          <w:lang w:val="nl-NL"/>
        </w:rPr>
        <w:t xml:space="preserve">phù hợp với căn cứ pháp lý và tình hình thực tiễn, đáp ứng được yêu cầu khách quan của công tác lập kế hoạch đầu tư công trung hạn nguồn </w:t>
      </w:r>
      <w:r w:rsidR="00790E8A" w:rsidRPr="00EF12E8">
        <w:rPr>
          <w:lang w:val="nl-NL"/>
        </w:rPr>
        <w:t xml:space="preserve">ngân sách địa phương </w:t>
      </w:r>
      <w:r w:rsidRPr="00EF12E8">
        <w:rPr>
          <w:lang w:val="nl-NL"/>
        </w:rPr>
        <w:t>giai đoạ</w:t>
      </w:r>
      <w:r w:rsidR="00790E8A" w:rsidRPr="00EF12E8">
        <w:rPr>
          <w:lang w:val="nl-NL"/>
        </w:rPr>
        <w:t>n 2021</w:t>
      </w:r>
      <w:r w:rsidR="00E800EC" w:rsidRPr="00EF12E8">
        <w:rPr>
          <w:lang w:val="nl-NL"/>
        </w:rPr>
        <w:t xml:space="preserve"> </w:t>
      </w:r>
      <w:r w:rsidR="00790E8A" w:rsidRPr="00EF12E8">
        <w:rPr>
          <w:lang w:val="nl-NL"/>
        </w:rPr>
        <w:t>-</w:t>
      </w:r>
      <w:r w:rsidR="00E800EC" w:rsidRPr="00EF12E8">
        <w:rPr>
          <w:lang w:val="nl-NL"/>
        </w:rPr>
        <w:t xml:space="preserve"> </w:t>
      </w:r>
      <w:r w:rsidR="00790E8A" w:rsidRPr="00EF12E8">
        <w:rPr>
          <w:lang w:val="nl-NL"/>
        </w:rPr>
        <w:t>2025 của tỉnh</w:t>
      </w:r>
      <w:r w:rsidR="00C41031" w:rsidRPr="00EF12E8">
        <w:rPr>
          <w:lang w:val="nl-NL"/>
        </w:rPr>
        <w:t>.</w:t>
      </w:r>
    </w:p>
    <w:p w:rsidR="00A41C5A" w:rsidRPr="00EF12E8" w:rsidRDefault="00A41C5A" w:rsidP="00EF12E8">
      <w:pPr>
        <w:widowControl w:val="0"/>
        <w:spacing w:before="120" w:line="276" w:lineRule="auto"/>
        <w:ind w:firstLine="720"/>
        <w:jc w:val="both"/>
        <w:rPr>
          <w:lang w:val="nl-NL"/>
        </w:rPr>
      </w:pPr>
      <w:r w:rsidRPr="00EF12E8">
        <w:rPr>
          <w:b/>
          <w:sz w:val="26"/>
          <w:lang w:val="nl-NL"/>
        </w:rPr>
        <w:lastRenderedPageBreak/>
        <w:t>II. MỤC ĐÍCH, QUAN ĐIỂM XÂY DỰNG NGHỊ QUYẾT</w:t>
      </w:r>
    </w:p>
    <w:p w:rsidR="005056A4" w:rsidRPr="00EF12E8" w:rsidRDefault="005056A4" w:rsidP="00EF12E8">
      <w:pPr>
        <w:spacing w:before="120" w:line="276" w:lineRule="auto"/>
        <w:ind w:firstLine="720"/>
        <w:rPr>
          <w:b/>
          <w:lang w:val="nl-NL"/>
        </w:rPr>
      </w:pPr>
      <w:r w:rsidRPr="00EF12E8">
        <w:rPr>
          <w:b/>
          <w:lang w:val="nl-NL"/>
        </w:rPr>
        <w:t>1. Mục đích</w:t>
      </w:r>
      <w:r w:rsidR="00E800EC" w:rsidRPr="00EF12E8">
        <w:rPr>
          <w:b/>
          <w:lang w:val="nl-NL"/>
        </w:rPr>
        <w:t>:</w:t>
      </w:r>
    </w:p>
    <w:p w:rsidR="00E800EC" w:rsidRPr="00EF12E8" w:rsidRDefault="005056A4" w:rsidP="00EF12E8">
      <w:pPr>
        <w:widowControl w:val="0"/>
        <w:spacing w:before="120" w:line="276" w:lineRule="auto"/>
        <w:ind w:firstLine="720"/>
        <w:jc w:val="both"/>
        <w:rPr>
          <w:lang w:val="nl-NL"/>
        </w:rPr>
      </w:pPr>
      <w:r w:rsidRPr="00EF12E8">
        <w:rPr>
          <w:lang w:val="nl-NL"/>
        </w:rPr>
        <w:t xml:space="preserve">Việc xây dựng các nguyên tắc, tiêu chí và định mức phân bổ vốn đầu tư công nguồn </w:t>
      </w:r>
      <w:r w:rsidR="000E3050" w:rsidRPr="00EF12E8">
        <w:rPr>
          <w:lang w:val="nl-NL"/>
        </w:rPr>
        <w:t xml:space="preserve">ngân sách địa phương </w:t>
      </w:r>
      <w:r w:rsidRPr="00EF12E8">
        <w:rPr>
          <w:lang w:val="nl-NL"/>
        </w:rPr>
        <w:t>giai đoạn 2021</w:t>
      </w:r>
      <w:r w:rsidR="00E800EC" w:rsidRPr="00EF12E8">
        <w:rPr>
          <w:lang w:val="nl-NL"/>
        </w:rPr>
        <w:t xml:space="preserve"> </w:t>
      </w:r>
      <w:r w:rsidRPr="00EF12E8">
        <w:rPr>
          <w:lang w:val="nl-NL"/>
        </w:rPr>
        <w:t>-</w:t>
      </w:r>
      <w:r w:rsidR="00E800EC" w:rsidRPr="00EF12E8">
        <w:rPr>
          <w:lang w:val="nl-NL"/>
        </w:rPr>
        <w:t xml:space="preserve"> </w:t>
      </w:r>
      <w:r w:rsidRPr="00EF12E8">
        <w:rPr>
          <w:lang w:val="nl-NL"/>
        </w:rPr>
        <w:t xml:space="preserve">2025 là căn cứ cho việc lập kế hoạch đầu tư trung hạn vốn </w:t>
      </w:r>
      <w:r w:rsidR="000E3050" w:rsidRPr="00EF12E8">
        <w:rPr>
          <w:lang w:val="nl-NL"/>
        </w:rPr>
        <w:t xml:space="preserve">ngân sách địa phương </w:t>
      </w:r>
      <w:r w:rsidRPr="00EF12E8">
        <w:rPr>
          <w:lang w:val="nl-NL"/>
        </w:rPr>
        <w:t>giai đoạn 2021</w:t>
      </w:r>
      <w:r w:rsidR="00E800EC" w:rsidRPr="00EF12E8">
        <w:rPr>
          <w:lang w:val="nl-NL"/>
        </w:rPr>
        <w:t xml:space="preserve"> </w:t>
      </w:r>
      <w:r w:rsidRPr="00EF12E8">
        <w:rPr>
          <w:lang w:val="nl-NL"/>
        </w:rPr>
        <w:t>-</w:t>
      </w:r>
      <w:r w:rsidR="00E800EC" w:rsidRPr="00EF12E8">
        <w:rPr>
          <w:lang w:val="nl-NL"/>
        </w:rPr>
        <w:t xml:space="preserve"> </w:t>
      </w:r>
      <w:r w:rsidRPr="00EF12E8">
        <w:rPr>
          <w:lang w:val="nl-NL"/>
        </w:rPr>
        <w:t xml:space="preserve">2025, bảo đảm việc phân bổ vốn đúng mục tiêu, tránh đầu tư phân tán, dàn trải, lãng phí, nâng cao hiệu quả đầu tư từ nguồn vốn </w:t>
      </w:r>
      <w:r w:rsidR="00872F39" w:rsidRPr="00EF12E8">
        <w:rPr>
          <w:lang w:val="nl-NL"/>
        </w:rPr>
        <w:t>ngân sách địa phương</w:t>
      </w:r>
      <w:r w:rsidRPr="00EF12E8">
        <w:rPr>
          <w:lang w:val="nl-NL"/>
        </w:rPr>
        <w:t xml:space="preserve">; nâng cao tính công khai, minh bạch trong quản lý, phân bổ và sử dụng vốn đầu tư công nguồn </w:t>
      </w:r>
      <w:r w:rsidR="00872F39" w:rsidRPr="00EF12E8">
        <w:rPr>
          <w:lang w:val="nl-NL"/>
        </w:rPr>
        <w:t>ngân sách địa phương</w:t>
      </w:r>
      <w:r w:rsidRPr="00EF12E8">
        <w:rPr>
          <w:lang w:val="nl-NL"/>
        </w:rPr>
        <w:t>, góp phần thực hiện các mục tiêu, nhiệm vụ của kế hoạch phát triển kinh tế - xã hội 5 năm 2021</w:t>
      </w:r>
      <w:r w:rsidR="00E800EC" w:rsidRPr="00EF12E8">
        <w:rPr>
          <w:lang w:val="nl-NL"/>
        </w:rPr>
        <w:t xml:space="preserve"> </w:t>
      </w:r>
      <w:r w:rsidRPr="00EF12E8">
        <w:rPr>
          <w:lang w:val="nl-NL"/>
        </w:rPr>
        <w:t>-</w:t>
      </w:r>
      <w:r w:rsidR="00E800EC" w:rsidRPr="00EF12E8">
        <w:rPr>
          <w:lang w:val="nl-NL"/>
        </w:rPr>
        <w:t xml:space="preserve"> </w:t>
      </w:r>
      <w:r w:rsidRPr="00EF12E8">
        <w:rPr>
          <w:lang w:val="nl-NL"/>
        </w:rPr>
        <w:t>2025, tạo động lực cho phát triển kinh tế.</w:t>
      </w:r>
    </w:p>
    <w:p w:rsidR="005056A4" w:rsidRPr="00EF12E8" w:rsidRDefault="005056A4" w:rsidP="00EF12E8">
      <w:pPr>
        <w:widowControl w:val="0"/>
        <w:spacing w:before="120" w:line="276" w:lineRule="auto"/>
        <w:ind w:firstLine="720"/>
        <w:jc w:val="both"/>
        <w:rPr>
          <w:lang w:val="nl-NL"/>
        </w:rPr>
      </w:pPr>
      <w:r w:rsidRPr="00EF12E8">
        <w:rPr>
          <w:b/>
          <w:lang w:val="nl-NL"/>
        </w:rPr>
        <w:t>2. Quan điểm xây dựng</w:t>
      </w:r>
      <w:r w:rsidR="00E800EC" w:rsidRPr="00EF12E8">
        <w:rPr>
          <w:b/>
          <w:lang w:val="nl-NL"/>
        </w:rPr>
        <w:t>:</w:t>
      </w:r>
      <w:r w:rsidRPr="00EF12E8">
        <w:rPr>
          <w:b/>
          <w:lang w:val="nl-NL"/>
        </w:rPr>
        <w:t xml:space="preserve"> </w:t>
      </w:r>
    </w:p>
    <w:p w:rsidR="00E800EC" w:rsidRPr="00EF12E8" w:rsidRDefault="005056A4" w:rsidP="00EF12E8">
      <w:pPr>
        <w:widowControl w:val="0"/>
        <w:spacing w:before="120" w:line="276" w:lineRule="auto"/>
        <w:ind w:firstLine="720"/>
        <w:jc w:val="both"/>
        <w:rPr>
          <w:lang w:val="nl-NL"/>
        </w:rPr>
      </w:pPr>
      <w:r w:rsidRPr="00EF12E8">
        <w:rPr>
          <w:lang w:val="nl-NL"/>
        </w:rPr>
        <w:t>Việc xây dựng</w:t>
      </w:r>
      <w:r w:rsidR="00E7117B" w:rsidRPr="00EF12E8">
        <w:rPr>
          <w:lang w:val="nl-NL"/>
        </w:rPr>
        <w:t xml:space="preserve"> </w:t>
      </w:r>
      <w:r w:rsidR="00933932" w:rsidRPr="00EF12E8">
        <w:rPr>
          <w:lang w:val="nl-NL"/>
        </w:rPr>
        <w:t xml:space="preserve">dự thảo </w:t>
      </w:r>
      <w:r w:rsidR="00EE43E4" w:rsidRPr="00EF12E8">
        <w:rPr>
          <w:lang w:val="nl-NL"/>
        </w:rPr>
        <w:t>Nghị quyết của Hội đồng nhân dân tỉnh quy định về các nguyên tắc, tiêu chí và định mức phân bổ vốn đầu tư công ngân sách địa phương giai đoạn 2021</w:t>
      </w:r>
      <w:r w:rsidR="00E800EC" w:rsidRPr="00EF12E8">
        <w:rPr>
          <w:lang w:val="nl-NL"/>
        </w:rPr>
        <w:t xml:space="preserve"> </w:t>
      </w:r>
      <w:r w:rsidR="00EE43E4" w:rsidRPr="00EF12E8">
        <w:rPr>
          <w:lang w:val="nl-NL"/>
        </w:rPr>
        <w:t>-</w:t>
      </w:r>
      <w:r w:rsidR="00E800EC" w:rsidRPr="00EF12E8">
        <w:rPr>
          <w:lang w:val="nl-NL"/>
        </w:rPr>
        <w:t xml:space="preserve"> </w:t>
      </w:r>
      <w:r w:rsidR="00EE43E4" w:rsidRPr="00EF12E8">
        <w:rPr>
          <w:lang w:val="nl-NL"/>
        </w:rPr>
        <w:t xml:space="preserve">2025 </w:t>
      </w:r>
      <w:r w:rsidRPr="00EF12E8">
        <w:rPr>
          <w:lang w:val="nl-NL"/>
        </w:rPr>
        <w:t>dựa trên những quan điểm cơ bản sau:</w:t>
      </w:r>
    </w:p>
    <w:p w:rsidR="005056A4" w:rsidRPr="00EF12E8" w:rsidRDefault="005056A4" w:rsidP="00EF12E8">
      <w:pPr>
        <w:widowControl w:val="0"/>
        <w:spacing w:before="120" w:line="276" w:lineRule="auto"/>
        <w:ind w:firstLine="720"/>
        <w:jc w:val="both"/>
        <w:rPr>
          <w:lang w:val="nl-NL"/>
        </w:rPr>
      </w:pPr>
      <w:r w:rsidRPr="00EF12E8">
        <w:rPr>
          <w:lang w:val="nl-NL"/>
        </w:rPr>
        <w:t>a) Tuân thủ các quy định của Luật Đầu tư công</w:t>
      </w:r>
      <w:r w:rsidR="00E800EC" w:rsidRPr="00EF12E8">
        <w:rPr>
          <w:lang w:val="nl-NL"/>
        </w:rPr>
        <w:t xml:space="preserve"> năm 2019</w:t>
      </w:r>
      <w:r w:rsidR="00720960" w:rsidRPr="00EF12E8">
        <w:rPr>
          <w:lang w:val="nl-NL"/>
        </w:rPr>
        <w:t xml:space="preserve">, </w:t>
      </w:r>
      <w:r w:rsidRPr="00EF12E8">
        <w:rPr>
          <w:lang w:val="nl-NL"/>
        </w:rPr>
        <w:t xml:space="preserve">Luật </w:t>
      </w:r>
      <w:r w:rsidR="00E800EC" w:rsidRPr="00EF12E8">
        <w:rPr>
          <w:lang w:val="nl-NL"/>
        </w:rPr>
        <w:t>Ngân sách Nhà nước năm 2015</w:t>
      </w:r>
      <w:r w:rsidR="00426B0E" w:rsidRPr="00EF12E8">
        <w:rPr>
          <w:lang w:val="nl-NL"/>
        </w:rPr>
        <w:t xml:space="preserve"> và các </w:t>
      </w:r>
      <w:r w:rsidR="008F12BA" w:rsidRPr="00EF12E8">
        <w:rPr>
          <w:lang w:val="nl-NL"/>
        </w:rPr>
        <w:t>N</w:t>
      </w:r>
      <w:r w:rsidR="00426B0E" w:rsidRPr="00EF12E8">
        <w:rPr>
          <w:lang w:val="nl-NL"/>
        </w:rPr>
        <w:t>ghị định hướng dẫn thi hành.</w:t>
      </w:r>
    </w:p>
    <w:p w:rsidR="000400DE" w:rsidRPr="00EF12E8" w:rsidRDefault="00E76127" w:rsidP="00EF12E8">
      <w:pPr>
        <w:widowControl w:val="0"/>
        <w:spacing w:before="120" w:line="276" w:lineRule="auto"/>
        <w:ind w:firstLine="720"/>
        <w:jc w:val="both"/>
        <w:rPr>
          <w:lang w:val="nl-NL"/>
        </w:rPr>
      </w:pPr>
      <w:r w:rsidRPr="00EF12E8">
        <w:rPr>
          <w:lang w:val="nl-NL"/>
        </w:rPr>
        <w:t xml:space="preserve">b) </w:t>
      </w:r>
      <w:r w:rsidR="005056A4" w:rsidRPr="00EF12E8">
        <w:rPr>
          <w:lang w:val="nl-NL"/>
        </w:rPr>
        <w:t>Thực hiện theo đúng quy định của Nghị quyết số 973/</w:t>
      </w:r>
      <w:r w:rsidR="00470554" w:rsidRPr="00EF12E8">
        <w:rPr>
          <w:lang w:val="nl-NL"/>
        </w:rPr>
        <w:t xml:space="preserve">2020/UBTVQH14 ngày </w:t>
      </w:r>
      <w:r w:rsidR="00497A04" w:rsidRPr="00EF12E8">
        <w:rPr>
          <w:lang w:val="nl-NL"/>
        </w:rPr>
        <w:t>0</w:t>
      </w:r>
      <w:r w:rsidR="00470554" w:rsidRPr="00EF12E8">
        <w:rPr>
          <w:lang w:val="nl-NL"/>
        </w:rPr>
        <w:t>8/</w:t>
      </w:r>
      <w:r w:rsidR="005056A4" w:rsidRPr="00EF12E8">
        <w:rPr>
          <w:lang w:val="nl-NL"/>
        </w:rPr>
        <w:t>7</w:t>
      </w:r>
      <w:r w:rsidR="00470554" w:rsidRPr="00EF12E8">
        <w:rPr>
          <w:lang w:val="nl-NL"/>
        </w:rPr>
        <w:t>/</w:t>
      </w:r>
      <w:r w:rsidR="005056A4" w:rsidRPr="00EF12E8">
        <w:rPr>
          <w:lang w:val="nl-NL"/>
        </w:rPr>
        <w:t>2020 của Ủy ban Thường vụ Quốc hộ</w:t>
      </w:r>
      <w:r w:rsidR="00426B0E" w:rsidRPr="00EF12E8">
        <w:rPr>
          <w:lang w:val="nl-NL"/>
        </w:rPr>
        <w:t xml:space="preserve">i và </w:t>
      </w:r>
      <w:r w:rsidR="00470554" w:rsidRPr="00EF12E8">
        <w:rPr>
          <w:lang w:val="nl-NL"/>
        </w:rPr>
        <w:t>Quyết định số 26/2020/QĐ-TTg ngày 14/9/2020 của Thủ tướng Chính phủ</w:t>
      </w:r>
      <w:r w:rsidR="00AD5740" w:rsidRPr="00EF12E8">
        <w:rPr>
          <w:lang w:val="nl-NL"/>
        </w:rPr>
        <w:t>.</w:t>
      </w:r>
    </w:p>
    <w:p w:rsidR="00B35BE7" w:rsidRPr="00EF12E8" w:rsidRDefault="005056A4" w:rsidP="00EF12E8">
      <w:pPr>
        <w:widowControl w:val="0"/>
        <w:spacing w:before="120" w:line="276" w:lineRule="auto"/>
        <w:ind w:firstLine="720"/>
        <w:jc w:val="both"/>
        <w:rPr>
          <w:lang w:val="nl-NL"/>
        </w:rPr>
      </w:pPr>
      <w:r w:rsidRPr="00EF12E8">
        <w:rPr>
          <w:lang w:val="nl-NL"/>
        </w:rPr>
        <w:t xml:space="preserve">c) Việc xây dựng các nguyên tắc, tiêu chí, định mức phân bổ vốn phải nhằm thực hiện các mục tiêu, định hướng tại Nghị quyết </w:t>
      </w:r>
      <w:r w:rsidR="00B35BE7" w:rsidRPr="00EF12E8">
        <w:rPr>
          <w:lang w:val="nl-NL"/>
        </w:rPr>
        <w:t>Đại hội Đảng bộ tỉnh lần thứ XIX</w:t>
      </w:r>
      <w:r w:rsidRPr="00EF12E8">
        <w:rPr>
          <w:lang w:val="nl-NL"/>
        </w:rPr>
        <w:t>,</w:t>
      </w:r>
      <w:r w:rsidR="00B35BE7" w:rsidRPr="00EF12E8">
        <w:rPr>
          <w:lang w:val="nl-NL"/>
        </w:rPr>
        <w:t xml:space="preserve"> </w:t>
      </w:r>
      <w:r w:rsidR="00254A17" w:rsidRPr="00EF12E8">
        <w:rPr>
          <w:lang w:val="nl-NL"/>
        </w:rPr>
        <w:t xml:space="preserve">kế hoạch phát triển kinh tế - xã hội 5 năm giai đoạn 2021 - 2025 của địa phương và các quy hoạch theo quy định của Luật Quy hoạch được cấp có thẩm quyền phê duyệt. </w:t>
      </w:r>
    </w:p>
    <w:p w:rsidR="00E53612" w:rsidRPr="00EF12E8" w:rsidRDefault="00365C39" w:rsidP="00EF12E8">
      <w:pPr>
        <w:widowControl w:val="0"/>
        <w:spacing w:before="120" w:line="276" w:lineRule="auto"/>
        <w:ind w:firstLine="720"/>
        <w:jc w:val="both"/>
        <w:rPr>
          <w:lang w:val="nl-NL"/>
        </w:rPr>
      </w:pPr>
      <w:r w:rsidRPr="00EF12E8">
        <w:rPr>
          <w:lang w:val="nl-NL"/>
        </w:rPr>
        <w:t>d</w:t>
      </w:r>
      <w:r w:rsidR="00E53612" w:rsidRPr="00EF12E8">
        <w:rPr>
          <w:lang w:val="nl-NL"/>
        </w:rPr>
        <w:t xml:space="preserve">) </w:t>
      </w:r>
      <w:r w:rsidR="00120696" w:rsidRPr="00EF12E8">
        <w:rPr>
          <w:lang w:val="nl-NL"/>
        </w:rPr>
        <w:t xml:space="preserve">Bảo đảm quản lý tập trung, thống nhất về mục tiêu, cơ chế, chính sách; thực hiện phân cấp quản lý nguồn vốn gắn với phân cấp quản lý đầu tư theo quy định của pháp luật, tạo quyền chủ động cho các cấp chính quyền địa phương và gắn trách nhiệm toàn diện theo phân cấp. </w:t>
      </w:r>
    </w:p>
    <w:p w:rsidR="00E53612" w:rsidRPr="00EF12E8" w:rsidRDefault="00365C39" w:rsidP="00EF12E8">
      <w:pPr>
        <w:widowControl w:val="0"/>
        <w:spacing w:before="120" w:line="276" w:lineRule="auto"/>
        <w:ind w:firstLine="720"/>
        <w:jc w:val="both"/>
        <w:rPr>
          <w:lang w:val="nl-NL"/>
        </w:rPr>
      </w:pPr>
      <w:r w:rsidRPr="00EF12E8">
        <w:rPr>
          <w:lang w:val="nl-NL"/>
        </w:rPr>
        <w:t>e</w:t>
      </w:r>
      <w:r w:rsidR="00E53612" w:rsidRPr="00EF12E8">
        <w:rPr>
          <w:lang w:val="nl-NL"/>
        </w:rPr>
        <w:t>) Kế thừa các ưu điểm, kết quả đạt được</w:t>
      </w:r>
      <w:r w:rsidR="00C80E1A" w:rsidRPr="00EF12E8">
        <w:rPr>
          <w:lang w:val="nl-NL"/>
        </w:rPr>
        <w:t>; chú trọng</w:t>
      </w:r>
      <w:r w:rsidR="00E53612" w:rsidRPr="00EF12E8">
        <w:rPr>
          <w:lang w:val="nl-NL"/>
        </w:rPr>
        <w:t xml:space="preserve"> khắc phục </w:t>
      </w:r>
      <w:r w:rsidR="00C80E1A" w:rsidRPr="00EF12E8">
        <w:rPr>
          <w:lang w:val="nl-NL"/>
        </w:rPr>
        <w:t>những</w:t>
      </w:r>
      <w:r w:rsidR="00E53612" w:rsidRPr="00EF12E8">
        <w:rPr>
          <w:lang w:val="nl-NL"/>
        </w:rPr>
        <w:t xml:space="preserve"> hạn chế trong quá trình thực hiện Nghị quyết số 1023/NQ-UBTVQH13 của Ủy ban thường vụ Quốc hộ</w:t>
      </w:r>
      <w:r w:rsidR="003C063F" w:rsidRPr="00EF12E8">
        <w:rPr>
          <w:lang w:val="nl-NL"/>
        </w:rPr>
        <w:t xml:space="preserve">i, </w:t>
      </w:r>
      <w:r w:rsidR="00E53612" w:rsidRPr="00EF12E8">
        <w:rPr>
          <w:lang w:val="nl-NL"/>
        </w:rPr>
        <w:t>Quyết định số 40/2015/QĐ-TTg của Thủ tướng Chính phủ</w:t>
      </w:r>
      <w:r w:rsidR="003C063F" w:rsidRPr="00EF12E8">
        <w:rPr>
          <w:lang w:val="nl-NL"/>
        </w:rPr>
        <w:t xml:space="preserve"> và </w:t>
      </w:r>
      <w:r w:rsidR="00901AD9" w:rsidRPr="00EF12E8">
        <w:rPr>
          <w:lang w:val="nl-NL"/>
        </w:rPr>
        <w:t>Nghị quyết số 14/2016/NQ-HĐND ngày 24/9/2016 của Hội đồng nhân dân tỉnh</w:t>
      </w:r>
      <w:r w:rsidR="00E53612" w:rsidRPr="00EF12E8">
        <w:rPr>
          <w:lang w:val="nl-NL"/>
        </w:rPr>
        <w:t xml:space="preserve"> để xây dựng</w:t>
      </w:r>
      <w:r w:rsidR="00C80E1A" w:rsidRPr="00EF12E8">
        <w:rPr>
          <w:lang w:val="nl-NL"/>
        </w:rPr>
        <w:t>, hoàn thiện</w:t>
      </w:r>
      <w:r w:rsidR="00E53612" w:rsidRPr="00EF12E8">
        <w:rPr>
          <w:lang w:val="nl-NL"/>
        </w:rPr>
        <w:t xml:space="preserve"> các nguyên tắc, tiêu chí, định mức phân bổ vốn đầu tư nguồn </w:t>
      </w:r>
      <w:r w:rsidR="00901AD9" w:rsidRPr="00EF12E8">
        <w:rPr>
          <w:lang w:val="nl-NL"/>
        </w:rPr>
        <w:t xml:space="preserve">ngân sách địa phương </w:t>
      </w:r>
      <w:r w:rsidR="00E53612" w:rsidRPr="00EF12E8">
        <w:rPr>
          <w:lang w:val="nl-NL"/>
        </w:rPr>
        <w:t>cho giai đoạn 2021</w:t>
      </w:r>
      <w:r w:rsidR="000400DE" w:rsidRPr="00EF12E8">
        <w:rPr>
          <w:lang w:val="nl-NL"/>
        </w:rPr>
        <w:t xml:space="preserve"> </w:t>
      </w:r>
      <w:r w:rsidR="00E53612" w:rsidRPr="00EF12E8">
        <w:rPr>
          <w:lang w:val="nl-NL"/>
        </w:rPr>
        <w:t>-</w:t>
      </w:r>
      <w:r w:rsidR="000400DE" w:rsidRPr="00EF12E8">
        <w:rPr>
          <w:lang w:val="nl-NL"/>
        </w:rPr>
        <w:t xml:space="preserve"> </w:t>
      </w:r>
      <w:r w:rsidR="00E53612" w:rsidRPr="00EF12E8">
        <w:rPr>
          <w:lang w:val="nl-NL"/>
        </w:rPr>
        <w:t xml:space="preserve">2025. </w:t>
      </w:r>
    </w:p>
    <w:p w:rsidR="005056A4" w:rsidRPr="00EF12E8" w:rsidRDefault="000400DE" w:rsidP="00EF12E8">
      <w:pPr>
        <w:tabs>
          <w:tab w:val="left" w:pos="0"/>
        </w:tabs>
        <w:spacing w:before="120" w:line="276" w:lineRule="auto"/>
        <w:ind w:firstLine="720"/>
        <w:jc w:val="both"/>
        <w:rPr>
          <w:b/>
          <w:sz w:val="26"/>
          <w:lang w:val="nl-NL"/>
        </w:rPr>
      </w:pPr>
      <w:r w:rsidRPr="00EF12E8">
        <w:rPr>
          <w:b/>
          <w:sz w:val="26"/>
          <w:lang w:val="nl-NL"/>
        </w:rPr>
        <w:lastRenderedPageBreak/>
        <w:t>III</w:t>
      </w:r>
      <w:r w:rsidR="005056A4" w:rsidRPr="00EF12E8">
        <w:rPr>
          <w:b/>
          <w:sz w:val="26"/>
          <w:lang w:val="nl-NL"/>
        </w:rPr>
        <w:t>. PHẠM VI ĐIỀU CHỈNH, ĐỐI TƯỢNG ÁP DỤNG</w:t>
      </w:r>
      <w:r w:rsidR="00867EF4" w:rsidRPr="00EF12E8">
        <w:rPr>
          <w:b/>
          <w:sz w:val="26"/>
          <w:lang w:val="nl-NL"/>
        </w:rPr>
        <w:t xml:space="preserve"> </w:t>
      </w:r>
      <w:r w:rsidR="005056A4" w:rsidRPr="00EF12E8">
        <w:rPr>
          <w:b/>
          <w:sz w:val="26"/>
          <w:lang w:val="nl-NL"/>
        </w:rPr>
        <w:t>CỦA</w:t>
      </w:r>
      <w:r w:rsidR="00CC411B" w:rsidRPr="00EF12E8">
        <w:rPr>
          <w:b/>
          <w:sz w:val="26"/>
          <w:lang w:val="nl-NL"/>
        </w:rPr>
        <w:t xml:space="preserve"> DỰ THẢO</w:t>
      </w:r>
      <w:r w:rsidR="005056A4" w:rsidRPr="00EF12E8">
        <w:rPr>
          <w:b/>
          <w:sz w:val="26"/>
          <w:lang w:val="nl-NL"/>
        </w:rPr>
        <w:t xml:space="preserve"> </w:t>
      </w:r>
      <w:r w:rsidR="00720FBB" w:rsidRPr="00EF12E8">
        <w:rPr>
          <w:b/>
          <w:sz w:val="26"/>
          <w:lang w:val="nl-NL"/>
        </w:rPr>
        <w:t>NGHỊ QUYẾT</w:t>
      </w:r>
    </w:p>
    <w:p w:rsidR="005056A4" w:rsidRPr="00EF12E8" w:rsidRDefault="005056A4" w:rsidP="00EF12E8">
      <w:pPr>
        <w:widowControl w:val="0"/>
        <w:spacing w:before="120" w:line="276" w:lineRule="auto"/>
        <w:ind w:firstLine="720"/>
        <w:jc w:val="both"/>
        <w:rPr>
          <w:b/>
          <w:lang w:val="nl-NL"/>
        </w:rPr>
      </w:pPr>
      <w:r w:rsidRPr="00EF12E8">
        <w:rPr>
          <w:b/>
          <w:lang w:val="nl-NL"/>
        </w:rPr>
        <w:t>1. Phạm vi điều chỉnh</w:t>
      </w:r>
      <w:r w:rsidR="000400DE" w:rsidRPr="00EF12E8">
        <w:rPr>
          <w:b/>
          <w:lang w:val="nl-NL"/>
        </w:rPr>
        <w:t>:</w:t>
      </w:r>
    </w:p>
    <w:p w:rsidR="0039332C" w:rsidRPr="00EF12E8" w:rsidRDefault="00F16C22" w:rsidP="00EF12E8">
      <w:pPr>
        <w:widowControl w:val="0"/>
        <w:spacing w:before="120" w:line="276" w:lineRule="auto"/>
        <w:ind w:firstLine="720"/>
        <w:jc w:val="both"/>
        <w:rPr>
          <w:lang w:val="nl-NL"/>
        </w:rPr>
      </w:pPr>
      <w:r w:rsidRPr="00EF12E8">
        <w:rPr>
          <w:lang w:val="nl-NL"/>
        </w:rPr>
        <w:t xml:space="preserve">- </w:t>
      </w:r>
      <w:r w:rsidR="0039332C" w:rsidRPr="00EF12E8">
        <w:rPr>
          <w:lang w:val="nl-NL"/>
        </w:rPr>
        <w:t>Nghị quyế</w:t>
      </w:r>
      <w:r w:rsidRPr="00EF12E8">
        <w:rPr>
          <w:lang w:val="nl-NL"/>
        </w:rPr>
        <w:t xml:space="preserve">t </w:t>
      </w:r>
      <w:r w:rsidR="0039332C" w:rsidRPr="00EF12E8">
        <w:rPr>
          <w:lang w:val="nl-NL"/>
        </w:rPr>
        <w:t>quy định về các nguyên tắc, tiêu chí và định mức phân bổ vốn đầu tư công nguồn ngân sách địa phương giai đoạn 2021</w:t>
      </w:r>
      <w:r w:rsidR="000400DE" w:rsidRPr="00EF12E8">
        <w:rPr>
          <w:lang w:val="nl-NL"/>
        </w:rPr>
        <w:t xml:space="preserve"> </w:t>
      </w:r>
      <w:r w:rsidR="0039332C" w:rsidRPr="00EF12E8">
        <w:rPr>
          <w:lang w:val="nl-NL"/>
        </w:rPr>
        <w:t>-</w:t>
      </w:r>
      <w:r w:rsidR="000400DE" w:rsidRPr="00EF12E8">
        <w:rPr>
          <w:lang w:val="nl-NL"/>
        </w:rPr>
        <w:t xml:space="preserve"> </w:t>
      </w:r>
      <w:r w:rsidR="0039332C" w:rsidRPr="00EF12E8">
        <w:rPr>
          <w:lang w:val="nl-NL"/>
        </w:rPr>
        <w:t>2025 tỉnh Hà Tĩnh.</w:t>
      </w:r>
    </w:p>
    <w:p w:rsidR="000400DE" w:rsidRPr="00EF12E8" w:rsidRDefault="00F16C22" w:rsidP="00EF12E8">
      <w:pPr>
        <w:widowControl w:val="0"/>
        <w:spacing w:before="120" w:line="276" w:lineRule="auto"/>
        <w:ind w:firstLine="720"/>
        <w:jc w:val="both"/>
        <w:rPr>
          <w:lang w:val="nl-NL"/>
        </w:rPr>
      </w:pPr>
      <w:r w:rsidRPr="00EF12E8">
        <w:rPr>
          <w:lang w:val="nl-NL"/>
        </w:rPr>
        <w:t xml:space="preserve">- </w:t>
      </w:r>
      <w:r w:rsidR="0039332C" w:rsidRPr="00EF12E8">
        <w:rPr>
          <w:lang w:val="nl-NL"/>
        </w:rPr>
        <w:t>Nội dung quy định tại Nghị quyết là căn cứ để tổ chức lập, thẩm định, giao, quản lý, giám sát, thanh tra, kiểm tra kế hoạch đầu tư công trung hạn và hằng năm vốn ngân sách địa phương giai đoạn 2021</w:t>
      </w:r>
      <w:r w:rsidR="000400DE" w:rsidRPr="00EF12E8">
        <w:rPr>
          <w:lang w:val="nl-NL"/>
        </w:rPr>
        <w:t xml:space="preserve"> </w:t>
      </w:r>
      <w:r w:rsidR="0039332C" w:rsidRPr="00EF12E8">
        <w:rPr>
          <w:lang w:val="nl-NL"/>
        </w:rPr>
        <w:t>-</w:t>
      </w:r>
      <w:r w:rsidR="000400DE" w:rsidRPr="00EF12E8">
        <w:rPr>
          <w:lang w:val="nl-NL"/>
        </w:rPr>
        <w:t xml:space="preserve"> </w:t>
      </w:r>
      <w:r w:rsidR="0039332C" w:rsidRPr="00EF12E8">
        <w:rPr>
          <w:lang w:val="nl-NL"/>
        </w:rPr>
        <w:t>2025 tỉnh Hà Tĩnh.</w:t>
      </w:r>
    </w:p>
    <w:p w:rsidR="00A41C5A" w:rsidRPr="00EF12E8" w:rsidRDefault="003501F1" w:rsidP="00EF12E8">
      <w:pPr>
        <w:widowControl w:val="0"/>
        <w:spacing w:before="120" w:line="276" w:lineRule="auto"/>
        <w:ind w:firstLine="720"/>
        <w:jc w:val="both"/>
        <w:rPr>
          <w:lang w:val="nl-NL"/>
        </w:rPr>
      </w:pPr>
      <w:r w:rsidRPr="00EF12E8">
        <w:rPr>
          <w:b/>
          <w:lang w:val="nl-NL"/>
        </w:rPr>
        <w:t>2. Đối tượng áp dụng</w:t>
      </w:r>
      <w:r w:rsidR="000400DE" w:rsidRPr="00EF12E8">
        <w:rPr>
          <w:b/>
          <w:lang w:val="nl-NL"/>
        </w:rPr>
        <w:t>:</w:t>
      </w:r>
    </w:p>
    <w:p w:rsidR="00120696" w:rsidRPr="00EF12E8" w:rsidRDefault="00FE5888" w:rsidP="00EF12E8">
      <w:pPr>
        <w:pStyle w:val="BodyText2"/>
        <w:spacing w:before="120" w:after="0" w:line="276" w:lineRule="auto"/>
        <w:ind w:firstLine="720"/>
        <w:jc w:val="both"/>
        <w:rPr>
          <w:sz w:val="28"/>
          <w:szCs w:val="28"/>
          <w:lang w:val="en-US"/>
        </w:rPr>
      </w:pPr>
      <w:r w:rsidRPr="00EF12E8">
        <w:rPr>
          <w:sz w:val="28"/>
          <w:szCs w:val="28"/>
          <w:lang w:val="en-US"/>
        </w:rPr>
        <w:t xml:space="preserve">Dự thảo </w:t>
      </w:r>
      <w:r w:rsidR="002D7634" w:rsidRPr="00EF12E8">
        <w:rPr>
          <w:sz w:val="28"/>
          <w:szCs w:val="28"/>
          <w:lang w:val="en-US"/>
        </w:rPr>
        <w:t>Nghị quyết áp dụng với:</w:t>
      </w:r>
    </w:p>
    <w:p w:rsidR="002D7634" w:rsidRPr="00EF12E8" w:rsidRDefault="002D7634" w:rsidP="00EF12E8">
      <w:pPr>
        <w:widowControl w:val="0"/>
        <w:spacing w:before="120" w:line="276" w:lineRule="auto"/>
        <w:ind w:firstLine="720"/>
        <w:jc w:val="both"/>
        <w:rPr>
          <w:lang w:val="nl-NL"/>
        </w:rPr>
      </w:pPr>
      <w:r w:rsidRPr="00EF12E8">
        <w:rPr>
          <w:lang w:val="nl-NL"/>
        </w:rPr>
        <w:t xml:space="preserve">- Các sở, </w:t>
      </w:r>
      <w:r w:rsidR="003013EA" w:rsidRPr="00EF12E8">
        <w:rPr>
          <w:lang w:val="nl-NL"/>
        </w:rPr>
        <w:t>ban, ngành</w:t>
      </w:r>
      <w:r w:rsidRPr="00EF12E8">
        <w:rPr>
          <w:lang w:val="nl-NL"/>
        </w:rPr>
        <w:t xml:space="preserve"> cấp tỉnh, Ủy ban nhân dân các huyện, thành phố, thị xã và các đơn vị sử dụng vốn đầu tư công nguồn ngân sách địa phương trên địa bàn tỉnh.</w:t>
      </w:r>
    </w:p>
    <w:p w:rsidR="002D7634" w:rsidRPr="00EF12E8" w:rsidRDefault="002D7634" w:rsidP="00EF12E8">
      <w:pPr>
        <w:widowControl w:val="0"/>
        <w:spacing w:before="120" w:line="276" w:lineRule="auto"/>
        <w:ind w:firstLine="720"/>
        <w:jc w:val="both"/>
        <w:rPr>
          <w:lang w:val="nl-NL"/>
        </w:rPr>
      </w:pPr>
      <w:r w:rsidRPr="00EF12E8">
        <w:rPr>
          <w:lang w:val="nl-NL"/>
        </w:rPr>
        <w:t>- Cơ quan, tổ chức, cá nhân tham gia hoặc có liên quan đến lập, thẩm định, giao kế hoạch đầu tư công trung hạn và hằng năm vốn ngân sách địa phương giai đoạn 2021</w:t>
      </w:r>
      <w:r w:rsidR="000400DE" w:rsidRPr="00EF12E8">
        <w:rPr>
          <w:lang w:val="nl-NL"/>
        </w:rPr>
        <w:t xml:space="preserve"> </w:t>
      </w:r>
      <w:r w:rsidRPr="00EF12E8">
        <w:rPr>
          <w:lang w:val="nl-NL"/>
        </w:rPr>
        <w:t>-</w:t>
      </w:r>
      <w:r w:rsidR="000400DE" w:rsidRPr="00EF12E8">
        <w:rPr>
          <w:lang w:val="nl-NL"/>
        </w:rPr>
        <w:t xml:space="preserve"> </w:t>
      </w:r>
      <w:r w:rsidRPr="00EF12E8">
        <w:rPr>
          <w:lang w:val="nl-NL"/>
        </w:rPr>
        <w:t>2025</w:t>
      </w:r>
      <w:r w:rsidR="007949CF" w:rsidRPr="00EF12E8">
        <w:rPr>
          <w:lang w:val="nl-NL"/>
        </w:rPr>
        <w:t>.</w:t>
      </w:r>
    </w:p>
    <w:p w:rsidR="000400DE" w:rsidRPr="00EF12E8" w:rsidRDefault="00E7117B" w:rsidP="00EF12E8">
      <w:pPr>
        <w:widowControl w:val="0"/>
        <w:spacing w:before="120" w:line="276" w:lineRule="auto"/>
        <w:ind w:firstLine="720"/>
        <w:jc w:val="both"/>
        <w:rPr>
          <w:b/>
          <w:lang w:val="nl-NL"/>
        </w:rPr>
      </w:pPr>
      <w:r w:rsidRPr="00EF12E8">
        <w:rPr>
          <w:b/>
          <w:lang w:val="nl-NL"/>
        </w:rPr>
        <w:t xml:space="preserve">3. Bố cục </w:t>
      </w:r>
      <w:r w:rsidR="008A7D5B" w:rsidRPr="00EF12E8">
        <w:rPr>
          <w:b/>
          <w:lang w:val="nl-NL"/>
        </w:rPr>
        <w:t>của dự thảo Nghị quyết</w:t>
      </w:r>
    </w:p>
    <w:p w:rsidR="008A7D5B" w:rsidRPr="00EF12E8" w:rsidRDefault="008A7D5B" w:rsidP="00EF12E8">
      <w:pPr>
        <w:widowControl w:val="0"/>
        <w:spacing w:before="120" w:line="276" w:lineRule="auto"/>
        <w:ind w:firstLine="720"/>
        <w:jc w:val="both"/>
        <w:rPr>
          <w:b/>
          <w:lang w:val="nl-NL"/>
        </w:rPr>
      </w:pPr>
      <w:r w:rsidRPr="00EF12E8">
        <w:rPr>
          <w:lang w:val="nl-NL"/>
        </w:rPr>
        <w:t xml:space="preserve">Ngoài phần căn cứ ban hành văn bản, Dự thảo Nghị quyết gồm 03 Chương và </w:t>
      </w:r>
      <w:r w:rsidR="00933932" w:rsidRPr="00EF12E8">
        <w:rPr>
          <w:lang w:val="nl-NL"/>
        </w:rPr>
        <w:t>1</w:t>
      </w:r>
      <w:r w:rsidR="0034589E">
        <w:rPr>
          <w:lang w:val="nl-NL"/>
        </w:rPr>
        <w:t>1</w:t>
      </w:r>
      <w:r w:rsidRPr="00EF12E8">
        <w:rPr>
          <w:lang w:val="nl-NL"/>
        </w:rPr>
        <w:t xml:space="preserve"> Điều, cụ thể:</w:t>
      </w:r>
    </w:p>
    <w:p w:rsidR="008A7D5B" w:rsidRPr="00EF12E8" w:rsidRDefault="008A7D5B" w:rsidP="00EF12E8">
      <w:pPr>
        <w:widowControl w:val="0"/>
        <w:spacing w:before="120" w:line="276" w:lineRule="auto"/>
        <w:ind w:firstLine="720"/>
        <w:jc w:val="both"/>
        <w:rPr>
          <w:b/>
          <w:lang w:val="nl-NL"/>
        </w:rPr>
      </w:pPr>
      <w:r w:rsidRPr="00EF12E8">
        <w:rPr>
          <w:b/>
          <w:lang w:val="nl-NL"/>
        </w:rPr>
        <w:t>- Chương I. Quy định chung (02 Điều)</w:t>
      </w:r>
    </w:p>
    <w:p w:rsidR="008A7D5B" w:rsidRPr="00EF12E8" w:rsidRDefault="008A7D5B" w:rsidP="00EF12E8">
      <w:pPr>
        <w:widowControl w:val="0"/>
        <w:spacing w:before="120" w:line="276" w:lineRule="auto"/>
        <w:ind w:firstLine="720"/>
        <w:jc w:val="both"/>
        <w:rPr>
          <w:b/>
          <w:lang w:val="nl-NL"/>
        </w:rPr>
      </w:pPr>
      <w:r w:rsidRPr="00EF12E8">
        <w:rPr>
          <w:b/>
          <w:lang w:val="nl-NL"/>
        </w:rPr>
        <w:t>- Chương II: Nguyên tắc, tiêu chí</w:t>
      </w:r>
      <w:r w:rsidR="00CD35FB" w:rsidRPr="00EF12E8">
        <w:rPr>
          <w:b/>
          <w:lang w:val="nl-NL"/>
        </w:rPr>
        <w:t xml:space="preserve"> và</w:t>
      </w:r>
      <w:r w:rsidRPr="00EF12E8">
        <w:rPr>
          <w:b/>
          <w:lang w:val="nl-NL"/>
        </w:rPr>
        <w:t xml:space="preserve"> định mức phân bổ vốn đầu tư công nguồn </w:t>
      </w:r>
      <w:r w:rsidR="00CD35FB" w:rsidRPr="00EF12E8">
        <w:rPr>
          <w:b/>
          <w:lang w:val="nl-NL"/>
        </w:rPr>
        <w:t xml:space="preserve">ngân sách địa phương </w:t>
      </w:r>
      <w:r w:rsidRPr="00EF12E8">
        <w:rPr>
          <w:b/>
          <w:lang w:val="nl-NL"/>
        </w:rPr>
        <w:t>(</w:t>
      </w:r>
      <w:r w:rsidR="00510DE8" w:rsidRPr="00EF12E8">
        <w:rPr>
          <w:b/>
          <w:lang w:val="nl-NL"/>
        </w:rPr>
        <w:t>0</w:t>
      </w:r>
      <w:r w:rsidR="00154DED">
        <w:rPr>
          <w:b/>
          <w:lang w:val="nl-NL"/>
        </w:rPr>
        <w:t>8</w:t>
      </w:r>
      <w:r w:rsidRPr="00EF12E8">
        <w:rPr>
          <w:b/>
          <w:lang w:val="nl-NL"/>
        </w:rPr>
        <w:t xml:space="preserve"> Điều)</w:t>
      </w:r>
    </w:p>
    <w:p w:rsidR="00421894" w:rsidRPr="00EF12E8" w:rsidRDefault="008A7D5B" w:rsidP="00EF12E8">
      <w:pPr>
        <w:widowControl w:val="0"/>
        <w:spacing w:before="120" w:line="276" w:lineRule="auto"/>
        <w:ind w:firstLine="720"/>
        <w:jc w:val="both"/>
        <w:rPr>
          <w:lang w:val="nl-NL"/>
        </w:rPr>
      </w:pPr>
      <w:r w:rsidRPr="00EF12E8">
        <w:rPr>
          <w:lang w:val="nl-NL"/>
        </w:rPr>
        <w:t xml:space="preserve">+ Điều 3: </w:t>
      </w:r>
      <w:r w:rsidR="00421894" w:rsidRPr="00EF12E8">
        <w:rPr>
          <w:lang w:val="nl-NL"/>
        </w:rPr>
        <w:t>Ngành, lĩnh vực sử dụng vốn đầu tư công nguồn ngân sách địa phương.</w:t>
      </w:r>
    </w:p>
    <w:p w:rsidR="008A7D5B" w:rsidRPr="00EF12E8" w:rsidRDefault="008A7D5B" w:rsidP="00EF12E8">
      <w:pPr>
        <w:widowControl w:val="0"/>
        <w:spacing w:before="120" w:line="276" w:lineRule="auto"/>
        <w:ind w:firstLine="720"/>
        <w:jc w:val="both"/>
        <w:rPr>
          <w:lang w:val="nl-NL"/>
        </w:rPr>
      </w:pPr>
      <w:r w:rsidRPr="00EF12E8">
        <w:rPr>
          <w:lang w:val="nl-NL"/>
        </w:rPr>
        <w:t xml:space="preserve">+ Điều 4: </w:t>
      </w:r>
      <w:r w:rsidR="00421894" w:rsidRPr="00EF12E8">
        <w:rPr>
          <w:lang w:val="nl-NL"/>
        </w:rPr>
        <w:t>Nguyên tắc chung và thứ tự ưu tiên phân bổ vốn đầu tư công nguồn ngân sách địa phương giai đoạn 2021-2025</w:t>
      </w:r>
      <w:r w:rsidRPr="00EF12E8">
        <w:rPr>
          <w:lang w:val="nl-NL"/>
        </w:rPr>
        <w:t>.</w:t>
      </w:r>
    </w:p>
    <w:p w:rsidR="008A7D5B" w:rsidRPr="00EF12E8" w:rsidRDefault="008A7D5B" w:rsidP="00EF12E8">
      <w:pPr>
        <w:widowControl w:val="0"/>
        <w:spacing w:before="120" w:line="276" w:lineRule="auto"/>
        <w:ind w:firstLine="720"/>
        <w:jc w:val="both"/>
        <w:rPr>
          <w:lang w:val="nl-NL"/>
        </w:rPr>
      </w:pPr>
      <w:r w:rsidRPr="00EF12E8">
        <w:rPr>
          <w:lang w:val="nl-NL"/>
        </w:rPr>
        <w:t xml:space="preserve">+ Điều 5: </w:t>
      </w:r>
      <w:r w:rsidR="00421894" w:rsidRPr="00EF12E8">
        <w:rPr>
          <w:lang w:val="nl-NL"/>
        </w:rPr>
        <w:t>Nguyên tắc, tiêu chí và định mức phân bổ vốn đầu tư công nguồn cân đối ngân sách địa phương (không bao gồm số thu sử dụng đất, xổ số kiến thiết)</w:t>
      </w:r>
      <w:r w:rsidRPr="00EF12E8">
        <w:rPr>
          <w:lang w:val="nl-NL"/>
        </w:rPr>
        <w:t>.</w:t>
      </w:r>
    </w:p>
    <w:p w:rsidR="008A7D5B" w:rsidRPr="00EF12E8" w:rsidRDefault="008A7D5B" w:rsidP="00EF12E8">
      <w:pPr>
        <w:widowControl w:val="0"/>
        <w:spacing w:before="120" w:line="276" w:lineRule="auto"/>
        <w:ind w:firstLine="720"/>
        <w:jc w:val="both"/>
        <w:rPr>
          <w:lang w:val="nl-NL"/>
        </w:rPr>
      </w:pPr>
      <w:r w:rsidRPr="00EF12E8">
        <w:rPr>
          <w:lang w:val="nl-NL"/>
        </w:rPr>
        <w:t xml:space="preserve">+ Điều 6: </w:t>
      </w:r>
      <w:r w:rsidR="00421894" w:rsidRPr="00EF12E8">
        <w:rPr>
          <w:lang w:val="nl-NL"/>
        </w:rPr>
        <w:t>Nguyên tắc, tiêu chí và định mức phân bổ vốn đầu tư công nguồn cân đối ngân sách địa phương bổ sung có mục tiêu cho ngân sách cấp huyện</w:t>
      </w:r>
      <w:r w:rsidRPr="00EF12E8">
        <w:rPr>
          <w:lang w:val="nl-NL"/>
        </w:rPr>
        <w:t>.</w:t>
      </w:r>
    </w:p>
    <w:p w:rsidR="008A7D5B" w:rsidRPr="00EF12E8" w:rsidRDefault="008A7D5B" w:rsidP="00EF12E8">
      <w:pPr>
        <w:widowControl w:val="0"/>
        <w:spacing w:before="120" w:line="276" w:lineRule="auto"/>
        <w:ind w:firstLine="720"/>
        <w:jc w:val="both"/>
        <w:rPr>
          <w:lang w:val="nl-NL"/>
        </w:rPr>
      </w:pPr>
      <w:r w:rsidRPr="00EF12E8">
        <w:rPr>
          <w:lang w:val="nl-NL"/>
        </w:rPr>
        <w:t xml:space="preserve">+ Điều 7: </w:t>
      </w:r>
      <w:r w:rsidR="00421894" w:rsidRPr="00EF12E8">
        <w:rPr>
          <w:lang w:val="nl-NL"/>
        </w:rPr>
        <w:t>Nguyên tắc, tiêu chí phân bổ vốn đầu tư công nguồn cân đối ngân sách địa phương cho các ngành, đơn vị cấp tỉnh</w:t>
      </w:r>
      <w:r w:rsidRPr="00EF12E8">
        <w:rPr>
          <w:lang w:val="nl-NL"/>
        </w:rPr>
        <w:t>.</w:t>
      </w:r>
    </w:p>
    <w:p w:rsidR="008A7D5B" w:rsidRPr="00EF12E8" w:rsidRDefault="008A7D5B" w:rsidP="00EF12E8">
      <w:pPr>
        <w:widowControl w:val="0"/>
        <w:spacing w:before="120" w:line="276" w:lineRule="auto"/>
        <w:ind w:firstLine="720"/>
        <w:jc w:val="both"/>
        <w:rPr>
          <w:lang w:val="nl-NL"/>
        </w:rPr>
      </w:pPr>
      <w:r w:rsidRPr="00EF12E8">
        <w:rPr>
          <w:lang w:val="nl-NL"/>
        </w:rPr>
        <w:lastRenderedPageBreak/>
        <w:t xml:space="preserve">+ Điều 8: </w:t>
      </w:r>
      <w:r w:rsidR="00421894" w:rsidRPr="00EF12E8">
        <w:rPr>
          <w:lang w:val="nl-NL"/>
        </w:rPr>
        <w:t>Nguyên tắc phân bổ vốn đầu tư công nguồn thu cấp quyền sử dụng đất</w:t>
      </w:r>
      <w:r w:rsidRPr="00EF12E8">
        <w:rPr>
          <w:lang w:val="nl-NL"/>
        </w:rPr>
        <w:t>.</w:t>
      </w:r>
    </w:p>
    <w:p w:rsidR="00421894" w:rsidRPr="00EF12E8" w:rsidRDefault="008A7D5B" w:rsidP="00EF12E8">
      <w:pPr>
        <w:widowControl w:val="0"/>
        <w:spacing w:before="120" w:line="276" w:lineRule="auto"/>
        <w:ind w:firstLine="720"/>
        <w:jc w:val="both"/>
        <w:rPr>
          <w:lang w:val="nl-NL"/>
        </w:rPr>
      </w:pPr>
      <w:r w:rsidRPr="00EF12E8">
        <w:rPr>
          <w:lang w:val="nl-NL"/>
        </w:rPr>
        <w:t xml:space="preserve">+ Điều 9: </w:t>
      </w:r>
      <w:r w:rsidR="00421894" w:rsidRPr="00EF12E8">
        <w:rPr>
          <w:lang w:val="nl-NL"/>
        </w:rPr>
        <w:t>Nguyên tắc phân bổ vốn đầu tư công nguồn thu xổ số kiến thiết</w:t>
      </w:r>
      <w:r w:rsidR="00530783" w:rsidRPr="00EF12E8">
        <w:rPr>
          <w:lang w:val="nl-NL"/>
        </w:rPr>
        <w:t>.</w:t>
      </w:r>
    </w:p>
    <w:p w:rsidR="008A7D5B" w:rsidRPr="00EF12E8" w:rsidRDefault="00421894" w:rsidP="00EF12E8">
      <w:pPr>
        <w:widowControl w:val="0"/>
        <w:spacing w:before="120" w:line="276" w:lineRule="auto"/>
        <w:ind w:firstLine="720"/>
        <w:jc w:val="both"/>
        <w:rPr>
          <w:lang w:val="nl-NL"/>
        </w:rPr>
      </w:pPr>
      <w:r w:rsidRPr="00EF12E8">
        <w:rPr>
          <w:lang w:val="nl-NL"/>
        </w:rPr>
        <w:t>+ Điều 1</w:t>
      </w:r>
      <w:r w:rsidR="005005C7">
        <w:rPr>
          <w:lang w:val="nl-NL"/>
        </w:rPr>
        <w:t>0</w:t>
      </w:r>
      <w:r w:rsidRPr="00EF12E8">
        <w:rPr>
          <w:lang w:val="nl-NL"/>
        </w:rPr>
        <w:t>: Nguyên tắc phân vốn ngân sách tỉnh (từ các nguồn tăng thu, tiết kiệ</w:t>
      </w:r>
      <w:r w:rsidR="005D6B94" w:rsidRPr="00EF12E8">
        <w:rPr>
          <w:lang w:val="nl-NL"/>
        </w:rPr>
        <w:t xml:space="preserve">m chi </w:t>
      </w:r>
      <w:r w:rsidRPr="00EF12E8">
        <w:rPr>
          <w:lang w:val="nl-NL"/>
        </w:rPr>
        <w:t>và các nguồn vốn khác từ ngân sách tỉnh)</w:t>
      </w:r>
      <w:r w:rsidR="008A7D5B" w:rsidRPr="00EF12E8">
        <w:rPr>
          <w:lang w:val="nl-NL"/>
        </w:rPr>
        <w:t>.</w:t>
      </w:r>
    </w:p>
    <w:p w:rsidR="008A7D5B" w:rsidRPr="00EF12E8" w:rsidRDefault="008A7D5B" w:rsidP="00EF12E8">
      <w:pPr>
        <w:widowControl w:val="0"/>
        <w:spacing w:before="120" w:line="276" w:lineRule="auto"/>
        <w:ind w:firstLine="720"/>
        <w:jc w:val="both"/>
        <w:rPr>
          <w:b/>
          <w:lang w:val="nl-NL"/>
        </w:rPr>
      </w:pPr>
      <w:r w:rsidRPr="00EF12E8">
        <w:rPr>
          <w:b/>
          <w:lang w:val="nl-NL"/>
        </w:rPr>
        <w:t>- Chương III. Điều khoản thi hành (</w:t>
      </w:r>
      <w:r w:rsidR="00510DE8" w:rsidRPr="00EF12E8">
        <w:rPr>
          <w:b/>
          <w:lang w:val="nl-NL"/>
        </w:rPr>
        <w:t>0</w:t>
      </w:r>
      <w:r w:rsidR="00BD5E21" w:rsidRPr="00EF12E8">
        <w:rPr>
          <w:b/>
          <w:lang w:val="nl-NL"/>
        </w:rPr>
        <w:t>1</w:t>
      </w:r>
      <w:r w:rsidRPr="00EF12E8">
        <w:rPr>
          <w:b/>
          <w:lang w:val="nl-NL"/>
        </w:rPr>
        <w:t xml:space="preserve"> Điều) </w:t>
      </w:r>
    </w:p>
    <w:p w:rsidR="00015CC7" w:rsidRPr="00EF12E8" w:rsidRDefault="00015CC7" w:rsidP="00EF12E8">
      <w:pPr>
        <w:spacing w:before="120" w:line="276" w:lineRule="auto"/>
        <w:ind w:firstLine="720"/>
        <w:jc w:val="both"/>
        <w:rPr>
          <w:b/>
          <w:sz w:val="26"/>
          <w:lang w:val="nl-NL"/>
        </w:rPr>
      </w:pPr>
      <w:r w:rsidRPr="00EF12E8">
        <w:rPr>
          <w:b/>
          <w:sz w:val="26"/>
          <w:lang w:val="nl-NL"/>
        </w:rPr>
        <w:t xml:space="preserve">V. </w:t>
      </w:r>
      <w:r w:rsidR="00C80E1A" w:rsidRPr="00EF12E8">
        <w:rPr>
          <w:b/>
          <w:sz w:val="26"/>
          <w:lang w:val="nl-NL"/>
        </w:rPr>
        <w:t xml:space="preserve">CÁC </w:t>
      </w:r>
      <w:r w:rsidRPr="00EF12E8">
        <w:rPr>
          <w:b/>
          <w:sz w:val="26"/>
          <w:lang w:val="nl-NL"/>
        </w:rPr>
        <w:t xml:space="preserve">NỘI DUNG </w:t>
      </w:r>
      <w:r w:rsidR="00C80E1A" w:rsidRPr="00EF12E8">
        <w:rPr>
          <w:b/>
          <w:sz w:val="26"/>
          <w:lang w:val="nl-NL"/>
        </w:rPr>
        <w:t xml:space="preserve">CHỦ YẾU </w:t>
      </w:r>
      <w:r w:rsidRPr="00EF12E8">
        <w:rPr>
          <w:b/>
          <w:sz w:val="26"/>
          <w:lang w:val="nl-NL"/>
        </w:rPr>
        <w:t xml:space="preserve">QUY ĐỊNH TẠI DỰ THẢO </w:t>
      </w:r>
      <w:r w:rsidR="00DB50D5" w:rsidRPr="00EF12E8">
        <w:rPr>
          <w:b/>
          <w:sz w:val="26"/>
          <w:lang w:val="nl-NL"/>
        </w:rPr>
        <w:t>NGHỊ</w:t>
      </w:r>
      <w:r w:rsidR="00BA0AB5" w:rsidRPr="00EF12E8">
        <w:rPr>
          <w:b/>
          <w:sz w:val="26"/>
          <w:lang w:val="nl-NL"/>
        </w:rPr>
        <w:t xml:space="preserve"> QUYẾT</w:t>
      </w:r>
    </w:p>
    <w:p w:rsidR="00C015DB" w:rsidRPr="00EF12E8" w:rsidRDefault="00CC3840" w:rsidP="00EF12E8">
      <w:pPr>
        <w:widowControl w:val="0"/>
        <w:spacing w:before="120" w:line="276" w:lineRule="auto"/>
        <w:ind w:firstLine="720"/>
        <w:jc w:val="both"/>
        <w:rPr>
          <w:b/>
          <w:lang w:val="nl-NL"/>
        </w:rPr>
      </w:pPr>
      <w:r w:rsidRPr="00EF12E8">
        <w:rPr>
          <w:b/>
          <w:lang w:val="nl-NL"/>
        </w:rPr>
        <w:t xml:space="preserve">1. </w:t>
      </w:r>
      <w:r w:rsidR="004D2CFB" w:rsidRPr="00EF12E8">
        <w:rPr>
          <w:b/>
          <w:lang w:val="nl-NL"/>
        </w:rPr>
        <w:t>Ngành, lĩnh vực sử dụng vốn đầu tư công nguồn ngân sách địa phương giai đoạn 2021</w:t>
      </w:r>
      <w:r w:rsidR="000400DE" w:rsidRPr="00EF12E8">
        <w:rPr>
          <w:b/>
          <w:lang w:val="nl-NL"/>
        </w:rPr>
        <w:t xml:space="preserve"> - </w:t>
      </w:r>
      <w:r w:rsidR="004D2CFB" w:rsidRPr="00EF12E8">
        <w:rPr>
          <w:b/>
          <w:lang w:val="nl-NL"/>
        </w:rPr>
        <w:t>2025</w:t>
      </w:r>
      <w:r w:rsidR="000400DE" w:rsidRPr="00EF12E8">
        <w:rPr>
          <w:b/>
          <w:lang w:val="nl-NL"/>
        </w:rPr>
        <w:t>:</w:t>
      </w:r>
    </w:p>
    <w:p w:rsidR="00572EAD" w:rsidRPr="00EF12E8" w:rsidRDefault="00B10493" w:rsidP="00EF12E8">
      <w:pPr>
        <w:widowControl w:val="0"/>
        <w:spacing w:before="120" w:line="276" w:lineRule="auto"/>
        <w:ind w:firstLine="720"/>
        <w:jc w:val="both"/>
        <w:rPr>
          <w:lang w:val="nl-NL"/>
        </w:rPr>
      </w:pPr>
      <w:r w:rsidRPr="00EF12E8">
        <w:rPr>
          <w:lang w:val="nl-NL"/>
        </w:rPr>
        <w:t>Vốn đầu tư công nguồn ngân sách địa phương được bố trí cho các đối tượng được quy định tại Điều 5 Luật Đầu tư công và được phân theo ngành, lĩnh vực quy định tại Điều 3 Quyết định số 26/2020/QĐ-TTg ngày 14/9/2020 của Thủ tướng Chính phủ.</w:t>
      </w:r>
    </w:p>
    <w:p w:rsidR="008A7D5B" w:rsidRPr="00EF12E8" w:rsidRDefault="00B10493" w:rsidP="00EF12E8">
      <w:pPr>
        <w:widowControl w:val="0"/>
        <w:spacing w:before="120" w:line="276" w:lineRule="auto"/>
        <w:ind w:firstLine="720"/>
        <w:jc w:val="both"/>
        <w:rPr>
          <w:b/>
          <w:lang w:val="nl-NL"/>
        </w:rPr>
      </w:pPr>
      <w:r w:rsidRPr="00EF12E8">
        <w:rPr>
          <w:b/>
          <w:lang w:val="nl-NL"/>
        </w:rPr>
        <w:t>2. Nguyên tắc chung và thứ tự ưu tiên phân bổ vốn đầu tư công nguồn ngân sách địa phương giai đoạ</w:t>
      </w:r>
      <w:r w:rsidR="000400DE" w:rsidRPr="00EF12E8">
        <w:rPr>
          <w:b/>
          <w:lang w:val="nl-NL"/>
        </w:rPr>
        <w:t xml:space="preserve">n 2021 - </w:t>
      </w:r>
      <w:r w:rsidRPr="00EF12E8">
        <w:rPr>
          <w:b/>
          <w:lang w:val="nl-NL"/>
        </w:rPr>
        <w:t>2025</w:t>
      </w:r>
      <w:r w:rsidR="000400DE" w:rsidRPr="00EF12E8">
        <w:rPr>
          <w:b/>
          <w:lang w:val="nl-NL"/>
        </w:rPr>
        <w:t>:</w:t>
      </w:r>
    </w:p>
    <w:p w:rsidR="00F44ADD" w:rsidRPr="00EF12E8" w:rsidRDefault="00BE515E" w:rsidP="00EF12E8">
      <w:pPr>
        <w:widowControl w:val="0"/>
        <w:spacing w:before="120" w:line="276" w:lineRule="auto"/>
        <w:ind w:firstLine="720"/>
        <w:jc w:val="both"/>
        <w:rPr>
          <w:lang w:val="nl-NL" w:eastAsia="x-none"/>
        </w:rPr>
      </w:pPr>
      <w:r w:rsidRPr="00EF12E8">
        <w:rPr>
          <w:lang w:val="nl-NL"/>
        </w:rPr>
        <w:t>Nội dung này quy định</w:t>
      </w:r>
      <w:r w:rsidR="000C6B68" w:rsidRPr="00EF12E8">
        <w:rPr>
          <w:lang w:val="nl-NL"/>
        </w:rPr>
        <w:t xml:space="preserve"> </w:t>
      </w:r>
      <w:r w:rsidRPr="00EF12E8">
        <w:rPr>
          <w:lang w:val="nl-NL"/>
        </w:rPr>
        <w:t>lại các nguyên tắc chung về phân bổ vốn đầu tư công nguồn ngân sách nhà nước quy định tại Điều 4 Nghị quyết số 973/2020/UBTVQH14</w:t>
      </w:r>
      <w:r w:rsidR="0091784A" w:rsidRPr="00EF12E8">
        <w:rPr>
          <w:lang w:val="nl-NL"/>
        </w:rPr>
        <w:t xml:space="preserve"> </w:t>
      </w:r>
      <w:r w:rsidR="00DC1143" w:rsidRPr="00EF12E8">
        <w:rPr>
          <w:lang w:val="nl-NL"/>
        </w:rPr>
        <w:t xml:space="preserve">và hiệu chỉnh một số nội dung </w:t>
      </w:r>
      <w:r w:rsidR="009A25FB" w:rsidRPr="00EF12E8">
        <w:rPr>
          <w:lang w:val="nl-NL"/>
        </w:rPr>
        <w:t>nhằm</w:t>
      </w:r>
      <w:r w:rsidR="00C37D80" w:rsidRPr="00EF12E8">
        <w:rPr>
          <w:lang w:val="nl-NL"/>
        </w:rPr>
        <w:t xml:space="preserve"> </w:t>
      </w:r>
      <w:r w:rsidRPr="00EF12E8">
        <w:rPr>
          <w:lang w:val="nl-NL"/>
        </w:rPr>
        <w:t>phù hợp với tình hình thực tế và đ</w:t>
      </w:r>
      <w:r w:rsidR="00E602DE" w:rsidRPr="00EF12E8">
        <w:rPr>
          <w:lang w:val="nl-NL"/>
        </w:rPr>
        <w:t>ị</w:t>
      </w:r>
      <w:r w:rsidRPr="00EF12E8">
        <w:rPr>
          <w:lang w:val="nl-NL"/>
        </w:rPr>
        <w:t>nh hướng đầu tư phát triển trong giai đoạn 2021</w:t>
      </w:r>
      <w:r w:rsidR="000400DE" w:rsidRPr="00EF12E8">
        <w:rPr>
          <w:lang w:val="nl-NL"/>
        </w:rPr>
        <w:t xml:space="preserve"> </w:t>
      </w:r>
      <w:r w:rsidRPr="00EF12E8">
        <w:rPr>
          <w:lang w:val="nl-NL"/>
        </w:rPr>
        <w:t>-</w:t>
      </w:r>
      <w:r w:rsidR="000400DE" w:rsidRPr="00EF12E8">
        <w:rPr>
          <w:lang w:val="nl-NL"/>
        </w:rPr>
        <w:t xml:space="preserve"> </w:t>
      </w:r>
      <w:r w:rsidRPr="00EF12E8">
        <w:rPr>
          <w:lang w:val="nl-NL"/>
        </w:rPr>
        <w:t xml:space="preserve">2025 của tỉnh. </w:t>
      </w:r>
      <w:r w:rsidR="00B02DF1" w:rsidRPr="00EF12E8">
        <w:rPr>
          <w:lang w:val="nl-NL"/>
        </w:rPr>
        <w:t>Đồng thời cụ thể hóa</w:t>
      </w:r>
      <w:r w:rsidR="00D92BC9" w:rsidRPr="00EF12E8">
        <w:rPr>
          <w:lang w:val="nl-NL"/>
        </w:rPr>
        <w:t xml:space="preserve"> quy định về </w:t>
      </w:r>
      <w:r w:rsidR="00B80709" w:rsidRPr="00EF12E8">
        <w:rPr>
          <w:lang w:val="nl-NL"/>
        </w:rPr>
        <w:t xml:space="preserve">việc sử dụng dự phòng chung trong kế hoạch đầu tư công trung hạn nguồn vốn ngân sách địa phương theo quy định tại </w:t>
      </w:r>
      <w:r w:rsidR="000400DE" w:rsidRPr="00EF12E8">
        <w:rPr>
          <w:lang w:val="nl-NL" w:eastAsia="x-none"/>
        </w:rPr>
        <w:t>K</w:t>
      </w:r>
      <w:r w:rsidR="00B80709" w:rsidRPr="00EF12E8">
        <w:rPr>
          <w:lang w:val="nl-NL" w:eastAsia="x-none"/>
        </w:rPr>
        <w:t>hoản 6 Điều 51 của Luật Đầu tư công</w:t>
      </w:r>
      <w:r w:rsidR="00B80709" w:rsidRPr="00EF12E8">
        <w:rPr>
          <w:rStyle w:val="FootnoteReference"/>
          <w:lang w:val="nl-NL" w:eastAsia="x-none"/>
        </w:rPr>
        <w:footnoteReference w:id="1"/>
      </w:r>
      <w:r w:rsidR="00F44ADD" w:rsidRPr="00EF12E8">
        <w:rPr>
          <w:lang w:val="nl-NL" w:eastAsia="x-none"/>
        </w:rPr>
        <w:t>, cụ thể:</w:t>
      </w:r>
    </w:p>
    <w:p w:rsidR="00CA18A1" w:rsidRPr="00EF12E8" w:rsidRDefault="00CA18A1" w:rsidP="00EF12E8">
      <w:pPr>
        <w:pStyle w:val="04Body"/>
        <w:widowControl w:val="0"/>
        <w:spacing w:after="0" w:line="276" w:lineRule="auto"/>
        <w:outlineLvl w:val="0"/>
        <w:rPr>
          <w:szCs w:val="28"/>
          <w:lang w:val="nl-NL"/>
        </w:rPr>
      </w:pPr>
      <w:r w:rsidRPr="00EF12E8">
        <w:rPr>
          <w:szCs w:val="28"/>
          <w:lang w:val="nl-NL" w:eastAsia="x-none"/>
        </w:rPr>
        <w:t>Trong tổng số vốn kế hoạch đầu tư công giai đoạn 2021</w:t>
      </w:r>
      <w:r w:rsidR="000400DE" w:rsidRPr="00EF12E8">
        <w:rPr>
          <w:szCs w:val="28"/>
          <w:lang w:val="nl-NL" w:eastAsia="x-none"/>
        </w:rPr>
        <w:t xml:space="preserve"> </w:t>
      </w:r>
      <w:r w:rsidRPr="00EF12E8">
        <w:rPr>
          <w:szCs w:val="28"/>
          <w:lang w:val="nl-NL" w:eastAsia="x-none"/>
        </w:rPr>
        <w:t>-</w:t>
      </w:r>
      <w:r w:rsidR="000400DE" w:rsidRPr="00EF12E8">
        <w:rPr>
          <w:szCs w:val="28"/>
          <w:lang w:val="nl-NL" w:eastAsia="x-none"/>
        </w:rPr>
        <w:t xml:space="preserve"> </w:t>
      </w:r>
      <w:r w:rsidRPr="00EF12E8">
        <w:rPr>
          <w:szCs w:val="28"/>
          <w:lang w:val="nl-NL" w:eastAsia="x-none"/>
        </w:rPr>
        <w:t>2025, đối với từng nguồn vốn, đề nghị</w:t>
      </w:r>
      <w:r w:rsidR="00A05CA2" w:rsidRPr="00EF12E8">
        <w:rPr>
          <w:szCs w:val="28"/>
          <w:lang w:val="nl-NL" w:eastAsia="x-none"/>
        </w:rPr>
        <w:t xml:space="preserve"> </w:t>
      </w:r>
      <w:r w:rsidRPr="00EF12E8">
        <w:rPr>
          <w:szCs w:val="28"/>
          <w:lang w:val="nl-NL" w:eastAsia="x-none"/>
        </w:rPr>
        <w:t>dành lại dự phòng 10% tổng mức vốn kế hoạch đầu tư trung hạn</w:t>
      </w:r>
      <w:r w:rsidR="004A731D" w:rsidRPr="00EF12E8">
        <w:rPr>
          <w:szCs w:val="28"/>
          <w:lang w:val="nl-NL" w:eastAsia="x-none"/>
        </w:rPr>
        <w:t xml:space="preserve"> và hằng năm </w:t>
      </w:r>
      <w:r w:rsidRPr="00EF12E8">
        <w:rPr>
          <w:szCs w:val="28"/>
          <w:lang w:val="nl-NL" w:eastAsia="x-none"/>
        </w:rPr>
        <w:t>để xử lý các vấn đề phát sinh trong quá trình thực hiện kế hoạch đầu tư công theo quy định tại Điều 51 của Luật Đầu tư công</w:t>
      </w:r>
      <w:r w:rsidR="00730477" w:rsidRPr="00EF12E8">
        <w:rPr>
          <w:szCs w:val="28"/>
          <w:lang w:val="nl-NL" w:eastAsia="x-none"/>
        </w:rPr>
        <w:t xml:space="preserve"> và Điều 10 Luậ</w:t>
      </w:r>
      <w:r w:rsidR="000400DE" w:rsidRPr="00EF12E8">
        <w:rPr>
          <w:szCs w:val="28"/>
          <w:lang w:val="nl-NL" w:eastAsia="x-none"/>
        </w:rPr>
        <w:t>t Ngân sách N</w:t>
      </w:r>
      <w:r w:rsidR="00730477" w:rsidRPr="00EF12E8">
        <w:rPr>
          <w:szCs w:val="28"/>
          <w:lang w:val="nl-NL" w:eastAsia="x-none"/>
        </w:rPr>
        <w:t>hà nước</w:t>
      </w:r>
      <w:r w:rsidRPr="00EF12E8">
        <w:rPr>
          <w:szCs w:val="28"/>
          <w:lang w:val="nl-NL" w:eastAsia="x-none"/>
        </w:rPr>
        <w:t xml:space="preserve">. </w:t>
      </w:r>
    </w:p>
    <w:p w:rsidR="00BB0712" w:rsidRPr="00EF12E8" w:rsidRDefault="00D555FF" w:rsidP="00EF12E8">
      <w:pPr>
        <w:widowControl w:val="0"/>
        <w:spacing w:before="120" w:line="276" w:lineRule="auto"/>
        <w:ind w:firstLine="720"/>
        <w:jc w:val="both"/>
        <w:rPr>
          <w:lang w:val="nl-NL" w:eastAsia="x-none"/>
        </w:rPr>
      </w:pPr>
      <w:r w:rsidRPr="00EF12E8">
        <w:rPr>
          <w:i/>
          <w:lang w:val="nl-NL" w:eastAsia="x-none"/>
        </w:rPr>
        <w:t xml:space="preserve">Để chủ động, xử lý kịp thời các vấn đề phát sinh trong kế hoạch đầu tư công hằng năm, đề nghị Hội đồng nhân dân tỉnh thống nhất giao: </w:t>
      </w:r>
      <w:r w:rsidR="00CA18A1" w:rsidRPr="00EF12E8">
        <w:rPr>
          <w:lang w:val="nl-NL" w:eastAsia="x-none"/>
        </w:rPr>
        <w:t xml:space="preserve">Ủy ban nhân dân tỉnh chịu trách nhiệm rà soát, thống nhất với Thường trực Hội đồng nhân dân tỉnh để triển khai trong kế hoạch hằng năm và báo cáo Hội đồng nhân dân tỉnh tại </w:t>
      </w:r>
      <w:r w:rsidR="00CA18A1" w:rsidRPr="00EF12E8">
        <w:rPr>
          <w:lang w:val="nl-NL" w:eastAsia="x-none"/>
        </w:rPr>
        <w:lastRenderedPageBreak/>
        <w:t>kỳ họp gần nhất</w:t>
      </w:r>
      <w:r w:rsidR="00BD2EC9" w:rsidRPr="00EF12E8">
        <w:rPr>
          <w:lang w:val="nl-NL" w:eastAsia="x-none"/>
        </w:rPr>
        <w:t>.</w:t>
      </w:r>
    </w:p>
    <w:p w:rsidR="00B02DF1" w:rsidRPr="00EF12E8" w:rsidRDefault="00BB0712" w:rsidP="00EF12E8">
      <w:pPr>
        <w:widowControl w:val="0"/>
        <w:spacing w:before="120" w:line="276" w:lineRule="auto"/>
        <w:ind w:firstLine="720"/>
        <w:jc w:val="both"/>
        <w:rPr>
          <w:i/>
          <w:lang w:val="nl-NL" w:eastAsia="x-none"/>
        </w:rPr>
      </w:pPr>
      <w:r w:rsidRPr="00EF12E8">
        <w:rPr>
          <w:b/>
          <w:lang w:val="nl-NL" w:eastAsia="x-none"/>
        </w:rPr>
        <w:t>3.</w:t>
      </w:r>
      <w:r w:rsidRPr="00EF12E8">
        <w:rPr>
          <w:lang w:val="nl-NL" w:eastAsia="x-none"/>
        </w:rPr>
        <w:t xml:space="preserve"> </w:t>
      </w:r>
      <w:r w:rsidRPr="00EF12E8">
        <w:rPr>
          <w:b/>
          <w:lang w:val="nl-NL"/>
        </w:rPr>
        <w:t>Nguyên tắc, tiêu chí và định mức phân bổ vốn đầu tư công nguồn cân đối ngân sách địa phương (không bao gồm số thu sử dụng đất, xổ số kiến thiết)</w:t>
      </w:r>
      <w:r w:rsidR="000400DE" w:rsidRPr="00EF12E8">
        <w:rPr>
          <w:b/>
          <w:lang w:val="nl-NL"/>
        </w:rPr>
        <w:t>:</w:t>
      </w:r>
      <w:r w:rsidR="00F44ADD" w:rsidRPr="00EF12E8">
        <w:rPr>
          <w:i/>
          <w:lang w:val="nl-NL" w:eastAsia="x-none"/>
        </w:rPr>
        <w:t xml:space="preserve"> </w:t>
      </w:r>
    </w:p>
    <w:p w:rsidR="00137D03" w:rsidRPr="00EF12E8" w:rsidRDefault="005528B8" w:rsidP="00EF12E8">
      <w:pPr>
        <w:widowControl w:val="0"/>
        <w:spacing w:before="120" w:line="276" w:lineRule="auto"/>
        <w:ind w:firstLine="720"/>
        <w:jc w:val="both"/>
        <w:rPr>
          <w:lang w:val="nl-NL"/>
        </w:rPr>
      </w:pPr>
      <w:r w:rsidRPr="00EF12E8">
        <w:rPr>
          <w:lang w:val="nl-NL"/>
        </w:rPr>
        <w:t xml:space="preserve">a) </w:t>
      </w:r>
      <w:r w:rsidR="00D873B5" w:rsidRPr="00EF12E8">
        <w:rPr>
          <w:lang w:val="nl-NL"/>
        </w:rPr>
        <w:t xml:space="preserve">Nguyên tắc phân bổ: </w:t>
      </w:r>
    </w:p>
    <w:p w:rsidR="007C0292" w:rsidRPr="00EF12E8" w:rsidRDefault="007342DB" w:rsidP="00EF12E8">
      <w:pPr>
        <w:widowControl w:val="0"/>
        <w:spacing w:before="120" w:line="276" w:lineRule="auto"/>
        <w:ind w:firstLine="720"/>
        <w:jc w:val="both"/>
        <w:rPr>
          <w:lang w:val="nl-NL"/>
        </w:rPr>
      </w:pPr>
      <w:r w:rsidRPr="00EF12E8">
        <w:rPr>
          <w:lang w:val="nl-NL"/>
        </w:rPr>
        <w:t>Áp dụng theo các quy đị</w:t>
      </w:r>
      <w:r w:rsidR="00B64EFD" w:rsidRPr="00EF12E8">
        <w:rPr>
          <w:lang w:val="nl-NL"/>
        </w:rPr>
        <w:t>nh</w:t>
      </w:r>
      <w:r w:rsidRPr="00EF12E8">
        <w:rPr>
          <w:lang w:val="nl-NL"/>
        </w:rPr>
        <w:t xml:space="preserve"> về phân bổ vốn </w:t>
      </w:r>
      <w:r w:rsidR="000400DE" w:rsidRPr="00EF12E8">
        <w:rPr>
          <w:lang w:val="nl-NL"/>
        </w:rPr>
        <w:t xml:space="preserve">ngân sách Nhà nước </w:t>
      </w:r>
      <w:r w:rsidRPr="00EF12E8">
        <w:rPr>
          <w:lang w:val="nl-NL"/>
        </w:rPr>
        <w:t>theo quy định Luật đầu tư công, các nguyên tắc</w:t>
      </w:r>
      <w:r w:rsidR="00B64EFD" w:rsidRPr="00EF12E8">
        <w:rPr>
          <w:lang w:val="nl-NL"/>
        </w:rPr>
        <w:t xml:space="preserve"> chung</w:t>
      </w:r>
      <w:r w:rsidRPr="00EF12E8">
        <w:rPr>
          <w:lang w:val="nl-NL"/>
        </w:rPr>
        <w:t xml:space="preserve">, thứ tự ưu tiên phân bổ </w:t>
      </w:r>
      <w:r w:rsidR="0072308F" w:rsidRPr="00EF12E8">
        <w:rPr>
          <w:lang w:val="nl-NL"/>
        </w:rPr>
        <w:t>đề xuất</w:t>
      </w:r>
      <w:r w:rsidRPr="00EF12E8">
        <w:rPr>
          <w:lang w:val="nl-NL"/>
        </w:rPr>
        <w:t xml:space="preserve"> tại </w:t>
      </w:r>
      <w:r w:rsidR="00BC1070" w:rsidRPr="00EF12E8">
        <w:rPr>
          <w:lang w:val="nl-NL"/>
        </w:rPr>
        <w:t xml:space="preserve">Điều 4 Dự thảo Nghị quyết </w:t>
      </w:r>
      <w:r w:rsidR="0072308F" w:rsidRPr="00EF12E8">
        <w:rPr>
          <w:lang w:val="nl-NL"/>
        </w:rPr>
        <w:t>và quy định cụ thể hóa một số nội dung sau:</w:t>
      </w:r>
    </w:p>
    <w:p w:rsidR="002872AB" w:rsidRPr="00EF12E8" w:rsidRDefault="00881F7F" w:rsidP="00EF12E8">
      <w:pPr>
        <w:pStyle w:val="04Body"/>
        <w:widowControl w:val="0"/>
        <w:spacing w:after="0" w:line="276" w:lineRule="auto"/>
        <w:outlineLvl w:val="0"/>
        <w:rPr>
          <w:szCs w:val="28"/>
          <w:lang w:val="en-US"/>
        </w:rPr>
      </w:pPr>
      <w:r w:rsidRPr="00EF12E8">
        <w:rPr>
          <w:szCs w:val="28"/>
          <w:lang w:val="nl-NL"/>
        </w:rPr>
        <w:t>-</w:t>
      </w:r>
      <w:r w:rsidR="004F6785" w:rsidRPr="00EF12E8">
        <w:rPr>
          <w:szCs w:val="28"/>
          <w:lang w:val="nl-NL"/>
        </w:rPr>
        <w:t xml:space="preserve"> </w:t>
      </w:r>
      <w:r w:rsidR="000706D3" w:rsidRPr="00EF12E8">
        <w:rPr>
          <w:szCs w:val="28"/>
          <w:lang w:val="nl-NL"/>
        </w:rPr>
        <w:t xml:space="preserve">Vốn đầu tư công nguồn cân đối ngân sách địa phương được </w:t>
      </w:r>
      <w:r w:rsidR="000706D3" w:rsidRPr="00EF12E8">
        <w:rPr>
          <w:b/>
          <w:szCs w:val="28"/>
          <w:lang w:val="nl-NL"/>
        </w:rPr>
        <w:t>phân cấp quản lý cho các địa phương gắn với</w:t>
      </w:r>
      <w:r w:rsidR="000706D3" w:rsidRPr="00EF12E8">
        <w:rPr>
          <w:b/>
          <w:szCs w:val="28"/>
          <w:lang w:val="en-US"/>
        </w:rPr>
        <w:t xml:space="preserve"> phân cấp quản lý đầu tư và quản lý nhà nước về loại và cấp công trình</w:t>
      </w:r>
      <w:r w:rsidR="001632E8" w:rsidRPr="00EF12E8">
        <w:rPr>
          <w:szCs w:val="28"/>
          <w:lang w:val="en-US"/>
        </w:rPr>
        <w:t xml:space="preserve"> </w:t>
      </w:r>
      <w:r w:rsidR="00C35699" w:rsidRPr="00EF12E8">
        <w:rPr>
          <w:szCs w:val="28"/>
          <w:lang w:val="en-US"/>
        </w:rPr>
        <w:t>nhằm đơn giản hóa thủ tục, nâng cao hiệu quả đầu tư, thực hiện hoàn thành các mục tiêu phát triển kinh tế - xã hội của địa phương và gắn trách nhiệm toàn diện theo phân cấp</w:t>
      </w:r>
      <w:r w:rsidR="0010332E" w:rsidRPr="00EF12E8">
        <w:rPr>
          <w:szCs w:val="28"/>
          <w:lang w:val="en-US"/>
        </w:rPr>
        <w:t>.</w:t>
      </w:r>
    </w:p>
    <w:p w:rsidR="007E3C82" w:rsidRPr="00EF12E8" w:rsidRDefault="005E49B2" w:rsidP="00EF12E8">
      <w:pPr>
        <w:pStyle w:val="04Body"/>
        <w:widowControl w:val="0"/>
        <w:spacing w:after="0" w:line="276" w:lineRule="auto"/>
        <w:outlineLvl w:val="0"/>
        <w:rPr>
          <w:i/>
          <w:szCs w:val="28"/>
          <w:lang w:val="en-US"/>
        </w:rPr>
      </w:pPr>
      <w:r w:rsidRPr="00EF12E8">
        <w:rPr>
          <w:i/>
          <w:szCs w:val="28"/>
          <w:lang w:val="en-US"/>
        </w:rPr>
        <w:t xml:space="preserve">Với </w:t>
      </w:r>
      <w:r w:rsidR="00745A4D" w:rsidRPr="00EF12E8">
        <w:rPr>
          <w:i/>
          <w:szCs w:val="28"/>
          <w:lang w:val="en-US"/>
        </w:rPr>
        <w:t>quan điểm</w:t>
      </w:r>
      <w:r w:rsidRPr="00EF12E8">
        <w:rPr>
          <w:i/>
          <w:szCs w:val="28"/>
          <w:lang w:val="en-US"/>
        </w:rPr>
        <w:t xml:space="preserve"> phân cấp triệt để cho các địa phương trong quản lý đầu tư công, UBND tỉnh đã ban hành quy định về phân cấp quản lý dự án đầu tư xây dựng công trình trên địa bàn</w:t>
      </w:r>
      <w:r w:rsidR="007E3C82" w:rsidRPr="00EF12E8">
        <w:rPr>
          <w:rStyle w:val="FootnoteReference"/>
          <w:i/>
          <w:szCs w:val="28"/>
          <w:lang w:val="en-US"/>
        </w:rPr>
        <w:footnoteReference w:id="2"/>
      </w:r>
      <w:r w:rsidR="002872AB" w:rsidRPr="00EF12E8">
        <w:rPr>
          <w:i/>
          <w:szCs w:val="28"/>
          <w:lang w:val="en-US"/>
        </w:rPr>
        <w:t>.</w:t>
      </w:r>
      <w:r w:rsidR="00F038FE" w:rsidRPr="00EF12E8">
        <w:rPr>
          <w:i/>
          <w:szCs w:val="28"/>
          <w:lang w:val="en-US"/>
        </w:rPr>
        <w:t xml:space="preserve"> </w:t>
      </w:r>
      <w:r w:rsidR="002872AB" w:rsidRPr="00EF12E8">
        <w:rPr>
          <w:i/>
          <w:szCs w:val="28"/>
          <w:lang w:val="en-US"/>
        </w:rPr>
        <w:t>T</w:t>
      </w:r>
      <w:r w:rsidR="00F038FE" w:rsidRPr="00EF12E8">
        <w:rPr>
          <w:i/>
          <w:szCs w:val="28"/>
          <w:lang w:val="en-US"/>
        </w:rPr>
        <w:t>heo đó</w:t>
      </w:r>
      <w:r w:rsidR="009B50E4" w:rsidRPr="00EF12E8">
        <w:rPr>
          <w:i/>
          <w:szCs w:val="28"/>
          <w:lang w:val="en-US"/>
        </w:rPr>
        <w:t>, cấp huyện, cấp xã</w:t>
      </w:r>
      <w:r w:rsidR="007E3C82" w:rsidRPr="00EF12E8">
        <w:rPr>
          <w:i/>
          <w:szCs w:val="28"/>
          <w:lang w:val="en-US"/>
        </w:rPr>
        <w:t xml:space="preserve"> được phân cấp </w:t>
      </w:r>
      <w:r w:rsidR="009B50E4" w:rsidRPr="00EF12E8">
        <w:rPr>
          <w:i/>
          <w:szCs w:val="28"/>
          <w:lang w:val="en-US"/>
        </w:rPr>
        <w:t xml:space="preserve">quyết định chủ trương đầu tư, quyết định đầu tư đối với </w:t>
      </w:r>
      <w:r w:rsidR="00F038FE" w:rsidRPr="00EF12E8">
        <w:rPr>
          <w:i/>
          <w:szCs w:val="28"/>
          <w:lang w:val="en-US"/>
        </w:rPr>
        <w:t xml:space="preserve">các </w:t>
      </w:r>
      <w:r w:rsidR="009B50E4" w:rsidRPr="00EF12E8">
        <w:rPr>
          <w:i/>
          <w:szCs w:val="28"/>
          <w:lang w:val="en-US"/>
        </w:rPr>
        <w:t>dự án sử dụng ngân sách cấp tỉnh thuộc phân cấp quản lý công trình của cấp mình</w:t>
      </w:r>
      <w:r w:rsidR="000400DE" w:rsidRPr="00EF12E8">
        <w:rPr>
          <w:i/>
          <w:szCs w:val="28"/>
          <w:lang w:val="en-US"/>
        </w:rPr>
        <w:t>.</w:t>
      </w:r>
      <w:r w:rsidR="002872AB" w:rsidRPr="00EF12E8">
        <w:rPr>
          <w:i/>
          <w:szCs w:val="28"/>
          <w:lang w:val="en-US"/>
        </w:rPr>
        <w:t xml:space="preserve"> </w:t>
      </w:r>
    </w:p>
    <w:p w:rsidR="00C35699" w:rsidRPr="00EF12E8" w:rsidRDefault="002872AB" w:rsidP="00EF12E8">
      <w:pPr>
        <w:pStyle w:val="04Body"/>
        <w:widowControl w:val="0"/>
        <w:spacing w:after="0" w:line="276" w:lineRule="auto"/>
        <w:outlineLvl w:val="0"/>
        <w:rPr>
          <w:i/>
          <w:szCs w:val="28"/>
          <w:lang w:val="en-US"/>
        </w:rPr>
      </w:pPr>
      <w:r w:rsidRPr="00EF12E8">
        <w:rPr>
          <w:i/>
          <w:szCs w:val="28"/>
          <w:lang w:val="en-US"/>
        </w:rPr>
        <w:t>Do vậy, việc ban hành quy định trên tại dự thảo Nghị quyết nhằm đảm bảo tính chủ động</w:t>
      </w:r>
      <w:r w:rsidR="00FE1983" w:rsidRPr="00EF12E8">
        <w:rPr>
          <w:i/>
          <w:szCs w:val="28"/>
          <w:lang w:val="en-US"/>
        </w:rPr>
        <w:t xml:space="preserve"> toàn diện</w:t>
      </w:r>
      <w:r w:rsidR="003E2E77" w:rsidRPr="00EF12E8">
        <w:rPr>
          <w:i/>
          <w:szCs w:val="28"/>
          <w:lang w:val="en-US"/>
        </w:rPr>
        <w:t xml:space="preserve"> </w:t>
      </w:r>
      <w:r w:rsidRPr="00EF12E8">
        <w:rPr>
          <w:i/>
          <w:szCs w:val="28"/>
          <w:lang w:val="en-US"/>
        </w:rPr>
        <w:t xml:space="preserve">cho các địa phương trong việc thực hiện các nhiệm vụ đầu tư phát triển của cấp mình, đồng thời phù hợp với </w:t>
      </w:r>
      <w:r w:rsidR="00C35699" w:rsidRPr="00EF12E8">
        <w:rPr>
          <w:i/>
          <w:szCs w:val="28"/>
          <w:lang w:val="en-US"/>
        </w:rPr>
        <w:t xml:space="preserve">các nguyên tắc phân cấp quản lý nhà nước về đầu tư công </w:t>
      </w:r>
      <w:r w:rsidR="00F251C9" w:rsidRPr="00EF12E8">
        <w:rPr>
          <w:i/>
          <w:szCs w:val="28"/>
          <w:lang w:val="en-US"/>
        </w:rPr>
        <w:t xml:space="preserve">theo đúng quy định của Luật Đầu tư công, Luật </w:t>
      </w:r>
      <w:r w:rsidR="000400DE" w:rsidRPr="00EF12E8">
        <w:rPr>
          <w:i/>
          <w:szCs w:val="28"/>
          <w:lang w:val="en-US"/>
        </w:rPr>
        <w:t>Ngân sách Nhà nước</w:t>
      </w:r>
      <w:r w:rsidR="00F251C9" w:rsidRPr="00EF12E8">
        <w:rPr>
          <w:i/>
          <w:szCs w:val="28"/>
          <w:lang w:val="en-US"/>
        </w:rPr>
        <w:t xml:space="preserve"> và các văn bản pháp luật có liên quan.</w:t>
      </w:r>
    </w:p>
    <w:p w:rsidR="00DD0F13" w:rsidRPr="00EF12E8" w:rsidRDefault="007E27BC" w:rsidP="00EF12E8">
      <w:pPr>
        <w:pStyle w:val="04Body"/>
        <w:widowControl w:val="0"/>
        <w:spacing w:after="0" w:line="276" w:lineRule="auto"/>
        <w:outlineLvl w:val="0"/>
        <w:rPr>
          <w:szCs w:val="28"/>
          <w:lang w:val="en-US"/>
        </w:rPr>
      </w:pPr>
      <w:r w:rsidRPr="00EF12E8">
        <w:rPr>
          <w:szCs w:val="28"/>
          <w:lang w:val="en-US"/>
        </w:rPr>
        <w:t>-</w:t>
      </w:r>
      <w:r w:rsidR="00881F7F" w:rsidRPr="00EF12E8">
        <w:rPr>
          <w:szCs w:val="28"/>
          <w:lang w:val="en-US"/>
        </w:rPr>
        <w:t xml:space="preserve"> Tập trung bố trí đủ số vốn còn thiếu của các dự án đã được cấp có thẩm quyền giao kế hoạch đầu tư vốn cân đối ngân sách địa phương giai đoạn 2016</w:t>
      </w:r>
      <w:r w:rsidR="000400DE" w:rsidRPr="00EF12E8">
        <w:rPr>
          <w:szCs w:val="28"/>
          <w:lang w:val="en-US"/>
        </w:rPr>
        <w:t xml:space="preserve"> </w:t>
      </w:r>
      <w:r w:rsidR="00881F7F" w:rsidRPr="00EF12E8">
        <w:rPr>
          <w:szCs w:val="28"/>
          <w:lang w:val="en-US"/>
        </w:rPr>
        <w:t>-</w:t>
      </w:r>
      <w:r w:rsidR="000400DE" w:rsidRPr="00EF12E8">
        <w:rPr>
          <w:szCs w:val="28"/>
          <w:lang w:val="en-US"/>
        </w:rPr>
        <w:t xml:space="preserve"> </w:t>
      </w:r>
      <w:r w:rsidR="00881F7F" w:rsidRPr="00EF12E8">
        <w:rPr>
          <w:szCs w:val="28"/>
          <w:lang w:val="en-US"/>
        </w:rPr>
        <w:t>2020 chuyển tiếp sang giai đoạn 2021</w:t>
      </w:r>
      <w:r w:rsidR="000400DE" w:rsidRPr="00EF12E8">
        <w:rPr>
          <w:szCs w:val="28"/>
          <w:lang w:val="en-US"/>
        </w:rPr>
        <w:t xml:space="preserve"> </w:t>
      </w:r>
      <w:r w:rsidR="00881F7F" w:rsidRPr="00EF12E8">
        <w:rPr>
          <w:szCs w:val="28"/>
          <w:lang w:val="en-US"/>
        </w:rPr>
        <w:t>-</w:t>
      </w:r>
      <w:r w:rsidR="000400DE" w:rsidRPr="00EF12E8">
        <w:rPr>
          <w:szCs w:val="28"/>
          <w:lang w:val="en-US"/>
        </w:rPr>
        <w:t xml:space="preserve"> </w:t>
      </w:r>
      <w:r w:rsidR="00881F7F" w:rsidRPr="00EF12E8">
        <w:rPr>
          <w:szCs w:val="28"/>
          <w:lang w:val="en-US"/>
        </w:rPr>
        <w:t>2025.</w:t>
      </w:r>
      <w:r w:rsidR="00CD743F" w:rsidRPr="00EF12E8">
        <w:rPr>
          <w:szCs w:val="28"/>
          <w:lang w:val="en-US"/>
        </w:rPr>
        <w:t xml:space="preserve"> </w:t>
      </w:r>
      <w:r w:rsidR="00881F7F" w:rsidRPr="00EF12E8">
        <w:rPr>
          <w:szCs w:val="28"/>
          <w:lang w:val="en-US"/>
        </w:rPr>
        <w:t xml:space="preserve"> </w:t>
      </w:r>
    </w:p>
    <w:p w:rsidR="00881F7F" w:rsidRPr="00EF12E8" w:rsidRDefault="00DD0F13" w:rsidP="00EF12E8">
      <w:pPr>
        <w:pStyle w:val="04Body"/>
        <w:widowControl w:val="0"/>
        <w:spacing w:after="0" w:line="276" w:lineRule="auto"/>
        <w:outlineLvl w:val="0"/>
        <w:rPr>
          <w:szCs w:val="28"/>
          <w:lang w:val="en-US"/>
        </w:rPr>
      </w:pPr>
      <w:r w:rsidRPr="00EF12E8">
        <w:rPr>
          <w:szCs w:val="28"/>
          <w:lang w:val="en-US"/>
        </w:rPr>
        <w:t xml:space="preserve">- </w:t>
      </w:r>
      <w:r w:rsidR="00881F7F" w:rsidRPr="00EF12E8">
        <w:rPr>
          <w:szCs w:val="28"/>
          <w:lang w:val="en-US"/>
        </w:rPr>
        <w:t xml:space="preserve">Số vốn còn lại </w:t>
      </w:r>
      <w:r w:rsidR="003C31FF" w:rsidRPr="00EF12E8">
        <w:rPr>
          <w:szCs w:val="28"/>
          <w:lang w:val="en-US"/>
        </w:rPr>
        <w:t xml:space="preserve">được </w:t>
      </w:r>
      <w:r w:rsidR="00881F7F" w:rsidRPr="00EF12E8">
        <w:rPr>
          <w:szCs w:val="28"/>
          <w:lang w:val="en-US"/>
        </w:rPr>
        <w:t>bố trí cho các dự án mới thuộc các ngành, lĩnh vực và phải đảm bảo cơ cấu nguồn vốn đầu tư trong cân đối ngân sách địa phương không thấp hơn 90% tổng mức đầu tư từng dự án.</w:t>
      </w:r>
    </w:p>
    <w:p w:rsidR="008C1725" w:rsidRPr="00EF12E8" w:rsidRDefault="008C1725" w:rsidP="00EF12E8">
      <w:pPr>
        <w:pStyle w:val="04Body"/>
        <w:widowControl w:val="0"/>
        <w:spacing w:after="0" w:line="276" w:lineRule="auto"/>
        <w:outlineLvl w:val="0"/>
        <w:rPr>
          <w:szCs w:val="28"/>
          <w:lang w:val="nl-NL"/>
        </w:rPr>
      </w:pPr>
      <w:r w:rsidRPr="00EF12E8">
        <w:rPr>
          <w:szCs w:val="28"/>
          <w:lang w:val="nl-NL"/>
        </w:rPr>
        <w:t>b)</w:t>
      </w:r>
      <w:r w:rsidR="009236FB" w:rsidRPr="00EF12E8">
        <w:rPr>
          <w:szCs w:val="28"/>
          <w:lang w:val="nl-NL"/>
        </w:rPr>
        <w:t xml:space="preserve"> </w:t>
      </w:r>
      <w:r w:rsidRPr="00EF12E8">
        <w:rPr>
          <w:szCs w:val="28"/>
          <w:lang w:val="nl-NL"/>
        </w:rPr>
        <w:t>Tiêu chí, định mức phân bổ vốn đầu tư công nguồn cân đối ngân sách địa phương:</w:t>
      </w:r>
    </w:p>
    <w:p w:rsidR="008C1725" w:rsidRPr="00EF12E8" w:rsidRDefault="009236FB" w:rsidP="00EF12E8">
      <w:pPr>
        <w:pStyle w:val="04Body"/>
        <w:widowControl w:val="0"/>
        <w:spacing w:after="0" w:line="276" w:lineRule="auto"/>
        <w:outlineLvl w:val="0"/>
        <w:rPr>
          <w:szCs w:val="28"/>
          <w:lang w:val="nl-NL"/>
        </w:rPr>
      </w:pPr>
      <w:r w:rsidRPr="00EF12E8">
        <w:rPr>
          <w:szCs w:val="28"/>
          <w:lang w:val="nl-NL"/>
        </w:rPr>
        <w:t>-</w:t>
      </w:r>
      <w:r w:rsidR="008C1725" w:rsidRPr="00EF12E8">
        <w:rPr>
          <w:szCs w:val="28"/>
          <w:lang w:val="nl-NL"/>
        </w:rPr>
        <w:t xml:space="preserve"> Vốn đầu tư công nguồn cân đối ngân sách địa phương bố trí cho nhiệm vụ, dự án thuộc nhiệm vụ chi đầu tư của ngân sách địa phương theo quy định của </w:t>
      </w:r>
      <w:r w:rsidR="008C1725" w:rsidRPr="00EF12E8">
        <w:rPr>
          <w:szCs w:val="28"/>
          <w:lang w:val="nl-NL"/>
        </w:rPr>
        <w:lastRenderedPageBreak/>
        <w:t>pháp luật về ngân sách nhà nước và thuộc đối tượng đầu tư công quy định tại Điều 5 của Luật Đầ</w:t>
      </w:r>
      <w:r w:rsidR="000400DE" w:rsidRPr="00EF12E8">
        <w:rPr>
          <w:szCs w:val="28"/>
          <w:lang w:val="nl-NL"/>
        </w:rPr>
        <w:t>u tư công.</w:t>
      </w:r>
    </w:p>
    <w:p w:rsidR="008C1725" w:rsidRPr="00EF12E8" w:rsidRDefault="002707FB" w:rsidP="00EF12E8">
      <w:pPr>
        <w:pStyle w:val="04Body"/>
        <w:widowControl w:val="0"/>
        <w:spacing w:after="0" w:line="276" w:lineRule="auto"/>
        <w:outlineLvl w:val="0"/>
        <w:rPr>
          <w:szCs w:val="28"/>
          <w:lang w:val="nl-NL"/>
        </w:rPr>
      </w:pPr>
      <w:r w:rsidRPr="00EF12E8">
        <w:rPr>
          <w:szCs w:val="28"/>
          <w:lang w:val="nl-NL"/>
        </w:rPr>
        <w:t>-</w:t>
      </w:r>
      <w:r w:rsidR="008C1725" w:rsidRPr="00EF12E8">
        <w:rPr>
          <w:szCs w:val="28"/>
          <w:lang w:val="nl-NL"/>
        </w:rPr>
        <w:t xml:space="preserve"> Cơ cấu phân bổ vốn đầu tư công nguồn cân đối ngân sách địa phương:</w:t>
      </w:r>
    </w:p>
    <w:p w:rsidR="008C1725" w:rsidRPr="00EF12E8" w:rsidRDefault="00137D03" w:rsidP="00EF12E8">
      <w:pPr>
        <w:pStyle w:val="04Body"/>
        <w:widowControl w:val="0"/>
        <w:spacing w:after="0" w:line="276" w:lineRule="auto"/>
        <w:outlineLvl w:val="0"/>
        <w:rPr>
          <w:szCs w:val="28"/>
          <w:lang w:val="nl-NL"/>
        </w:rPr>
      </w:pPr>
      <w:r w:rsidRPr="00EF12E8">
        <w:rPr>
          <w:szCs w:val="28"/>
          <w:lang w:val="nl-NL"/>
        </w:rPr>
        <w:t>(i)</w:t>
      </w:r>
      <w:r w:rsidR="008C1725" w:rsidRPr="00EF12E8">
        <w:rPr>
          <w:szCs w:val="28"/>
          <w:lang w:val="nl-NL"/>
        </w:rPr>
        <w:t xml:space="preserve"> Bổ sung có mục tiêu và phân cấp quản lý cho ngân sách cấp huyện 40%; việc phân bổ cho các địa phương được thực hiện theo các nguyên tắc, tiêu chí và định mức quy định tại </w:t>
      </w:r>
      <w:r w:rsidR="000400DE" w:rsidRPr="00EF12E8">
        <w:rPr>
          <w:szCs w:val="28"/>
          <w:lang w:val="nl-NL"/>
        </w:rPr>
        <w:t>M</w:t>
      </w:r>
      <w:r w:rsidR="0007314A" w:rsidRPr="00EF12E8">
        <w:rPr>
          <w:szCs w:val="28"/>
          <w:lang w:val="nl-NL"/>
        </w:rPr>
        <w:t xml:space="preserve">ục 4 dưới đây (và </w:t>
      </w:r>
      <w:r w:rsidR="008C1725" w:rsidRPr="00EF12E8">
        <w:rPr>
          <w:szCs w:val="28"/>
          <w:lang w:val="nl-NL"/>
        </w:rPr>
        <w:t xml:space="preserve">Điều 6 </w:t>
      </w:r>
      <w:r w:rsidR="00B026FE" w:rsidRPr="00EF12E8">
        <w:rPr>
          <w:szCs w:val="28"/>
          <w:lang w:val="nl-NL"/>
        </w:rPr>
        <w:t xml:space="preserve">Dự thảo </w:t>
      </w:r>
      <w:r w:rsidR="008C1725" w:rsidRPr="00EF12E8">
        <w:rPr>
          <w:szCs w:val="28"/>
          <w:lang w:val="nl-NL"/>
        </w:rPr>
        <w:t>Nghị quyết</w:t>
      </w:r>
      <w:r w:rsidR="0007314A" w:rsidRPr="00EF12E8">
        <w:rPr>
          <w:szCs w:val="28"/>
          <w:lang w:val="nl-NL"/>
        </w:rPr>
        <w:t>)</w:t>
      </w:r>
      <w:r w:rsidR="008C1725" w:rsidRPr="00EF12E8">
        <w:rPr>
          <w:szCs w:val="28"/>
          <w:lang w:val="nl-NL"/>
        </w:rPr>
        <w:t>.</w:t>
      </w:r>
    </w:p>
    <w:p w:rsidR="001525BD" w:rsidRPr="00EF12E8" w:rsidRDefault="001525BD" w:rsidP="00EF12E8">
      <w:pPr>
        <w:pStyle w:val="04Body"/>
        <w:widowControl w:val="0"/>
        <w:spacing w:after="0" w:line="276" w:lineRule="auto"/>
        <w:outlineLvl w:val="0"/>
        <w:rPr>
          <w:i/>
          <w:szCs w:val="28"/>
          <w:lang w:val="nl-NL"/>
        </w:rPr>
      </w:pPr>
      <w:r w:rsidRPr="00EF12E8">
        <w:rPr>
          <w:i/>
          <w:szCs w:val="28"/>
          <w:lang w:val="nl-NL"/>
        </w:rPr>
        <w:t xml:space="preserve">Tỷ lệ này quy định đối với nguồn vốn ngân sách </w:t>
      </w:r>
      <w:r w:rsidR="000400DE" w:rsidRPr="00EF12E8">
        <w:rPr>
          <w:i/>
          <w:szCs w:val="28"/>
          <w:lang w:val="nl-NL"/>
        </w:rPr>
        <w:t>T</w:t>
      </w:r>
      <w:r w:rsidRPr="00EF12E8">
        <w:rPr>
          <w:i/>
          <w:szCs w:val="28"/>
          <w:lang w:val="nl-NL"/>
        </w:rPr>
        <w:t>rung ương bổ sung có mục tiêu cho ngân sách địa phương là 30</w:t>
      </w:r>
      <w:r w:rsidR="00B9710E" w:rsidRPr="00EF12E8">
        <w:rPr>
          <w:i/>
          <w:szCs w:val="28"/>
          <w:lang w:val="nl-NL"/>
        </w:rPr>
        <w:t>%</w:t>
      </w:r>
      <w:r w:rsidR="000400DE" w:rsidRPr="00EF12E8">
        <w:rPr>
          <w:i/>
          <w:szCs w:val="28"/>
          <w:lang w:val="nl-NL"/>
        </w:rPr>
        <w:t>; t</w:t>
      </w:r>
      <w:r w:rsidRPr="00EF12E8">
        <w:rPr>
          <w:i/>
          <w:szCs w:val="28"/>
          <w:lang w:val="nl-NL"/>
        </w:rPr>
        <w:t>uy vậy, để tạo điều kiện cho các địa phương đảm bảo được nguồn lực đầu tư nhất định để triển khai các dự án mới sau khi thanh toán khối lượng hoàn thành và chuyển tiếp các dự án; đề xuất nâng tỷ lệ bổ sung có mục tiêu vốn cân đối ngân sách địa phương cho ngân sách huyện lên tỷ lệ 40% trên tổng số vốn cân đối ngân sách địa phương giai đoạ</w:t>
      </w:r>
      <w:r w:rsidR="00D109C3" w:rsidRPr="00EF12E8">
        <w:rPr>
          <w:i/>
          <w:szCs w:val="28"/>
          <w:lang w:val="nl-NL"/>
        </w:rPr>
        <w:t>n 2021</w:t>
      </w:r>
      <w:r w:rsidR="000400DE" w:rsidRPr="00EF12E8">
        <w:rPr>
          <w:i/>
          <w:szCs w:val="28"/>
          <w:lang w:val="nl-NL"/>
        </w:rPr>
        <w:t xml:space="preserve"> </w:t>
      </w:r>
      <w:r w:rsidR="00D109C3" w:rsidRPr="00EF12E8">
        <w:rPr>
          <w:i/>
          <w:szCs w:val="28"/>
          <w:lang w:val="nl-NL"/>
        </w:rPr>
        <w:t>-</w:t>
      </w:r>
      <w:r w:rsidR="000400DE" w:rsidRPr="00EF12E8">
        <w:rPr>
          <w:i/>
          <w:szCs w:val="28"/>
          <w:lang w:val="nl-NL"/>
        </w:rPr>
        <w:t xml:space="preserve"> </w:t>
      </w:r>
      <w:r w:rsidR="00D109C3" w:rsidRPr="00EF12E8">
        <w:rPr>
          <w:i/>
          <w:szCs w:val="28"/>
          <w:lang w:val="nl-NL"/>
        </w:rPr>
        <w:t>2025, việc nâng tỷ lệ bổ sung có mục tiêu cho ngân sách cấp huyện như trên là phù hợp với tình hình thực tiễn và quy định của pháp luật</w:t>
      </w:r>
      <w:r w:rsidR="00B9710E" w:rsidRPr="00EF12E8">
        <w:rPr>
          <w:rStyle w:val="FootnoteReference"/>
          <w:i/>
          <w:szCs w:val="28"/>
          <w:lang w:val="nl-NL"/>
        </w:rPr>
        <w:footnoteReference w:id="3"/>
      </w:r>
      <w:r w:rsidR="0013523E" w:rsidRPr="00EF12E8">
        <w:rPr>
          <w:i/>
          <w:szCs w:val="28"/>
          <w:lang w:val="nl-NL"/>
        </w:rPr>
        <w:t>.</w:t>
      </w:r>
    </w:p>
    <w:p w:rsidR="008C1725" w:rsidRPr="00EF12E8" w:rsidRDefault="00137D03" w:rsidP="00EF12E8">
      <w:pPr>
        <w:pStyle w:val="04Body"/>
        <w:widowControl w:val="0"/>
        <w:spacing w:after="0" w:line="276" w:lineRule="auto"/>
        <w:outlineLvl w:val="0"/>
        <w:rPr>
          <w:szCs w:val="28"/>
          <w:lang w:val="nl-NL"/>
        </w:rPr>
      </w:pPr>
      <w:r w:rsidRPr="00EF12E8">
        <w:rPr>
          <w:szCs w:val="28"/>
          <w:lang w:val="nl-NL"/>
        </w:rPr>
        <w:t>(</w:t>
      </w:r>
      <w:r w:rsidR="00ED1AB4" w:rsidRPr="00EF12E8">
        <w:rPr>
          <w:szCs w:val="28"/>
          <w:lang w:val="nl-NL"/>
        </w:rPr>
        <w:t>i</w:t>
      </w:r>
      <w:r w:rsidRPr="00EF12E8">
        <w:rPr>
          <w:szCs w:val="28"/>
          <w:lang w:val="nl-NL"/>
        </w:rPr>
        <w:t>i)</w:t>
      </w:r>
      <w:r w:rsidR="008C1725" w:rsidRPr="00EF12E8">
        <w:rPr>
          <w:szCs w:val="28"/>
          <w:lang w:val="nl-NL"/>
        </w:rPr>
        <w:t xml:space="preserve"> Mức vốn còn lại do cấp tỉnh quản lý 60%, được phân bổ như sau:</w:t>
      </w:r>
    </w:p>
    <w:p w:rsidR="008C1725" w:rsidRPr="00EF12E8" w:rsidRDefault="008C1725" w:rsidP="00EF12E8">
      <w:pPr>
        <w:pStyle w:val="04Body"/>
        <w:widowControl w:val="0"/>
        <w:spacing w:after="0" w:line="276" w:lineRule="auto"/>
        <w:outlineLvl w:val="0"/>
        <w:rPr>
          <w:szCs w:val="28"/>
          <w:lang w:val="nl-NL"/>
        </w:rPr>
      </w:pPr>
      <w:r w:rsidRPr="00EF12E8">
        <w:rPr>
          <w:szCs w:val="28"/>
          <w:lang w:val="nl-NL"/>
        </w:rPr>
        <w:t>+ Phân bổ vốn để thanh toán khối lượng hoàn thành, chuyển tiếp và khởi công mới các dự án thuộc các ngành, đơn vị cấp tỉnh theo</w:t>
      </w:r>
      <w:r w:rsidR="00757706" w:rsidRPr="00EF12E8">
        <w:rPr>
          <w:szCs w:val="28"/>
          <w:lang w:val="nl-NL"/>
        </w:rPr>
        <w:t xml:space="preserve"> thứ tự ưu tiên </w:t>
      </w:r>
      <w:r w:rsidRPr="00EF12E8">
        <w:rPr>
          <w:szCs w:val="28"/>
          <w:lang w:val="nl-NL"/>
        </w:rPr>
        <w:t xml:space="preserve">quy định tại </w:t>
      </w:r>
      <w:r w:rsidR="00757706" w:rsidRPr="00EF12E8">
        <w:rPr>
          <w:szCs w:val="28"/>
          <w:lang w:val="nl-NL"/>
        </w:rPr>
        <w:t>Đi</w:t>
      </w:r>
      <w:r w:rsidRPr="00EF12E8">
        <w:rPr>
          <w:szCs w:val="28"/>
          <w:lang w:val="nl-NL"/>
        </w:rPr>
        <w:t xml:space="preserve">ều 7 </w:t>
      </w:r>
      <w:r w:rsidR="00757706" w:rsidRPr="00EF12E8">
        <w:rPr>
          <w:szCs w:val="28"/>
          <w:lang w:val="nl-NL"/>
        </w:rPr>
        <w:t xml:space="preserve">Dự thảo </w:t>
      </w:r>
      <w:r w:rsidRPr="00EF12E8">
        <w:rPr>
          <w:szCs w:val="28"/>
          <w:lang w:val="nl-NL"/>
        </w:rPr>
        <w:t>Nghị quyết.</w:t>
      </w:r>
    </w:p>
    <w:p w:rsidR="000400DE" w:rsidRPr="00EF12E8" w:rsidRDefault="008C1725" w:rsidP="00EF12E8">
      <w:pPr>
        <w:pStyle w:val="04Body"/>
        <w:widowControl w:val="0"/>
        <w:spacing w:after="0" w:line="276" w:lineRule="auto"/>
        <w:outlineLvl w:val="0"/>
        <w:rPr>
          <w:szCs w:val="28"/>
          <w:lang w:val="nl-NL"/>
        </w:rPr>
      </w:pPr>
      <w:r w:rsidRPr="00EF12E8">
        <w:rPr>
          <w:szCs w:val="28"/>
          <w:lang w:val="nl-NL"/>
        </w:rPr>
        <w:t>+ Phân bổ cho các nhiệm vụ, chương trình dự án cụ thể thuộc nhiệm vụ  chi đầu tư của cấp tỉnh. Bao gồ</w:t>
      </w:r>
      <w:r w:rsidR="000400DE" w:rsidRPr="00EF12E8">
        <w:rPr>
          <w:szCs w:val="28"/>
          <w:lang w:val="nl-NL"/>
        </w:rPr>
        <w:t>m: D</w:t>
      </w:r>
      <w:r w:rsidRPr="00EF12E8">
        <w:rPr>
          <w:szCs w:val="28"/>
          <w:lang w:val="nl-NL"/>
        </w:rPr>
        <w:t>ự án quan trọng cấp bách của địa phương; dự án kết nối, có tác động liên vùng có ý nghĩa thúc đẩy phát triển kinh tế xã hội nhanh, bền vững; phòng, chống, khắc phục hậu quả thiên tai, bảo vệ môi trường; bảo vệ chăm sóc sức khỏe nhân dân; ứng dụng khoa học công nghệ trên các lĩnh vực; các nhiệm vụ quy hoạch cấp tỉnh;</w:t>
      </w:r>
      <w:r w:rsidR="00296E2F" w:rsidRPr="00EF12E8">
        <w:rPr>
          <w:szCs w:val="28"/>
          <w:lang w:val="nl-NL"/>
        </w:rPr>
        <w:t xml:space="preserve"> nhiệm vụ thực hiện đề án tỉnh thí điểm đạt chuẩn nông thôn mới;</w:t>
      </w:r>
      <w:r w:rsidRPr="00EF12E8">
        <w:rPr>
          <w:szCs w:val="28"/>
          <w:lang w:val="nl-NL"/>
        </w:rPr>
        <w:t xml:space="preserve"> các dự án thực hiện các nhiệm vụ trọng tâm, chương trình trọng điểm và đột phá chiến lược theo Nghị quyết Đại hội Đảng bộ tỉnh lần thứ XIX và các nhiệm vụ đầu tư khác sử dụng vốn đầu tư công nguồn cân đối ngân sách địa phương theo quy định của pháp luật.</w:t>
      </w:r>
    </w:p>
    <w:p w:rsidR="00BF5261" w:rsidRPr="00EF12E8" w:rsidRDefault="00BF5261" w:rsidP="00EF12E8">
      <w:pPr>
        <w:pStyle w:val="04Body"/>
        <w:widowControl w:val="0"/>
        <w:spacing w:after="0" w:line="276" w:lineRule="auto"/>
        <w:outlineLvl w:val="0"/>
        <w:rPr>
          <w:szCs w:val="28"/>
          <w:lang w:val="nl-NL"/>
        </w:rPr>
      </w:pPr>
      <w:r w:rsidRPr="00EF12E8">
        <w:rPr>
          <w:b/>
          <w:bCs/>
          <w:lang w:val="pt-BR"/>
        </w:rPr>
        <w:t>4. Nguyên tắc, tiêu chí và định mức phân bổ vốn đầu tư công nguồn cân đối ngân sách địa phương bổ sung có mục tiêu cho ngân sách cấp huyện</w:t>
      </w:r>
      <w:r w:rsidR="000400DE" w:rsidRPr="00EF12E8">
        <w:rPr>
          <w:b/>
          <w:bCs/>
          <w:lang w:val="pt-BR"/>
        </w:rPr>
        <w:t>:</w:t>
      </w:r>
    </w:p>
    <w:p w:rsidR="00BF5261" w:rsidRPr="00EF12E8" w:rsidRDefault="00D257AC" w:rsidP="00EF12E8">
      <w:pPr>
        <w:spacing w:before="120" w:line="276" w:lineRule="auto"/>
        <w:ind w:firstLine="720"/>
        <w:jc w:val="both"/>
        <w:outlineLvl w:val="0"/>
        <w:rPr>
          <w:bCs/>
          <w:lang w:val="pt-BR"/>
        </w:rPr>
      </w:pPr>
      <w:r w:rsidRPr="00EF12E8">
        <w:rPr>
          <w:bCs/>
          <w:lang w:val="pt-BR"/>
        </w:rPr>
        <w:t>a)</w:t>
      </w:r>
      <w:r w:rsidR="00BF5261" w:rsidRPr="00EF12E8">
        <w:rPr>
          <w:bCs/>
          <w:lang w:val="pt-BR"/>
        </w:rPr>
        <w:t xml:space="preserve"> Nguyên tắc phân bổ vố</w:t>
      </w:r>
      <w:r w:rsidR="000400DE" w:rsidRPr="00EF12E8">
        <w:rPr>
          <w:bCs/>
          <w:lang w:val="pt-BR"/>
        </w:rPr>
        <w:t>n: T</w:t>
      </w:r>
      <w:r w:rsidR="00BF5261" w:rsidRPr="00EF12E8">
        <w:rPr>
          <w:bCs/>
          <w:lang w:val="pt-BR"/>
        </w:rPr>
        <w:t xml:space="preserve">hực hiện theo quy định tại </w:t>
      </w:r>
      <w:r w:rsidR="000400DE" w:rsidRPr="00EF12E8">
        <w:rPr>
          <w:bCs/>
          <w:lang w:val="pt-BR"/>
        </w:rPr>
        <w:t>Đ</w:t>
      </w:r>
      <w:r w:rsidR="007B315D" w:rsidRPr="00EF12E8">
        <w:rPr>
          <w:bCs/>
          <w:lang w:val="pt-BR"/>
        </w:rPr>
        <w:t>iểm 3 nêu trên</w:t>
      </w:r>
      <w:r w:rsidR="00BF5261" w:rsidRPr="00EF12E8">
        <w:rPr>
          <w:bCs/>
          <w:lang w:val="pt-BR"/>
        </w:rPr>
        <w:t xml:space="preserve"> </w:t>
      </w:r>
      <w:r w:rsidR="00633762" w:rsidRPr="00EF12E8">
        <w:rPr>
          <w:bCs/>
          <w:lang w:val="pt-BR"/>
        </w:rPr>
        <w:t xml:space="preserve">(Điều 5 Dự thảo Nghị quyết) </w:t>
      </w:r>
      <w:r w:rsidR="00BF5261" w:rsidRPr="00EF12E8">
        <w:rPr>
          <w:bCs/>
          <w:lang w:val="pt-BR"/>
        </w:rPr>
        <w:t>và các nguyên tắc cụ thể sau:</w:t>
      </w:r>
    </w:p>
    <w:p w:rsidR="00BF5261" w:rsidRPr="00EF12E8" w:rsidRDefault="00D257AC" w:rsidP="00EF12E8">
      <w:pPr>
        <w:spacing w:before="120" w:line="276" w:lineRule="auto"/>
        <w:ind w:firstLine="720"/>
        <w:jc w:val="both"/>
        <w:outlineLvl w:val="0"/>
        <w:rPr>
          <w:bCs/>
          <w:lang w:val="pt-BR"/>
        </w:rPr>
      </w:pPr>
      <w:r w:rsidRPr="00EF12E8">
        <w:rPr>
          <w:bCs/>
          <w:lang w:val="pt-BR"/>
        </w:rPr>
        <w:lastRenderedPageBreak/>
        <w:t>-</w:t>
      </w:r>
      <w:r w:rsidR="00BF5261" w:rsidRPr="00EF12E8">
        <w:rPr>
          <w:bCs/>
          <w:lang w:val="pt-BR"/>
        </w:rPr>
        <w:t xml:space="preserve"> Bảo đảm tương quan hợp lý trong việc cân đối nguồn lực để đầu tư phát triển giữa các vùng đô thị, vùng có số thu ngân sách lớn với việc ưu tiên các vùng miền núi, biên giới, vùng có điều kiện kinh tế - xã hội khó khăn, góp phần thu hẹp khoảng cách về trình độ phát triển, thu nhập và mức sống của dân cư giữa các vùng miền trong toàn tỉnh.</w:t>
      </w:r>
    </w:p>
    <w:p w:rsidR="00BF5261" w:rsidRPr="00EF12E8" w:rsidRDefault="00D257AC" w:rsidP="00EF12E8">
      <w:pPr>
        <w:spacing w:before="120" w:line="276" w:lineRule="auto"/>
        <w:ind w:firstLine="720"/>
        <w:jc w:val="both"/>
        <w:outlineLvl w:val="0"/>
        <w:rPr>
          <w:bCs/>
          <w:lang w:val="pt-BR"/>
        </w:rPr>
      </w:pPr>
      <w:r w:rsidRPr="00EF12E8">
        <w:rPr>
          <w:bCs/>
          <w:lang w:val="pt-BR"/>
        </w:rPr>
        <w:t>-</w:t>
      </w:r>
      <w:r w:rsidR="00BF5261" w:rsidRPr="00EF12E8">
        <w:rPr>
          <w:bCs/>
          <w:lang w:val="pt-BR"/>
        </w:rPr>
        <w:t xml:space="preserve"> Các địa phương (cấp huyện) chịu trách nhiệm toàn diện trong việc quản lý, sử dụng nguồn vốn bổ sung có mục tiêu theo đúng quy định của pháp luật và theo các nguyên tắc, thứ tự ưu tiên quy định tại </w:t>
      </w:r>
      <w:r w:rsidR="00FE5888" w:rsidRPr="00EF12E8">
        <w:rPr>
          <w:bCs/>
          <w:lang w:val="pt-BR"/>
        </w:rPr>
        <w:t xml:space="preserve">Dự thảo </w:t>
      </w:r>
      <w:r w:rsidR="00BF5261" w:rsidRPr="00EF12E8">
        <w:rPr>
          <w:bCs/>
          <w:lang w:val="pt-BR"/>
        </w:rPr>
        <w:t xml:space="preserve">Nghị quyết. Ưu tiên bố trí vốn cho các nhiệm vụ quy hoạch cấp huyện, </w:t>
      </w:r>
      <w:r w:rsidR="008D153B" w:rsidRPr="00EF12E8">
        <w:rPr>
          <w:bCs/>
          <w:lang w:val="pt-BR"/>
        </w:rPr>
        <w:t xml:space="preserve">nhiệm vụ xây dựng nông thôn mới, </w:t>
      </w:r>
      <w:r w:rsidR="00BF5261" w:rsidRPr="00EF12E8">
        <w:rPr>
          <w:bCs/>
          <w:lang w:val="pt-BR"/>
        </w:rPr>
        <w:t>các nhiệm vụ trọng tâm, chương trình trọng điểm theo Nghị quyết Đại hội Đảng bộ huyện; các nhiệm vụ đầu tư nhằm khai thác, phát huy hiệu quả tiềm năng, lợi thế của từng địa phương; đảm bảo phát triển hài hòa giữa kinh tế và các lĩnh vực văn hóa, xã hội, an ninh, quốc phòng.</w:t>
      </w:r>
    </w:p>
    <w:p w:rsidR="00BF5261" w:rsidRPr="00EF12E8" w:rsidRDefault="00D257AC" w:rsidP="00EF12E8">
      <w:pPr>
        <w:spacing w:before="120" w:line="276" w:lineRule="auto"/>
        <w:ind w:firstLine="720"/>
        <w:jc w:val="both"/>
        <w:outlineLvl w:val="0"/>
        <w:rPr>
          <w:b/>
          <w:bCs/>
          <w:lang w:val="pt-BR"/>
        </w:rPr>
      </w:pPr>
      <w:r w:rsidRPr="00EF12E8">
        <w:rPr>
          <w:bCs/>
          <w:lang w:val="pt-BR"/>
        </w:rPr>
        <w:t>-</w:t>
      </w:r>
      <w:r w:rsidR="00BF5261" w:rsidRPr="00EF12E8">
        <w:rPr>
          <w:bCs/>
          <w:lang w:val="pt-BR"/>
        </w:rPr>
        <w:t xml:space="preserve"> </w:t>
      </w:r>
      <w:r w:rsidR="00FB4AD5" w:rsidRPr="00EF12E8">
        <w:rPr>
          <w:bCs/>
          <w:lang w:val="pt-BR"/>
        </w:rPr>
        <w:t>Trên cơ sở mức vốn bổ sung có mục tiêu cho ngân sách cấp huyện được Hội đồng nhân dân tỉnh giao trong kế hoạch đầu tư công trung hạn giai đoạn 2021</w:t>
      </w:r>
      <w:r w:rsidR="00083734" w:rsidRPr="00EF12E8">
        <w:rPr>
          <w:bCs/>
          <w:lang w:val="pt-BR"/>
        </w:rPr>
        <w:t xml:space="preserve"> </w:t>
      </w:r>
      <w:r w:rsidR="00FB4AD5" w:rsidRPr="00EF12E8">
        <w:rPr>
          <w:bCs/>
          <w:lang w:val="pt-BR"/>
        </w:rPr>
        <w:t>-</w:t>
      </w:r>
      <w:r w:rsidR="00083734" w:rsidRPr="00EF12E8">
        <w:rPr>
          <w:bCs/>
          <w:lang w:val="pt-BR"/>
        </w:rPr>
        <w:t xml:space="preserve"> </w:t>
      </w:r>
      <w:r w:rsidR="00FB4AD5" w:rsidRPr="00EF12E8">
        <w:rPr>
          <w:bCs/>
          <w:lang w:val="pt-BR"/>
        </w:rPr>
        <w:t xml:space="preserve">2025, </w:t>
      </w:r>
      <w:r w:rsidR="00FB4AD5" w:rsidRPr="00EF12E8">
        <w:rPr>
          <w:b/>
          <w:bCs/>
          <w:lang w:val="pt-BR"/>
        </w:rPr>
        <w:t xml:space="preserve">Ủy ban nhân dân tỉnh giao chi tiết danh mục và mức vốn bố trí cho từng dự án trong kế hoạch </w:t>
      </w:r>
      <w:r w:rsidR="008D153B" w:rsidRPr="00EF12E8">
        <w:rPr>
          <w:b/>
          <w:bCs/>
          <w:lang w:val="pt-BR"/>
        </w:rPr>
        <w:t>0</w:t>
      </w:r>
      <w:r w:rsidR="00FB4AD5" w:rsidRPr="00EF12E8">
        <w:rPr>
          <w:b/>
          <w:bCs/>
          <w:lang w:val="pt-BR"/>
        </w:rPr>
        <w:t>5 năm để kiểm soát</w:t>
      </w:r>
      <w:r w:rsidR="00BF5261" w:rsidRPr="00EF12E8">
        <w:rPr>
          <w:b/>
          <w:bCs/>
          <w:lang w:val="pt-BR"/>
        </w:rPr>
        <w:t>.</w:t>
      </w:r>
    </w:p>
    <w:p w:rsidR="00001A59" w:rsidRPr="00EF12E8" w:rsidRDefault="00001A59" w:rsidP="00EF12E8">
      <w:pPr>
        <w:spacing w:before="120" w:line="276" w:lineRule="auto"/>
        <w:ind w:firstLine="720"/>
        <w:jc w:val="both"/>
        <w:outlineLvl w:val="0"/>
        <w:rPr>
          <w:bCs/>
          <w:i/>
          <w:lang w:val="pt-BR"/>
        </w:rPr>
      </w:pPr>
      <w:r w:rsidRPr="00EF12E8">
        <w:rPr>
          <w:bCs/>
          <w:i/>
          <w:lang w:val="pt-BR"/>
        </w:rPr>
        <w:t>Để kiểm soát việc xử lý nợ đọng xây dựng cơ bản</w:t>
      </w:r>
      <w:r w:rsidR="00C27517" w:rsidRPr="00EF12E8">
        <w:rPr>
          <w:bCs/>
          <w:i/>
          <w:lang w:val="pt-BR"/>
        </w:rPr>
        <w:t>,</w:t>
      </w:r>
      <w:r w:rsidR="005A2FEC" w:rsidRPr="00EF12E8">
        <w:rPr>
          <w:bCs/>
          <w:i/>
          <w:lang w:val="pt-BR"/>
        </w:rPr>
        <w:t xml:space="preserve"> </w:t>
      </w:r>
      <w:r w:rsidRPr="00EF12E8">
        <w:rPr>
          <w:bCs/>
          <w:i/>
          <w:lang w:val="pt-BR"/>
        </w:rPr>
        <w:t>thanh toán khối lượng hoàn thành</w:t>
      </w:r>
      <w:r w:rsidR="00655ED2" w:rsidRPr="00EF12E8">
        <w:rPr>
          <w:bCs/>
          <w:i/>
          <w:lang w:val="pt-BR"/>
        </w:rPr>
        <w:t>, chuyển tiếp</w:t>
      </w:r>
      <w:r w:rsidRPr="00EF12E8">
        <w:rPr>
          <w:bCs/>
          <w:i/>
          <w:lang w:val="pt-BR"/>
        </w:rPr>
        <w:t xml:space="preserve"> các dự án</w:t>
      </w:r>
      <w:r w:rsidR="00655ED2" w:rsidRPr="00EF12E8">
        <w:rPr>
          <w:bCs/>
          <w:i/>
          <w:lang w:val="pt-BR"/>
        </w:rPr>
        <w:t xml:space="preserve"> dở dang </w:t>
      </w:r>
      <w:r w:rsidRPr="00EF12E8">
        <w:rPr>
          <w:bCs/>
          <w:i/>
          <w:lang w:val="pt-BR"/>
        </w:rPr>
        <w:t>do cấp tỉnh quyết định đầu tư</w:t>
      </w:r>
      <w:r w:rsidR="005A2FEC" w:rsidRPr="00EF12E8">
        <w:rPr>
          <w:bCs/>
          <w:i/>
          <w:lang w:val="pt-BR"/>
        </w:rPr>
        <w:t xml:space="preserve"> </w:t>
      </w:r>
      <w:r w:rsidRPr="00EF12E8">
        <w:rPr>
          <w:bCs/>
          <w:i/>
          <w:lang w:val="pt-BR"/>
        </w:rPr>
        <w:t>(</w:t>
      </w:r>
      <w:r w:rsidR="005A2FEC" w:rsidRPr="00EF12E8">
        <w:rPr>
          <w:bCs/>
          <w:i/>
          <w:lang w:val="pt-BR"/>
        </w:rPr>
        <w:t>thuộc phân cấp quản lý công trình của cấp huyện</w:t>
      </w:r>
      <w:r w:rsidRPr="00EF12E8">
        <w:rPr>
          <w:bCs/>
          <w:i/>
          <w:lang w:val="pt-BR"/>
        </w:rPr>
        <w:t>), đề nghị</w:t>
      </w:r>
      <w:r w:rsidR="00E665A8" w:rsidRPr="00EF12E8">
        <w:rPr>
          <w:bCs/>
          <w:i/>
          <w:lang w:val="pt-BR"/>
        </w:rPr>
        <w:t xml:space="preserve"> HĐN</w:t>
      </w:r>
      <w:r w:rsidR="008B22D8" w:rsidRPr="00EF12E8">
        <w:rPr>
          <w:bCs/>
          <w:i/>
          <w:lang w:val="pt-BR"/>
        </w:rPr>
        <w:t>D</w:t>
      </w:r>
      <w:r w:rsidR="00E665A8" w:rsidRPr="00EF12E8">
        <w:rPr>
          <w:bCs/>
          <w:i/>
          <w:lang w:val="pt-BR"/>
        </w:rPr>
        <w:t xml:space="preserve"> tỉnh</w:t>
      </w:r>
      <w:r w:rsidRPr="00EF12E8">
        <w:rPr>
          <w:bCs/>
          <w:i/>
          <w:lang w:val="pt-BR"/>
        </w:rPr>
        <w:t xml:space="preserve"> giao UBND tỉnh kiểm soát về danh mục dự án sử dụng nguồn vốn bổ sung có mục tiêu cho cấp huyện trong kế hoạch 05 năm</w:t>
      </w:r>
      <w:r w:rsidR="000B5F2B" w:rsidRPr="00EF12E8">
        <w:rPr>
          <w:bCs/>
          <w:i/>
          <w:lang w:val="pt-BR"/>
        </w:rPr>
        <w:t xml:space="preserve"> theo </w:t>
      </w:r>
      <w:r w:rsidR="003D0AC8" w:rsidRPr="00EF12E8">
        <w:rPr>
          <w:bCs/>
          <w:i/>
          <w:lang w:val="pt-BR"/>
        </w:rPr>
        <w:t>quy định nêu</w:t>
      </w:r>
      <w:r w:rsidR="008331F0" w:rsidRPr="00EF12E8">
        <w:rPr>
          <w:bCs/>
          <w:i/>
          <w:lang w:val="pt-BR"/>
        </w:rPr>
        <w:t xml:space="preserve"> </w:t>
      </w:r>
      <w:r w:rsidRPr="00EF12E8">
        <w:rPr>
          <w:bCs/>
          <w:i/>
          <w:lang w:val="pt-BR"/>
        </w:rPr>
        <w:t>trên.</w:t>
      </w:r>
    </w:p>
    <w:p w:rsidR="00BF5261" w:rsidRPr="00EF12E8" w:rsidRDefault="00D257AC" w:rsidP="00EF12E8">
      <w:pPr>
        <w:pStyle w:val="04Body"/>
        <w:widowControl w:val="0"/>
        <w:spacing w:after="0" w:line="276" w:lineRule="auto"/>
        <w:outlineLvl w:val="0"/>
        <w:rPr>
          <w:szCs w:val="28"/>
          <w:lang w:val="en-US"/>
        </w:rPr>
      </w:pPr>
      <w:r w:rsidRPr="00EF12E8">
        <w:rPr>
          <w:szCs w:val="28"/>
          <w:lang w:val="en-US"/>
        </w:rPr>
        <w:t>b)</w:t>
      </w:r>
      <w:r w:rsidR="00BF5261" w:rsidRPr="00EF12E8">
        <w:rPr>
          <w:szCs w:val="28"/>
          <w:lang w:val="en-US"/>
        </w:rPr>
        <w:t xml:space="preserve"> Tiêu chí, định mức phân bổ vốn:</w:t>
      </w:r>
    </w:p>
    <w:p w:rsidR="00BF5261" w:rsidRPr="00EF12E8" w:rsidRDefault="00BF5261" w:rsidP="00EF12E8">
      <w:pPr>
        <w:pStyle w:val="04Body"/>
        <w:widowControl w:val="0"/>
        <w:spacing w:after="0" w:line="276" w:lineRule="auto"/>
        <w:outlineLvl w:val="0"/>
        <w:rPr>
          <w:szCs w:val="28"/>
          <w:lang w:val="en-US"/>
        </w:rPr>
      </w:pPr>
      <w:r w:rsidRPr="00EF12E8">
        <w:rPr>
          <w:szCs w:val="28"/>
          <w:lang w:val="en-US"/>
        </w:rPr>
        <w:t>Việc phân bổ vốn đầu tư công nguồn cân đối ngân sách địa phương bổ sung có mục tiêu cho ngân sách cấp huyện được xác định trên cơ sở tính điểm theo 05 nhóm tiêu chí sau:</w:t>
      </w:r>
    </w:p>
    <w:p w:rsidR="00BF5261" w:rsidRPr="00EF12E8" w:rsidRDefault="00D257AC" w:rsidP="00EF12E8">
      <w:pPr>
        <w:pStyle w:val="04Body"/>
        <w:widowControl w:val="0"/>
        <w:spacing w:after="0" w:line="276" w:lineRule="auto"/>
        <w:outlineLvl w:val="0"/>
        <w:rPr>
          <w:szCs w:val="28"/>
          <w:lang w:val="en-US"/>
        </w:rPr>
      </w:pPr>
      <w:r w:rsidRPr="00EF12E8">
        <w:rPr>
          <w:szCs w:val="28"/>
          <w:lang w:val="en-US"/>
        </w:rPr>
        <w:t>-</w:t>
      </w:r>
      <w:r w:rsidR="00BF5261" w:rsidRPr="00EF12E8">
        <w:rPr>
          <w:szCs w:val="28"/>
          <w:lang w:val="en-US"/>
        </w:rPr>
        <w:t xml:space="preserve"> Tiêu chí dân số, gồm 2 tiêu chí: Số</w:t>
      </w:r>
      <w:r w:rsidR="00083734" w:rsidRPr="00EF12E8">
        <w:rPr>
          <w:szCs w:val="28"/>
          <w:lang w:val="en-US"/>
        </w:rPr>
        <w:t xml:space="preserve"> dân trung bình; </w:t>
      </w:r>
      <w:r w:rsidR="00BF5261" w:rsidRPr="00EF12E8">
        <w:rPr>
          <w:szCs w:val="28"/>
          <w:lang w:val="en-US"/>
        </w:rPr>
        <w:t>số người dân tộc thiểu số của các đị</w:t>
      </w:r>
      <w:r w:rsidR="00083734" w:rsidRPr="00EF12E8">
        <w:rPr>
          <w:szCs w:val="28"/>
          <w:lang w:val="en-US"/>
        </w:rPr>
        <w:t>a phương.</w:t>
      </w:r>
    </w:p>
    <w:p w:rsidR="00BF5261" w:rsidRPr="00EF12E8" w:rsidRDefault="00D257AC" w:rsidP="00EF12E8">
      <w:pPr>
        <w:pStyle w:val="04Body"/>
        <w:widowControl w:val="0"/>
        <w:spacing w:after="0" w:line="276" w:lineRule="auto"/>
        <w:outlineLvl w:val="0"/>
        <w:rPr>
          <w:szCs w:val="28"/>
          <w:lang w:val="en-US"/>
        </w:rPr>
      </w:pPr>
      <w:r w:rsidRPr="00EF12E8">
        <w:rPr>
          <w:szCs w:val="28"/>
          <w:lang w:val="en-US"/>
        </w:rPr>
        <w:t>-</w:t>
      </w:r>
      <w:r w:rsidR="00BF5261" w:rsidRPr="00EF12E8">
        <w:rPr>
          <w:szCs w:val="28"/>
          <w:lang w:val="en-US"/>
        </w:rPr>
        <w:t xml:space="preserve"> Tiêu chí về trình độ phát triển, gồm 3 tiêu chí: Tỷ lệ hộ</w:t>
      </w:r>
      <w:r w:rsidR="00083734" w:rsidRPr="00EF12E8">
        <w:rPr>
          <w:szCs w:val="28"/>
          <w:lang w:val="en-US"/>
        </w:rPr>
        <w:t xml:space="preserve"> nghèo; </w:t>
      </w:r>
      <w:r w:rsidR="00BF5261" w:rsidRPr="00EF12E8">
        <w:rPr>
          <w:szCs w:val="28"/>
          <w:lang w:val="en-US"/>
        </w:rPr>
        <w:t>số thu nội địa (không bao gồm số thu từ sử dụng đất, xổ số kiến thiế</w:t>
      </w:r>
      <w:r w:rsidR="00083734" w:rsidRPr="00EF12E8">
        <w:rPr>
          <w:szCs w:val="28"/>
          <w:lang w:val="en-US"/>
        </w:rPr>
        <w:t xml:space="preserve">t); </w:t>
      </w:r>
      <w:r w:rsidR="00BF5261" w:rsidRPr="00EF12E8">
        <w:rPr>
          <w:szCs w:val="28"/>
          <w:lang w:val="en-US"/>
        </w:rPr>
        <w:t>tỷ lệ bổ sung cân đối từ ngân sách tỉnh so với tổng chi ngân sách địa phương.</w:t>
      </w:r>
    </w:p>
    <w:p w:rsidR="00BF5261" w:rsidRPr="00EF12E8" w:rsidRDefault="00D257AC" w:rsidP="00EF12E8">
      <w:pPr>
        <w:pStyle w:val="04Body"/>
        <w:widowControl w:val="0"/>
        <w:spacing w:after="0" w:line="276" w:lineRule="auto"/>
        <w:outlineLvl w:val="0"/>
        <w:rPr>
          <w:szCs w:val="28"/>
          <w:lang w:val="en-US"/>
        </w:rPr>
      </w:pPr>
      <w:r w:rsidRPr="00EF12E8">
        <w:rPr>
          <w:szCs w:val="28"/>
          <w:lang w:val="en-US"/>
        </w:rPr>
        <w:t>-</w:t>
      </w:r>
      <w:r w:rsidR="00BF5261" w:rsidRPr="00EF12E8">
        <w:rPr>
          <w:szCs w:val="28"/>
          <w:lang w:val="en-US"/>
        </w:rPr>
        <w:t xml:space="preserve"> Tiêu chí diện tích, gồm 2 tiêu chí: Diện tích đất tự</w:t>
      </w:r>
      <w:r w:rsidR="00083734" w:rsidRPr="00EF12E8">
        <w:rPr>
          <w:szCs w:val="28"/>
          <w:lang w:val="en-US"/>
        </w:rPr>
        <w:t xml:space="preserve"> nhiên; </w:t>
      </w:r>
      <w:r w:rsidR="00BF5261" w:rsidRPr="00EF12E8">
        <w:rPr>
          <w:szCs w:val="28"/>
          <w:lang w:val="en-US"/>
        </w:rPr>
        <w:t>tỷ lệ che phủ rừng của các đị</w:t>
      </w:r>
      <w:r w:rsidR="00083734" w:rsidRPr="00EF12E8">
        <w:rPr>
          <w:szCs w:val="28"/>
          <w:lang w:val="en-US"/>
        </w:rPr>
        <w:t>a phương.</w:t>
      </w:r>
    </w:p>
    <w:p w:rsidR="00BF5261" w:rsidRPr="00EF12E8" w:rsidRDefault="00D257AC" w:rsidP="00EF12E8">
      <w:pPr>
        <w:pStyle w:val="04Body"/>
        <w:widowControl w:val="0"/>
        <w:spacing w:after="0" w:line="276" w:lineRule="auto"/>
        <w:outlineLvl w:val="0"/>
        <w:rPr>
          <w:szCs w:val="28"/>
          <w:lang w:val="en-US"/>
        </w:rPr>
      </w:pPr>
      <w:r w:rsidRPr="00EF12E8">
        <w:rPr>
          <w:szCs w:val="28"/>
          <w:lang w:val="en-US"/>
        </w:rPr>
        <w:t>-</w:t>
      </w:r>
      <w:r w:rsidR="00BF5261" w:rsidRPr="00EF12E8">
        <w:rPr>
          <w:szCs w:val="28"/>
          <w:lang w:val="en-US"/>
        </w:rPr>
        <w:t xml:space="preserve"> Tiêu chí đơn vị hành chính cấp xã, gồm </w:t>
      </w:r>
      <w:r w:rsidR="008E30DA" w:rsidRPr="00EF12E8">
        <w:rPr>
          <w:szCs w:val="28"/>
          <w:lang w:val="en-US"/>
        </w:rPr>
        <w:t>3</w:t>
      </w:r>
      <w:r w:rsidR="00BF5261" w:rsidRPr="00EF12E8">
        <w:rPr>
          <w:szCs w:val="28"/>
          <w:lang w:val="en-US"/>
        </w:rPr>
        <w:t xml:space="preserve"> tiêu chí: Số đơn vị hành chính cấp xã; số xã miền núi, vùng cao; số xã biên giới đất liề</w:t>
      </w:r>
      <w:r w:rsidR="00083734" w:rsidRPr="00EF12E8">
        <w:rPr>
          <w:szCs w:val="28"/>
          <w:lang w:val="en-US"/>
        </w:rPr>
        <w:t>n.</w:t>
      </w:r>
    </w:p>
    <w:p w:rsidR="00BF5261" w:rsidRPr="00EF12E8" w:rsidRDefault="00D257AC" w:rsidP="00EF12E8">
      <w:pPr>
        <w:pStyle w:val="04Body"/>
        <w:widowControl w:val="0"/>
        <w:spacing w:after="0" w:line="276" w:lineRule="auto"/>
        <w:outlineLvl w:val="0"/>
        <w:rPr>
          <w:i/>
          <w:szCs w:val="28"/>
          <w:lang w:val="en-US"/>
        </w:rPr>
      </w:pPr>
      <w:r w:rsidRPr="00EF12E8">
        <w:rPr>
          <w:szCs w:val="28"/>
          <w:lang w:val="en-US"/>
        </w:rPr>
        <w:lastRenderedPageBreak/>
        <w:t>-</w:t>
      </w:r>
      <w:r w:rsidR="00BF5261" w:rsidRPr="00EF12E8">
        <w:rPr>
          <w:szCs w:val="28"/>
          <w:lang w:val="en-US"/>
        </w:rPr>
        <w:t xml:space="preserve"> Tiêu chí bổ sung, bao gồm: Phát triển đô thị</w:t>
      </w:r>
      <w:r w:rsidR="00083734" w:rsidRPr="00EF12E8">
        <w:rPr>
          <w:szCs w:val="28"/>
          <w:lang w:val="en-US"/>
        </w:rPr>
        <w:t>; x</w:t>
      </w:r>
      <w:r w:rsidR="00BF5261" w:rsidRPr="00EF12E8">
        <w:rPr>
          <w:szCs w:val="28"/>
          <w:lang w:val="en-US"/>
        </w:rPr>
        <w:t>ây dựng huyện đạt chuẩn nông thôn mới và huyện đạt chuẩn nông thôn mới kiểu mẫu</w:t>
      </w:r>
      <w:r w:rsidR="0043278B" w:rsidRPr="00EF12E8">
        <w:rPr>
          <w:szCs w:val="28"/>
          <w:lang w:val="en-US"/>
        </w:rPr>
        <w:t>.</w:t>
      </w:r>
      <w:r w:rsidR="00745291" w:rsidRPr="00EF12E8">
        <w:rPr>
          <w:szCs w:val="28"/>
          <w:lang w:val="en-US"/>
        </w:rPr>
        <w:t xml:space="preserve"> </w:t>
      </w:r>
    </w:p>
    <w:p w:rsidR="00BF5261" w:rsidRPr="00EF12E8" w:rsidRDefault="00D257AC" w:rsidP="00EF12E8">
      <w:pPr>
        <w:pStyle w:val="04Body"/>
        <w:widowControl w:val="0"/>
        <w:spacing w:after="0" w:line="276" w:lineRule="auto"/>
        <w:outlineLvl w:val="0"/>
        <w:rPr>
          <w:szCs w:val="28"/>
          <w:lang w:val="en-US"/>
        </w:rPr>
      </w:pPr>
      <w:r w:rsidRPr="00EF12E8">
        <w:rPr>
          <w:szCs w:val="28"/>
          <w:lang w:val="en-US"/>
        </w:rPr>
        <w:t>c)</w:t>
      </w:r>
      <w:r w:rsidR="00BF5261" w:rsidRPr="00EF12E8">
        <w:rPr>
          <w:szCs w:val="28"/>
          <w:lang w:val="en-US"/>
        </w:rPr>
        <w:t xml:space="preserve"> Xác định số điểm của từng tiêu chí cụ thể:</w:t>
      </w:r>
    </w:p>
    <w:p w:rsidR="00BF5261" w:rsidRPr="00EF12E8" w:rsidRDefault="00D257AC" w:rsidP="00EF12E8">
      <w:pPr>
        <w:pStyle w:val="04Body"/>
        <w:widowControl w:val="0"/>
        <w:spacing w:after="0" w:line="276" w:lineRule="auto"/>
        <w:outlineLvl w:val="0"/>
        <w:rPr>
          <w:b/>
          <w:szCs w:val="28"/>
          <w:lang w:val="en-US"/>
        </w:rPr>
      </w:pPr>
      <w:r w:rsidRPr="00EF12E8">
        <w:rPr>
          <w:b/>
          <w:szCs w:val="28"/>
          <w:lang w:val="en-US"/>
        </w:rPr>
        <w:t>-</w:t>
      </w:r>
      <w:r w:rsidR="00BF5261" w:rsidRPr="00EF12E8">
        <w:rPr>
          <w:b/>
          <w:szCs w:val="28"/>
          <w:lang w:val="en-US"/>
        </w:rPr>
        <w:t xml:space="preserve"> Tiêu chí dân số:</w:t>
      </w:r>
    </w:p>
    <w:p w:rsidR="00BF5261" w:rsidRPr="00EF12E8" w:rsidRDefault="00D257AC" w:rsidP="00EF12E8">
      <w:pPr>
        <w:pStyle w:val="04Body"/>
        <w:widowControl w:val="0"/>
        <w:spacing w:after="0" w:line="276" w:lineRule="auto"/>
        <w:outlineLvl w:val="0"/>
        <w:rPr>
          <w:szCs w:val="28"/>
          <w:lang w:val="en-US"/>
        </w:rPr>
      </w:pPr>
      <w:r w:rsidRPr="00EF12E8">
        <w:rPr>
          <w:szCs w:val="28"/>
          <w:lang w:val="en-US"/>
        </w:rPr>
        <w:t>+</w:t>
      </w:r>
      <w:r w:rsidR="00BF5261" w:rsidRPr="00EF12E8">
        <w:rPr>
          <w:szCs w:val="28"/>
          <w:lang w:val="en-US"/>
        </w:rPr>
        <w:t xml:space="preserve"> Điểm của tiêu chí dân số trung bình</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28" w:type="dxa"/>
          <w:bottom w:w="28" w:type="dxa"/>
        </w:tblCellMar>
        <w:tblLook w:val="0000" w:firstRow="0" w:lastRow="0" w:firstColumn="0" w:lastColumn="0" w:noHBand="0" w:noVBand="0"/>
      </w:tblPr>
      <w:tblGrid>
        <w:gridCol w:w="7250"/>
        <w:gridCol w:w="2153"/>
      </w:tblGrid>
      <w:tr w:rsidR="00BF5261" w:rsidRPr="008D7AF2" w:rsidTr="009E5376">
        <w:tc>
          <w:tcPr>
            <w:tcW w:w="3855" w:type="pct"/>
            <w:shd w:val="clear" w:color="auto" w:fill="auto"/>
            <w:vAlign w:val="center"/>
          </w:tcPr>
          <w:p w:rsidR="00BF5261" w:rsidRPr="008D7AF2" w:rsidRDefault="00BF5261" w:rsidP="00EF12E8">
            <w:pPr>
              <w:pStyle w:val="Other0"/>
              <w:widowControl/>
              <w:shd w:val="clear" w:color="auto" w:fill="auto"/>
              <w:spacing w:before="120" w:after="0" w:line="276" w:lineRule="auto"/>
              <w:ind w:firstLine="0"/>
              <w:jc w:val="center"/>
              <w:rPr>
                <w:b/>
              </w:rPr>
            </w:pPr>
            <w:r w:rsidRPr="008D7AF2">
              <w:rPr>
                <w:rStyle w:val="Other"/>
                <w:b/>
                <w:color w:val="000000"/>
                <w:lang w:eastAsia="vi-VN"/>
              </w:rPr>
              <w:t>Số dân trung bình</w:t>
            </w:r>
          </w:p>
        </w:tc>
        <w:tc>
          <w:tcPr>
            <w:tcW w:w="1145" w:type="pct"/>
            <w:shd w:val="clear" w:color="auto" w:fill="auto"/>
            <w:vAlign w:val="center"/>
          </w:tcPr>
          <w:p w:rsidR="00BF5261" w:rsidRPr="008D7AF2" w:rsidRDefault="00BF5261" w:rsidP="00EF12E8">
            <w:pPr>
              <w:pStyle w:val="Other0"/>
              <w:widowControl/>
              <w:shd w:val="clear" w:color="auto" w:fill="auto"/>
              <w:spacing w:before="120" w:after="0" w:line="276" w:lineRule="auto"/>
              <w:ind w:firstLine="0"/>
              <w:jc w:val="center"/>
              <w:rPr>
                <w:b/>
              </w:rPr>
            </w:pPr>
            <w:r w:rsidRPr="008D7AF2">
              <w:rPr>
                <w:rStyle w:val="Other"/>
                <w:b/>
                <w:color w:val="000000"/>
                <w:lang w:eastAsia="vi-VN"/>
              </w:rPr>
              <w:t>Điểm</w:t>
            </w:r>
          </w:p>
        </w:tc>
      </w:tr>
      <w:tr w:rsidR="00BF5261" w:rsidRPr="008D7AF2" w:rsidTr="009E5376">
        <w:tc>
          <w:tcPr>
            <w:tcW w:w="3855" w:type="pct"/>
            <w:shd w:val="clear" w:color="auto" w:fill="auto"/>
            <w:vAlign w:val="center"/>
          </w:tcPr>
          <w:p w:rsidR="00BF5261" w:rsidRPr="008D7AF2" w:rsidRDefault="00BF5261" w:rsidP="00EF12E8">
            <w:pPr>
              <w:pStyle w:val="Other0"/>
              <w:widowControl/>
              <w:shd w:val="clear" w:color="auto" w:fill="auto"/>
              <w:spacing w:before="120" w:after="0" w:line="276" w:lineRule="auto"/>
              <w:ind w:firstLine="0"/>
              <w:jc w:val="both"/>
            </w:pPr>
            <w:r w:rsidRPr="008D7AF2">
              <w:rPr>
                <w:rStyle w:val="Other"/>
                <w:color w:val="000000"/>
                <w:lang w:eastAsia="vi-VN"/>
              </w:rPr>
              <w:t>Có dân số trung bình đến 30.000 người</w:t>
            </w:r>
          </w:p>
        </w:tc>
        <w:tc>
          <w:tcPr>
            <w:tcW w:w="1145" w:type="pct"/>
            <w:shd w:val="clear" w:color="auto" w:fill="auto"/>
            <w:vAlign w:val="center"/>
          </w:tcPr>
          <w:p w:rsidR="00BF5261" w:rsidRPr="008D7AF2" w:rsidRDefault="00BF5261" w:rsidP="00EF12E8">
            <w:pPr>
              <w:pStyle w:val="Other0"/>
              <w:widowControl/>
              <w:shd w:val="clear" w:color="auto" w:fill="auto"/>
              <w:spacing w:before="120" w:after="0" w:line="276" w:lineRule="auto"/>
              <w:ind w:firstLine="0"/>
              <w:jc w:val="center"/>
            </w:pPr>
            <w:r w:rsidRPr="008D7AF2">
              <w:rPr>
                <w:rStyle w:val="Other"/>
                <w:color w:val="000000"/>
                <w:lang w:eastAsia="vi-VN"/>
              </w:rPr>
              <w:t>10</w:t>
            </w:r>
          </w:p>
        </w:tc>
      </w:tr>
      <w:tr w:rsidR="00BF5261" w:rsidRPr="008D7AF2" w:rsidTr="009E5376">
        <w:tc>
          <w:tcPr>
            <w:tcW w:w="3855" w:type="pct"/>
            <w:shd w:val="clear" w:color="auto" w:fill="auto"/>
            <w:vAlign w:val="center"/>
          </w:tcPr>
          <w:p w:rsidR="00BF5261" w:rsidRPr="008D7AF2" w:rsidRDefault="00BF5261" w:rsidP="00EF12E8">
            <w:pPr>
              <w:pStyle w:val="Other0"/>
              <w:widowControl/>
              <w:shd w:val="clear" w:color="auto" w:fill="auto"/>
              <w:spacing w:before="120" w:after="0" w:line="276" w:lineRule="auto"/>
              <w:ind w:firstLine="0"/>
              <w:jc w:val="both"/>
            </w:pPr>
            <w:r w:rsidRPr="008D7AF2">
              <w:rPr>
                <w:rStyle w:val="Other"/>
                <w:color w:val="000000"/>
                <w:lang w:eastAsia="vi-VN"/>
              </w:rPr>
              <w:t>Trên 30.000 đến 60.000 người, từ 0 đến 30.000 người được tính 10 điểm, phần còn lại cứ 10.000 người tăng thêm được tính</w:t>
            </w:r>
          </w:p>
        </w:tc>
        <w:tc>
          <w:tcPr>
            <w:tcW w:w="1145" w:type="pct"/>
            <w:shd w:val="clear" w:color="auto" w:fill="auto"/>
            <w:vAlign w:val="center"/>
          </w:tcPr>
          <w:p w:rsidR="00BF5261" w:rsidRPr="008D7AF2" w:rsidRDefault="00BF5261" w:rsidP="00EF12E8">
            <w:pPr>
              <w:pStyle w:val="Other0"/>
              <w:widowControl/>
              <w:shd w:val="clear" w:color="auto" w:fill="auto"/>
              <w:spacing w:before="120" w:after="0" w:line="276" w:lineRule="auto"/>
              <w:ind w:firstLine="0"/>
              <w:jc w:val="center"/>
            </w:pPr>
            <w:r w:rsidRPr="008D7AF2">
              <w:rPr>
                <w:rStyle w:val="Other"/>
                <w:color w:val="000000"/>
                <w:lang w:eastAsia="vi-VN"/>
              </w:rPr>
              <w:t>2</w:t>
            </w:r>
          </w:p>
        </w:tc>
      </w:tr>
      <w:tr w:rsidR="00BF5261" w:rsidRPr="008D7AF2" w:rsidTr="009E5376">
        <w:tc>
          <w:tcPr>
            <w:tcW w:w="3855" w:type="pct"/>
            <w:shd w:val="clear" w:color="auto" w:fill="auto"/>
            <w:vAlign w:val="center"/>
          </w:tcPr>
          <w:p w:rsidR="00BF5261" w:rsidRPr="008D7AF2" w:rsidRDefault="00BF5261" w:rsidP="00EF12E8">
            <w:pPr>
              <w:pStyle w:val="Other0"/>
              <w:widowControl/>
              <w:shd w:val="clear" w:color="auto" w:fill="auto"/>
              <w:spacing w:before="120" w:after="0" w:line="276" w:lineRule="auto"/>
              <w:ind w:firstLine="0"/>
              <w:jc w:val="both"/>
            </w:pPr>
            <w:r w:rsidRPr="008D7AF2">
              <w:rPr>
                <w:rStyle w:val="Other"/>
                <w:color w:val="000000"/>
                <w:lang w:eastAsia="vi-VN"/>
              </w:rPr>
              <w:t>Trên 60.000 đến 120.000 người, từ 0 đến 60.000 người được tính 16 điểm, phần còn lại cứ 10.000 người tăng thêm được tính</w:t>
            </w:r>
          </w:p>
        </w:tc>
        <w:tc>
          <w:tcPr>
            <w:tcW w:w="1145" w:type="pct"/>
            <w:shd w:val="clear" w:color="auto" w:fill="auto"/>
            <w:vAlign w:val="center"/>
          </w:tcPr>
          <w:p w:rsidR="00BF5261" w:rsidRPr="008D7AF2" w:rsidRDefault="00BF5261" w:rsidP="00EF12E8">
            <w:pPr>
              <w:pStyle w:val="Other0"/>
              <w:widowControl/>
              <w:shd w:val="clear" w:color="auto" w:fill="auto"/>
              <w:spacing w:before="120" w:after="0" w:line="276" w:lineRule="auto"/>
              <w:ind w:firstLine="0"/>
              <w:jc w:val="center"/>
            </w:pPr>
            <w:r w:rsidRPr="008D7AF2">
              <w:rPr>
                <w:rStyle w:val="Other"/>
                <w:color w:val="000000"/>
                <w:lang w:eastAsia="vi-VN"/>
              </w:rPr>
              <w:t>1</w:t>
            </w:r>
          </w:p>
        </w:tc>
      </w:tr>
      <w:tr w:rsidR="00BF5261" w:rsidRPr="008D7AF2" w:rsidTr="009E5376">
        <w:tc>
          <w:tcPr>
            <w:tcW w:w="3855" w:type="pct"/>
            <w:shd w:val="clear" w:color="auto" w:fill="auto"/>
            <w:vAlign w:val="center"/>
          </w:tcPr>
          <w:p w:rsidR="00BF5261" w:rsidRPr="008D7AF2" w:rsidRDefault="00BF5261" w:rsidP="00EF12E8">
            <w:pPr>
              <w:pStyle w:val="Other0"/>
              <w:widowControl/>
              <w:shd w:val="clear" w:color="auto" w:fill="auto"/>
              <w:spacing w:before="120" w:after="0" w:line="276" w:lineRule="auto"/>
              <w:ind w:firstLine="0"/>
              <w:jc w:val="both"/>
            </w:pPr>
            <w:r w:rsidRPr="008D7AF2">
              <w:rPr>
                <w:rStyle w:val="Other"/>
                <w:color w:val="000000"/>
                <w:lang w:eastAsia="vi-VN"/>
              </w:rPr>
              <w:t>Trên 120.000 người, từ 0 đến 120.000 người được tính 22 điểm, phần còn lại cứ 10.000 người tăng thêm được tính</w:t>
            </w:r>
          </w:p>
        </w:tc>
        <w:tc>
          <w:tcPr>
            <w:tcW w:w="1145" w:type="pct"/>
            <w:shd w:val="clear" w:color="auto" w:fill="auto"/>
            <w:vAlign w:val="center"/>
          </w:tcPr>
          <w:p w:rsidR="00BF5261" w:rsidRPr="008D7AF2" w:rsidRDefault="00BF5261" w:rsidP="00EF12E8">
            <w:pPr>
              <w:pStyle w:val="Other0"/>
              <w:widowControl/>
              <w:shd w:val="clear" w:color="auto" w:fill="auto"/>
              <w:spacing w:before="120" w:after="0" w:line="276" w:lineRule="auto"/>
              <w:ind w:firstLine="0"/>
              <w:jc w:val="center"/>
            </w:pPr>
            <w:r w:rsidRPr="008D7AF2">
              <w:rPr>
                <w:rStyle w:val="Other"/>
                <w:color w:val="000000"/>
                <w:lang w:eastAsia="vi-VN"/>
              </w:rPr>
              <w:t>0,5</w:t>
            </w:r>
          </w:p>
        </w:tc>
      </w:tr>
    </w:tbl>
    <w:p w:rsidR="00BF5261" w:rsidRPr="00EF12E8" w:rsidRDefault="00BF5261" w:rsidP="00EF12E8">
      <w:pPr>
        <w:pStyle w:val="04Body"/>
        <w:widowControl w:val="0"/>
        <w:spacing w:after="0" w:line="276" w:lineRule="auto"/>
        <w:outlineLvl w:val="0"/>
        <w:rPr>
          <w:szCs w:val="28"/>
          <w:lang w:val="en-US"/>
        </w:rPr>
      </w:pPr>
      <w:r w:rsidRPr="00EF12E8">
        <w:rPr>
          <w:szCs w:val="28"/>
          <w:lang w:val="en-US"/>
        </w:rPr>
        <w:t>Dân số trung bình của các địa phương để tính toán điểm được xác định căn cứ vào số liệu của Niên giám thống kê năm 2019.</w:t>
      </w:r>
    </w:p>
    <w:p w:rsidR="00BF5261" w:rsidRPr="00EF12E8" w:rsidRDefault="00D257AC" w:rsidP="00EF12E8">
      <w:pPr>
        <w:pStyle w:val="04Body"/>
        <w:widowControl w:val="0"/>
        <w:spacing w:after="0" w:line="276" w:lineRule="auto"/>
        <w:outlineLvl w:val="0"/>
        <w:rPr>
          <w:szCs w:val="28"/>
          <w:lang w:val="en-US"/>
        </w:rPr>
      </w:pPr>
      <w:r w:rsidRPr="00EF12E8">
        <w:rPr>
          <w:szCs w:val="28"/>
          <w:lang w:val="en-US"/>
        </w:rPr>
        <w:t>+</w:t>
      </w:r>
      <w:r w:rsidR="00BF5261" w:rsidRPr="00EF12E8">
        <w:rPr>
          <w:szCs w:val="28"/>
          <w:lang w:val="en-US"/>
        </w:rPr>
        <w:t xml:space="preserve"> Điểm của tiêu chí số người dân tộc thiểu số:</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28" w:type="dxa"/>
          <w:bottom w:w="28" w:type="dxa"/>
        </w:tblCellMar>
        <w:tblLook w:val="0000" w:firstRow="0" w:lastRow="0" w:firstColumn="0" w:lastColumn="0" w:noHBand="0" w:noVBand="0"/>
      </w:tblPr>
      <w:tblGrid>
        <w:gridCol w:w="7316"/>
        <w:gridCol w:w="2087"/>
      </w:tblGrid>
      <w:tr w:rsidR="00BF5261" w:rsidRPr="008D7AF2" w:rsidTr="009E5376">
        <w:tc>
          <w:tcPr>
            <w:tcW w:w="3890" w:type="pct"/>
            <w:shd w:val="clear" w:color="auto" w:fill="auto"/>
            <w:vAlign w:val="center"/>
          </w:tcPr>
          <w:p w:rsidR="00BF5261" w:rsidRPr="008D7AF2" w:rsidRDefault="00BF5261" w:rsidP="00EF12E8">
            <w:pPr>
              <w:pStyle w:val="Other0"/>
              <w:widowControl/>
              <w:shd w:val="clear" w:color="auto" w:fill="auto"/>
              <w:spacing w:before="120" w:after="0" w:line="276" w:lineRule="auto"/>
              <w:ind w:firstLine="0"/>
              <w:jc w:val="center"/>
              <w:rPr>
                <w:rStyle w:val="Other"/>
                <w:b/>
                <w:color w:val="000000"/>
                <w:lang w:eastAsia="vi-VN"/>
              </w:rPr>
            </w:pPr>
            <w:r w:rsidRPr="008D7AF2">
              <w:rPr>
                <w:rStyle w:val="Other"/>
                <w:b/>
                <w:color w:val="000000"/>
                <w:lang w:eastAsia="vi-VN"/>
              </w:rPr>
              <w:t>Số người dân tộc thiểu số</w:t>
            </w:r>
          </w:p>
        </w:tc>
        <w:tc>
          <w:tcPr>
            <w:tcW w:w="1110" w:type="pct"/>
            <w:shd w:val="clear" w:color="auto" w:fill="auto"/>
            <w:vAlign w:val="center"/>
          </w:tcPr>
          <w:p w:rsidR="00BF5261" w:rsidRPr="008D7AF2" w:rsidRDefault="00BF5261" w:rsidP="00EF12E8">
            <w:pPr>
              <w:pStyle w:val="Other0"/>
              <w:widowControl/>
              <w:shd w:val="clear" w:color="auto" w:fill="auto"/>
              <w:spacing w:before="120" w:after="0" w:line="276" w:lineRule="auto"/>
              <w:ind w:firstLine="0"/>
              <w:jc w:val="center"/>
              <w:rPr>
                <w:rStyle w:val="Other"/>
                <w:b/>
                <w:color w:val="000000"/>
                <w:lang w:eastAsia="vi-VN"/>
              </w:rPr>
            </w:pPr>
            <w:r w:rsidRPr="008D7AF2">
              <w:rPr>
                <w:rStyle w:val="Other"/>
                <w:b/>
                <w:color w:val="000000"/>
                <w:lang w:eastAsia="vi-VN"/>
              </w:rPr>
              <w:t>Điểm</w:t>
            </w:r>
          </w:p>
        </w:tc>
      </w:tr>
      <w:tr w:rsidR="00BF5261" w:rsidRPr="008D7AF2" w:rsidTr="009E5376">
        <w:tc>
          <w:tcPr>
            <w:tcW w:w="3890" w:type="pct"/>
            <w:shd w:val="clear" w:color="auto" w:fill="auto"/>
            <w:vAlign w:val="center"/>
          </w:tcPr>
          <w:p w:rsidR="00BF5261" w:rsidRPr="008D7AF2" w:rsidRDefault="00BF5261" w:rsidP="00EF12E8">
            <w:pPr>
              <w:pStyle w:val="Other0"/>
              <w:widowControl/>
              <w:shd w:val="clear" w:color="auto" w:fill="auto"/>
              <w:spacing w:before="120" w:after="0" w:line="276" w:lineRule="auto"/>
              <w:ind w:firstLine="0"/>
              <w:jc w:val="both"/>
              <w:rPr>
                <w:rStyle w:val="Other"/>
                <w:color w:val="000000"/>
                <w:lang w:eastAsia="vi-VN"/>
              </w:rPr>
            </w:pPr>
            <w:r w:rsidRPr="008D7AF2">
              <w:rPr>
                <w:rStyle w:val="Other"/>
                <w:color w:val="000000"/>
                <w:lang w:eastAsia="vi-VN"/>
              </w:rPr>
              <w:t>Cứ 500 người dân tộc thiểu số được</w:t>
            </w:r>
          </w:p>
        </w:tc>
        <w:tc>
          <w:tcPr>
            <w:tcW w:w="1110" w:type="pct"/>
            <w:shd w:val="clear" w:color="auto" w:fill="auto"/>
            <w:vAlign w:val="center"/>
          </w:tcPr>
          <w:p w:rsidR="00BF5261" w:rsidRPr="008D7AF2" w:rsidRDefault="00BF5261" w:rsidP="00EF12E8">
            <w:pPr>
              <w:pStyle w:val="Other0"/>
              <w:widowControl/>
              <w:shd w:val="clear" w:color="auto" w:fill="auto"/>
              <w:spacing w:before="120" w:after="0" w:line="276" w:lineRule="auto"/>
              <w:ind w:firstLine="0"/>
              <w:jc w:val="center"/>
              <w:rPr>
                <w:rStyle w:val="Other"/>
                <w:color w:val="000000"/>
                <w:lang w:eastAsia="vi-VN"/>
              </w:rPr>
            </w:pPr>
            <w:r w:rsidRPr="008D7AF2">
              <w:rPr>
                <w:rStyle w:val="Other"/>
                <w:color w:val="000000"/>
                <w:lang w:eastAsia="vi-VN"/>
              </w:rPr>
              <w:t>1</w:t>
            </w:r>
          </w:p>
        </w:tc>
      </w:tr>
    </w:tbl>
    <w:p w:rsidR="00BF5261" w:rsidRPr="00EF12E8" w:rsidRDefault="00BF5261" w:rsidP="00EF12E8">
      <w:pPr>
        <w:pStyle w:val="04Body"/>
        <w:widowControl w:val="0"/>
        <w:spacing w:after="0" w:line="276" w:lineRule="auto"/>
        <w:outlineLvl w:val="0"/>
        <w:rPr>
          <w:szCs w:val="28"/>
          <w:lang w:val="en-US"/>
        </w:rPr>
      </w:pPr>
      <w:r w:rsidRPr="00EF12E8">
        <w:rPr>
          <w:szCs w:val="28"/>
          <w:lang w:val="en-US"/>
        </w:rPr>
        <w:t>Số người dân tộc thiểu số của các địa phương để tính toán điểm được xác định căn cứ vào số liệu củ</w:t>
      </w:r>
      <w:r w:rsidR="00083734" w:rsidRPr="00EF12E8">
        <w:rPr>
          <w:szCs w:val="28"/>
          <w:lang w:val="en-US"/>
        </w:rPr>
        <w:t xml:space="preserve">a Văn phòng Đoàn ĐBQH, HĐND và </w:t>
      </w:r>
      <w:r w:rsidRPr="00EF12E8">
        <w:rPr>
          <w:szCs w:val="28"/>
          <w:lang w:val="en-US"/>
        </w:rPr>
        <w:t>UBND tỉnh (Phòng Nông nghiệp - Tài nguyên Môi trường) năm 2019.</w:t>
      </w:r>
    </w:p>
    <w:p w:rsidR="00BF5261" w:rsidRPr="00EF12E8" w:rsidRDefault="00D257AC" w:rsidP="00EF12E8">
      <w:pPr>
        <w:pStyle w:val="04Body"/>
        <w:widowControl w:val="0"/>
        <w:spacing w:after="0" w:line="276" w:lineRule="auto"/>
        <w:outlineLvl w:val="0"/>
        <w:rPr>
          <w:b/>
          <w:szCs w:val="28"/>
          <w:lang w:val="en-US"/>
        </w:rPr>
      </w:pPr>
      <w:r w:rsidRPr="00EF12E8">
        <w:rPr>
          <w:b/>
          <w:szCs w:val="28"/>
          <w:lang w:val="en-US"/>
        </w:rPr>
        <w:t>-</w:t>
      </w:r>
      <w:r w:rsidR="00BF5261" w:rsidRPr="00EF12E8">
        <w:rPr>
          <w:b/>
          <w:szCs w:val="28"/>
          <w:lang w:val="en-US"/>
        </w:rPr>
        <w:t xml:space="preserve"> Tiêu chí về trình độ phát triển:</w:t>
      </w:r>
    </w:p>
    <w:p w:rsidR="00BF5261" w:rsidRPr="00EF12E8" w:rsidRDefault="00D257AC" w:rsidP="00EF12E8">
      <w:pPr>
        <w:pStyle w:val="04Body"/>
        <w:widowControl w:val="0"/>
        <w:spacing w:after="0" w:line="276" w:lineRule="auto"/>
        <w:outlineLvl w:val="0"/>
        <w:rPr>
          <w:szCs w:val="28"/>
          <w:lang w:val="en-US"/>
        </w:rPr>
      </w:pPr>
      <w:r w:rsidRPr="00EF12E8">
        <w:rPr>
          <w:szCs w:val="28"/>
          <w:lang w:val="en-US"/>
        </w:rPr>
        <w:t>+</w:t>
      </w:r>
      <w:r w:rsidR="00BF5261" w:rsidRPr="00EF12E8">
        <w:rPr>
          <w:szCs w:val="28"/>
          <w:lang w:val="en-US"/>
        </w:rPr>
        <w:t xml:space="preserve"> Điểm của tiêu chí tỷ lệ hộ nghèo:</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28" w:type="dxa"/>
          <w:bottom w:w="28" w:type="dxa"/>
        </w:tblCellMar>
        <w:tblLook w:val="0000" w:firstRow="0" w:lastRow="0" w:firstColumn="0" w:lastColumn="0" w:noHBand="0" w:noVBand="0"/>
      </w:tblPr>
      <w:tblGrid>
        <w:gridCol w:w="7250"/>
        <w:gridCol w:w="2153"/>
      </w:tblGrid>
      <w:tr w:rsidR="00BF5261" w:rsidRPr="004777A4" w:rsidTr="009E5376">
        <w:tc>
          <w:tcPr>
            <w:tcW w:w="3855" w:type="pct"/>
            <w:shd w:val="clear" w:color="auto" w:fill="auto"/>
            <w:vAlign w:val="center"/>
          </w:tcPr>
          <w:p w:rsidR="00BF5261" w:rsidRPr="004777A4" w:rsidRDefault="00BF5261" w:rsidP="00EF12E8">
            <w:pPr>
              <w:pStyle w:val="Other0"/>
              <w:widowControl/>
              <w:shd w:val="clear" w:color="auto" w:fill="auto"/>
              <w:spacing w:before="120" w:after="0" w:line="276" w:lineRule="auto"/>
              <w:ind w:firstLine="0"/>
              <w:jc w:val="center"/>
              <w:rPr>
                <w:rStyle w:val="Other"/>
                <w:b/>
                <w:color w:val="000000"/>
                <w:lang w:eastAsia="vi-VN"/>
              </w:rPr>
            </w:pPr>
            <w:r w:rsidRPr="004777A4">
              <w:rPr>
                <w:rStyle w:val="Other"/>
                <w:b/>
                <w:color w:val="000000"/>
                <w:lang w:eastAsia="vi-VN"/>
              </w:rPr>
              <w:t>Tỷ lệ hộ nghèo</w:t>
            </w:r>
          </w:p>
        </w:tc>
        <w:tc>
          <w:tcPr>
            <w:tcW w:w="1145" w:type="pct"/>
            <w:shd w:val="clear" w:color="auto" w:fill="auto"/>
            <w:vAlign w:val="center"/>
          </w:tcPr>
          <w:p w:rsidR="00BF5261" w:rsidRPr="004777A4" w:rsidRDefault="00BF5261" w:rsidP="00EF12E8">
            <w:pPr>
              <w:pStyle w:val="Other0"/>
              <w:widowControl/>
              <w:shd w:val="clear" w:color="auto" w:fill="auto"/>
              <w:spacing w:before="120" w:after="0" w:line="276" w:lineRule="auto"/>
              <w:ind w:firstLine="0"/>
              <w:jc w:val="center"/>
              <w:rPr>
                <w:rStyle w:val="Other"/>
                <w:b/>
                <w:color w:val="000000"/>
                <w:lang w:eastAsia="vi-VN"/>
              </w:rPr>
            </w:pPr>
            <w:r w:rsidRPr="004777A4">
              <w:rPr>
                <w:rStyle w:val="Other"/>
                <w:b/>
                <w:color w:val="000000"/>
                <w:lang w:eastAsia="vi-VN"/>
              </w:rPr>
              <w:t>Điểm</w:t>
            </w:r>
          </w:p>
        </w:tc>
      </w:tr>
      <w:tr w:rsidR="00BF5261" w:rsidRPr="004777A4" w:rsidTr="009E5376">
        <w:tc>
          <w:tcPr>
            <w:tcW w:w="3855" w:type="pct"/>
            <w:shd w:val="clear" w:color="auto" w:fill="auto"/>
            <w:vAlign w:val="center"/>
          </w:tcPr>
          <w:p w:rsidR="00BF5261" w:rsidRPr="004777A4" w:rsidRDefault="00BF5261" w:rsidP="00EF12E8">
            <w:pPr>
              <w:pStyle w:val="Other0"/>
              <w:widowControl/>
              <w:shd w:val="clear" w:color="auto" w:fill="auto"/>
              <w:spacing w:before="120" w:after="0" w:line="276" w:lineRule="auto"/>
              <w:ind w:firstLine="0"/>
              <w:jc w:val="both"/>
              <w:rPr>
                <w:rStyle w:val="Other"/>
                <w:color w:val="000000"/>
                <w:lang w:eastAsia="vi-VN"/>
              </w:rPr>
            </w:pPr>
            <w:r w:rsidRPr="004777A4">
              <w:rPr>
                <w:rStyle w:val="Other"/>
                <w:color w:val="000000"/>
                <w:lang w:eastAsia="vi-VN"/>
              </w:rPr>
              <w:t>Cứ 1% hộ nghèo được</w:t>
            </w:r>
          </w:p>
        </w:tc>
        <w:tc>
          <w:tcPr>
            <w:tcW w:w="1145" w:type="pct"/>
            <w:shd w:val="clear" w:color="auto" w:fill="auto"/>
            <w:vAlign w:val="center"/>
          </w:tcPr>
          <w:p w:rsidR="00BF5261" w:rsidRPr="004777A4" w:rsidRDefault="00BF5261" w:rsidP="00EF12E8">
            <w:pPr>
              <w:pStyle w:val="Other0"/>
              <w:widowControl/>
              <w:shd w:val="clear" w:color="auto" w:fill="auto"/>
              <w:spacing w:before="120" w:after="0" w:line="276" w:lineRule="auto"/>
              <w:ind w:firstLine="0"/>
              <w:jc w:val="center"/>
              <w:rPr>
                <w:rStyle w:val="Other"/>
                <w:color w:val="000000"/>
                <w:lang w:eastAsia="vi-VN"/>
              </w:rPr>
            </w:pPr>
            <w:r w:rsidRPr="004777A4">
              <w:rPr>
                <w:rStyle w:val="Other"/>
                <w:color w:val="000000"/>
                <w:lang w:eastAsia="vi-VN"/>
              </w:rPr>
              <w:t>0,1</w:t>
            </w:r>
          </w:p>
        </w:tc>
      </w:tr>
    </w:tbl>
    <w:p w:rsidR="00BF5261" w:rsidRPr="00EF12E8" w:rsidRDefault="00BF5261" w:rsidP="00EF12E8">
      <w:pPr>
        <w:pStyle w:val="04Body"/>
        <w:widowControl w:val="0"/>
        <w:spacing w:after="0" w:line="276" w:lineRule="auto"/>
        <w:outlineLvl w:val="0"/>
        <w:rPr>
          <w:szCs w:val="28"/>
        </w:rPr>
      </w:pPr>
      <w:r w:rsidRPr="00EF12E8">
        <w:rPr>
          <w:szCs w:val="28"/>
        </w:rPr>
        <w:t xml:space="preserve">Tỷ lệ hộ nghèo để tính toán điểm được xác định căn cứ vào số liệu của </w:t>
      </w:r>
      <w:r w:rsidRPr="00EF12E8">
        <w:rPr>
          <w:szCs w:val="28"/>
          <w:lang w:val="en-GB"/>
        </w:rPr>
        <w:t xml:space="preserve">Sở </w:t>
      </w:r>
      <w:r w:rsidRPr="00EF12E8">
        <w:rPr>
          <w:szCs w:val="28"/>
        </w:rPr>
        <w:t>Lao động - Thương binh và Xã hội năm 2019.</w:t>
      </w:r>
    </w:p>
    <w:p w:rsidR="00BF5261" w:rsidRPr="00EF12E8" w:rsidRDefault="00D257AC" w:rsidP="00EF12E8">
      <w:pPr>
        <w:pStyle w:val="04Body"/>
        <w:widowControl w:val="0"/>
        <w:spacing w:after="0" w:line="276" w:lineRule="auto"/>
        <w:outlineLvl w:val="0"/>
        <w:rPr>
          <w:szCs w:val="28"/>
        </w:rPr>
      </w:pPr>
      <w:r w:rsidRPr="00EF12E8">
        <w:rPr>
          <w:rStyle w:val="BodyTextChar1"/>
          <w:color w:val="000000"/>
          <w:sz w:val="28"/>
          <w:szCs w:val="28"/>
          <w:lang w:val="en-GB" w:eastAsia="vi-VN"/>
        </w:rPr>
        <w:t>+</w:t>
      </w:r>
      <w:r w:rsidR="00BF5261" w:rsidRPr="00EF12E8">
        <w:rPr>
          <w:rStyle w:val="BodyTextChar1"/>
          <w:color w:val="000000"/>
          <w:sz w:val="28"/>
          <w:szCs w:val="28"/>
          <w:lang w:eastAsia="vi-VN"/>
        </w:rPr>
        <w:t xml:space="preserve"> Điểm của tiêu chí số thu nội địa (không bao gồm số thu từ sử dụng đất, xổ số kiến thiết):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28" w:type="dxa"/>
          <w:bottom w:w="28" w:type="dxa"/>
        </w:tblCellMar>
        <w:tblLook w:val="0000" w:firstRow="0" w:lastRow="0" w:firstColumn="0" w:lastColumn="0" w:noHBand="0" w:noVBand="0"/>
      </w:tblPr>
      <w:tblGrid>
        <w:gridCol w:w="7250"/>
        <w:gridCol w:w="2153"/>
      </w:tblGrid>
      <w:tr w:rsidR="00BF5261" w:rsidRPr="004777A4" w:rsidTr="009E5376">
        <w:tc>
          <w:tcPr>
            <w:tcW w:w="3855" w:type="pct"/>
            <w:shd w:val="clear" w:color="auto" w:fill="auto"/>
            <w:vAlign w:val="center"/>
          </w:tcPr>
          <w:p w:rsidR="00BF5261" w:rsidRPr="004777A4" w:rsidRDefault="00BF5261" w:rsidP="00EF12E8">
            <w:pPr>
              <w:pStyle w:val="Other0"/>
              <w:widowControl/>
              <w:shd w:val="clear" w:color="auto" w:fill="auto"/>
              <w:spacing w:before="120" w:after="0" w:line="276" w:lineRule="auto"/>
              <w:ind w:firstLine="0"/>
              <w:jc w:val="center"/>
              <w:rPr>
                <w:rStyle w:val="Other"/>
                <w:b/>
                <w:color w:val="000000"/>
                <w:lang w:eastAsia="vi-VN"/>
              </w:rPr>
            </w:pPr>
            <w:r w:rsidRPr="004777A4">
              <w:rPr>
                <w:rStyle w:val="Other"/>
                <w:b/>
                <w:color w:val="000000"/>
                <w:lang w:eastAsia="vi-VN"/>
              </w:rPr>
              <w:t>Số thu nội địa</w:t>
            </w:r>
          </w:p>
        </w:tc>
        <w:tc>
          <w:tcPr>
            <w:tcW w:w="1145" w:type="pct"/>
            <w:shd w:val="clear" w:color="auto" w:fill="auto"/>
            <w:vAlign w:val="center"/>
          </w:tcPr>
          <w:p w:rsidR="00BF5261" w:rsidRPr="004777A4" w:rsidRDefault="00BF5261" w:rsidP="00EF12E8">
            <w:pPr>
              <w:pStyle w:val="Other0"/>
              <w:widowControl/>
              <w:shd w:val="clear" w:color="auto" w:fill="auto"/>
              <w:spacing w:before="120" w:after="0" w:line="276" w:lineRule="auto"/>
              <w:ind w:firstLine="0"/>
              <w:jc w:val="center"/>
              <w:rPr>
                <w:rStyle w:val="Other"/>
                <w:b/>
                <w:color w:val="000000"/>
                <w:lang w:eastAsia="vi-VN"/>
              </w:rPr>
            </w:pPr>
            <w:r w:rsidRPr="004777A4">
              <w:rPr>
                <w:rStyle w:val="Other"/>
                <w:b/>
                <w:color w:val="000000"/>
                <w:lang w:eastAsia="vi-VN"/>
              </w:rPr>
              <w:t>Điểm</w:t>
            </w:r>
          </w:p>
        </w:tc>
      </w:tr>
      <w:tr w:rsidR="00BF5261" w:rsidRPr="004777A4" w:rsidTr="009E5376">
        <w:tc>
          <w:tcPr>
            <w:tcW w:w="3855" w:type="pct"/>
            <w:shd w:val="clear" w:color="auto" w:fill="auto"/>
            <w:vAlign w:val="center"/>
          </w:tcPr>
          <w:p w:rsidR="00BF5261" w:rsidRPr="004777A4" w:rsidRDefault="00BF5261" w:rsidP="00EF12E8">
            <w:pPr>
              <w:pStyle w:val="Other0"/>
              <w:widowControl/>
              <w:shd w:val="clear" w:color="auto" w:fill="auto"/>
              <w:spacing w:before="120" w:after="0" w:line="276" w:lineRule="auto"/>
              <w:ind w:firstLine="0"/>
              <w:jc w:val="both"/>
              <w:rPr>
                <w:rStyle w:val="Other"/>
                <w:color w:val="000000"/>
                <w:lang w:eastAsia="vi-VN"/>
              </w:rPr>
            </w:pPr>
            <w:r w:rsidRPr="004777A4">
              <w:rPr>
                <w:rStyle w:val="Other"/>
                <w:color w:val="000000"/>
                <w:lang w:eastAsia="vi-VN"/>
              </w:rPr>
              <w:t>Có số thu nội địa từ 0 đến 20 tỷ đồng</w:t>
            </w:r>
          </w:p>
        </w:tc>
        <w:tc>
          <w:tcPr>
            <w:tcW w:w="1145" w:type="pct"/>
            <w:shd w:val="clear" w:color="auto" w:fill="auto"/>
            <w:vAlign w:val="center"/>
          </w:tcPr>
          <w:p w:rsidR="00BF5261" w:rsidRPr="004777A4" w:rsidRDefault="00BF5261" w:rsidP="00EF12E8">
            <w:pPr>
              <w:pStyle w:val="Other0"/>
              <w:widowControl/>
              <w:shd w:val="clear" w:color="auto" w:fill="auto"/>
              <w:spacing w:before="120" w:after="0" w:line="276" w:lineRule="auto"/>
              <w:ind w:firstLine="0"/>
              <w:jc w:val="center"/>
              <w:rPr>
                <w:rStyle w:val="Other"/>
                <w:color w:val="000000"/>
                <w:lang w:eastAsia="vi-VN"/>
              </w:rPr>
            </w:pPr>
            <w:r w:rsidRPr="004777A4">
              <w:rPr>
                <w:rStyle w:val="Other"/>
                <w:color w:val="000000"/>
                <w:lang w:eastAsia="vi-VN"/>
              </w:rPr>
              <w:t>4</w:t>
            </w:r>
          </w:p>
        </w:tc>
      </w:tr>
      <w:tr w:rsidR="00BF5261" w:rsidRPr="004777A4" w:rsidTr="009E5376">
        <w:tc>
          <w:tcPr>
            <w:tcW w:w="3855" w:type="pct"/>
            <w:shd w:val="clear" w:color="auto" w:fill="auto"/>
            <w:vAlign w:val="center"/>
          </w:tcPr>
          <w:p w:rsidR="00BF5261" w:rsidRPr="004777A4" w:rsidRDefault="00BF5261" w:rsidP="00EF12E8">
            <w:pPr>
              <w:pStyle w:val="Other0"/>
              <w:widowControl/>
              <w:shd w:val="clear" w:color="auto" w:fill="auto"/>
              <w:spacing w:before="120" w:after="0" w:line="276" w:lineRule="auto"/>
              <w:ind w:firstLine="0"/>
              <w:jc w:val="both"/>
              <w:rPr>
                <w:rStyle w:val="Other"/>
                <w:color w:val="000000"/>
                <w:lang w:eastAsia="vi-VN"/>
              </w:rPr>
            </w:pPr>
            <w:r w:rsidRPr="004777A4">
              <w:rPr>
                <w:rStyle w:val="Other"/>
                <w:color w:val="000000"/>
                <w:lang w:eastAsia="vi-VN"/>
              </w:rPr>
              <w:lastRenderedPageBreak/>
              <w:t>Trên 20 tỷ đồng đến 60 tỷ đồng</w:t>
            </w:r>
          </w:p>
        </w:tc>
        <w:tc>
          <w:tcPr>
            <w:tcW w:w="1145" w:type="pct"/>
            <w:shd w:val="clear" w:color="auto" w:fill="auto"/>
            <w:vAlign w:val="center"/>
          </w:tcPr>
          <w:p w:rsidR="00BF5261" w:rsidRPr="004777A4" w:rsidRDefault="00BF5261" w:rsidP="00EF12E8">
            <w:pPr>
              <w:pStyle w:val="Other0"/>
              <w:widowControl/>
              <w:shd w:val="clear" w:color="auto" w:fill="auto"/>
              <w:spacing w:before="120" w:after="0" w:line="276" w:lineRule="auto"/>
              <w:ind w:firstLine="0"/>
              <w:jc w:val="center"/>
              <w:rPr>
                <w:rStyle w:val="Other"/>
                <w:color w:val="000000"/>
                <w:lang w:eastAsia="vi-VN"/>
              </w:rPr>
            </w:pPr>
            <w:r w:rsidRPr="004777A4">
              <w:rPr>
                <w:rStyle w:val="Other"/>
                <w:color w:val="000000"/>
                <w:lang w:eastAsia="vi-VN"/>
              </w:rPr>
              <w:t>3</w:t>
            </w:r>
          </w:p>
        </w:tc>
      </w:tr>
      <w:tr w:rsidR="00BF5261" w:rsidRPr="004777A4" w:rsidTr="009E5376">
        <w:tc>
          <w:tcPr>
            <w:tcW w:w="3855" w:type="pct"/>
            <w:shd w:val="clear" w:color="auto" w:fill="auto"/>
            <w:vAlign w:val="center"/>
          </w:tcPr>
          <w:p w:rsidR="00BF5261" w:rsidRPr="004777A4" w:rsidRDefault="00BF5261" w:rsidP="00EF12E8">
            <w:pPr>
              <w:pStyle w:val="Other0"/>
              <w:widowControl/>
              <w:shd w:val="clear" w:color="auto" w:fill="auto"/>
              <w:spacing w:before="120" w:after="0" w:line="276" w:lineRule="auto"/>
              <w:ind w:firstLine="0"/>
              <w:jc w:val="both"/>
              <w:rPr>
                <w:rStyle w:val="Other"/>
                <w:color w:val="000000"/>
                <w:lang w:eastAsia="vi-VN"/>
              </w:rPr>
            </w:pPr>
            <w:r w:rsidRPr="004777A4">
              <w:rPr>
                <w:rStyle w:val="Other"/>
                <w:color w:val="000000"/>
                <w:lang w:eastAsia="vi-VN"/>
              </w:rPr>
              <w:t>Trên 60 tỷ đồng đến 120 tỷ đồng</w:t>
            </w:r>
          </w:p>
        </w:tc>
        <w:tc>
          <w:tcPr>
            <w:tcW w:w="1145" w:type="pct"/>
            <w:shd w:val="clear" w:color="auto" w:fill="auto"/>
            <w:vAlign w:val="center"/>
          </w:tcPr>
          <w:p w:rsidR="00BF5261" w:rsidRPr="004777A4" w:rsidRDefault="00BF5261" w:rsidP="00EF12E8">
            <w:pPr>
              <w:pStyle w:val="Other0"/>
              <w:widowControl/>
              <w:shd w:val="clear" w:color="auto" w:fill="auto"/>
              <w:spacing w:before="120" w:after="0" w:line="276" w:lineRule="auto"/>
              <w:ind w:firstLine="0"/>
              <w:jc w:val="center"/>
              <w:rPr>
                <w:rStyle w:val="Other"/>
                <w:color w:val="000000"/>
                <w:lang w:eastAsia="vi-VN"/>
              </w:rPr>
            </w:pPr>
            <w:r w:rsidRPr="004777A4">
              <w:rPr>
                <w:rStyle w:val="Other"/>
                <w:color w:val="000000"/>
                <w:lang w:eastAsia="vi-VN"/>
              </w:rPr>
              <w:t>2</w:t>
            </w:r>
          </w:p>
        </w:tc>
      </w:tr>
      <w:tr w:rsidR="00BF5261" w:rsidRPr="004777A4" w:rsidTr="009E5376">
        <w:tc>
          <w:tcPr>
            <w:tcW w:w="3855" w:type="pct"/>
            <w:shd w:val="clear" w:color="auto" w:fill="auto"/>
            <w:vAlign w:val="center"/>
          </w:tcPr>
          <w:p w:rsidR="00BF5261" w:rsidRPr="004777A4" w:rsidRDefault="00BF5261" w:rsidP="00EF12E8">
            <w:pPr>
              <w:pStyle w:val="Other0"/>
              <w:widowControl/>
              <w:shd w:val="clear" w:color="auto" w:fill="auto"/>
              <w:spacing w:before="120" w:after="0" w:line="276" w:lineRule="auto"/>
              <w:ind w:firstLine="0"/>
              <w:jc w:val="both"/>
              <w:rPr>
                <w:rStyle w:val="Other"/>
                <w:color w:val="000000"/>
                <w:lang w:eastAsia="vi-VN"/>
              </w:rPr>
            </w:pPr>
            <w:r w:rsidRPr="004777A4">
              <w:rPr>
                <w:rStyle w:val="Other"/>
                <w:color w:val="000000"/>
                <w:lang w:eastAsia="vi-VN"/>
              </w:rPr>
              <w:t>Trên 120 tỷ đồng đến 200 tỷ đồng</w:t>
            </w:r>
          </w:p>
        </w:tc>
        <w:tc>
          <w:tcPr>
            <w:tcW w:w="1145" w:type="pct"/>
            <w:shd w:val="clear" w:color="auto" w:fill="auto"/>
            <w:vAlign w:val="center"/>
          </w:tcPr>
          <w:p w:rsidR="00BF5261" w:rsidRPr="004777A4" w:rsidRDefault="00BF5261" w:rsidP="00EF12E8">
            <w:pPr>
              <w:pStyle w:val="Other0"/>
              <w:widowControl/>
              <w:shd w:val="clear" w:color="auto" w:fill="auto"/>
              <w:spacing w:before="120" w:after="0" w:line="276" w:lineRule="auto"/>
              <w:ind w:firstLine="0"/>
              <w:jc w:val="center"/>
              <w:rPr>
                <w:rStyle w:val="Other"/>
                <w:color w:val="000000"/>
                <w:lang w:eastAsia="vi-VN"/>
              </w:rPr>
            </w:pPr>
            <w:r w:rsidRPr="004777A4">
              <w:rPr>
                <w:rStyle w:val="Other"/>
                <w:color w:val="000000"/>
                <w:lang w:eastAsia="vi-VN"/>
              </w:rPr>
              <w:t>1</w:t>
            </w:r>
          </w:p>
        </w:tc>
      </w:tr>
      <w:tr w:rsidR="00BF5261" w:rsidRPr="004777A4" w:rsidTr="009E5376">
        <w:tc>
          <w:tcPr>
            <w:tcW w:w="3855" w:type="pct"/>
            <w:shd w:val="clear" w:color="auto" w:fill="auto"/>
            <w:vAlign w:val="center"/>
          </w:tcPr>
          <w:p w:rsidR="00BF5261" w:rsidRPr="004777A4" w:rsidRDefault="00BF5261" w:rsidP="00EF12E8">
            <w:pPr>
              <w:pStyle w:val="Other0"/>
              <w:widowControl/>
              <w:shd w:val="clear" w:color="auto" w:fill="auto"/>
              <w:spacing w:before="120" w:after="0" w:line="276" w:lineRule="auto"/>
              <w:ind w:firstLine="0"/>
              <w:jc w:val="both"/>
              <w:rPr>
                <w:rStyle w:val="Other"/>
                <w:color w:val="000000"/>
                <w:lang w:eastAsia="vi-VN"/>
              </w:rPr>
            </w:pPr>
            <w:r w:rsidRPr="004777A4">
              <w:rPr>
                <w:rStyle w:val="Other"/>
                <w:color w:val="000000"/>
                <w:lang w:eastAsia="vi-VN"/>
              </w:rPr>
              <w:t>Trên 200 tỷ đồng</w:t>
            </w:r>
          </w:p>
        </w:tc>
        <w:tc>
          <w:tcPr>
            <w:tcW w:w="1145" w:type="pct"/>
            <w:shd w:val="clear" w:color="auto" w:fill="auto"/>
            <w:vAlign w:val="center"/>
          </w:tcPr>
          <w:p w:rsidR="00BF5261" w:rsidRPr="004777A4" w:rsidRDefault="00BF5261" w:rsidP="00EF12E8">
            <w:pPr>
              <w:pStyle w:val="Other0"/>
              <w:widowControl/>
              <w:shd w:val="clear" w:color="auto" w:fill="auto"/>
              <w:spacing w:before="120" w:after="0" w:line="276" w:lineRule="auto"/>
              <w:ind w:firstLine="0"/>
              <w:jc w:val="center"/>
              <w:rPr>
                <w:rStyle w:val="Other"/>
                <w:color w:val="000000"/>
                <w:lang w:eastAsia="vi-VN"/>
              </w:rPr>
            </w:pPr>
            <w:r w:rsidRPr="004777A4">
              <w:rPr>
                <w:rStyle w:val="Other"/>
                <w:color w:val="000000"/>
                <w:lang w:eastAsia="vi-VN"/>
              </w:rPr>
              <w:t>0,5</w:t>
            </w:r>
          </w:p>
        </w:tc>
      </w:tr>
    </w:tbl>
    <w:p w:rsidR="00BF5261" w:rsidRPr="00EF12E8" w:rsidRDefault="00BF5261" w:rsidP="00EF12E8">
      <w:pPr>
        <w:pStyle w:val="04Body"/>
        <w:widowControl w:val="0"/>
        <w:spacing w:after="0" w:line="276" w:lineRule="auto"/>
        <w:outlineLvl w:val="0"/>
        <w:rPr>
          <w:szCs w:val="28"/>
        </w:rPr>
      </w:pPr>
      <w:r w:rsidRPr="00EF12E8">
        <w:rPr>
          <w:rStyle w:val="Tablecaption"/>
          <w:color w:val="000000"/>
          <w:sz w:val="28"/>
          <w:szCs w:val="28"/>
          <w:lang w:eastAsia="vi-VN"/>
        </w:rPr>
        <w:t xml:space="preserve">Số thu nội địa (không bao gồm số thu từ sử dụng đất, xổ số kiến thiết) để tính toán điểm được xác định căn cứ vào dự toán thu ngân sách nhà nước năm 2020 do </w:t>
      </w:r>
      <w:r w:rsidRPr="00EF12E8">
        <w:rPr>
          <w:rStyle w:val="Tablecaption"/>
          <w:color w:val="000000"/>
          <w:sz w:val="28"/>
          <w:szCs w:val="28"/>
          <w:lang w:val="en-GB" w:eastAsia="vi-VN"/>
        </w:rPr>
        <w:t>Hội đồng nhân dân tỉnh</w:t>
      </w:r>
      <w:r w:rsidRPr="00EF12E8">
        <w:rPr>
          <w:rStyle w:val="Tablecaption"/>
          <w:color w:val="000000"/>
          <w:sz w:val="28"/>
          <w:szCs w:val="28"/>
          <w:lang w:eastAsia="vi-VN"/>
        </w:rPr>
        <w:t xml:space="preserve"> giao.</w:t>
      </w:r>
    </w:p>
    <w:p w:rsidR="00BF5261" w:rsidRPr="00EF12E8" w:rsidRDefault="00D257AC" w:rsidP="00EF12E8">
      <w:pPr>
        <w:pStyle w:val="04Body"/>
        <w:widowControl w:val="0"/>
        <w:spacing w:after="0" w:line="276" w:lineRule="auto"/>
        <w:outlineLvl w:val="0"/>
        <w:rPr>
          <w:szCs w:val="28"/>
          <w:lang w:val="en-US"/>
        </w:rPr>
      </w:pPr>
      <w:r w:rsidRPr="00EF12E8">
        <w:rPr>
          <w:szCs w:val="28"/>
          <w:lang w:val="en-US"/>
        </w:rPr>
        <w:t>+</w:t>
      </w:r>
      <w:r w:rsidR="00BF5261" w:rsidRPr="00EF12E8">
        <w:rPr>
          <w:szCs w:val="28"/>
          <w:lang w:val="en-US"/>
        </w:rPr>
        <w:t xml:space="preserve"> Điểm của tỷ lệ bổ sung cân đối từ ngân sách cấp tỉnh so với tổng chi ngân sách địa phương.</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28" w:type="dxa"/>
          <w:bottom w:w="28" w:type="dxa"/>
        </w:tblCellMar>
        <w:tblLook w:val="0000" w:firstRow="0" w:lastRow="0" w:firstColumn="0" w:lastColumn="0" w:noHBand="0" w:noVBand="0"/>
      </w:tblPr>
      <w:tblGrid>
        <w:gridCol w:w="7378"/>
        <w:gridCol w:w="2025"/>
      </w:tblGrid>
      <w:tr w:rsidR="00BF5261" w:rsidRPr="004777A4" w:rsidTr="009E5376">
        <w:tc>
          <w:tcPr>
            <w:tcW w:w="3923" w:type="pct"/>
            <w:shd w:val="clear" w:color="auto" w:fill="auto"/>
            <w:vAlign w:val="center"/>
          </w:tcPr>
          <w:p w:rsidR="00BF5261" w:rsidRPr="004777A4" w:rsidRDefault="00BF5261" w:rsidP="00EF12E8">
            <w:pPr>
              <w:pStyle w:val="Other0"/>
              <w:widowControl/>
              <w:shd w:val="clear" w:color="auto" w:fill="auto"/>
              <w:spacing w:before="120" w:after="0" w:line="276" w:lineRule="auto"/>
              <w:ind w:firstLine="0"/>
              <w:jc w:val="center"/>
              <w:rPr>
                <w:rStyle w:val="Other"/>
                <w:b/>
                <w:color w:val="000000"/>
                <w:lang w:eastAsia="vi-VN"/>
              </w:rPr>
            </w:pPr>
            <w:r w:rsidRPr="004777A4">
              <w:rPr>
                <w:rStyle w:val="Other"/>
                <w:b/>
                <w:color w:val="000000"/>
                <w:lang w:eastAsia="vi-VN"/>
              </w:rPr>
              <w:t>Tỷ lệ bổ sung cân đối từ ngân sách tỉnh</w:t>
            </w:r>
          </w:p>
        </w:tc>
        <w:tc>
          <w:tcPr>
            <w:tcW w:w="1077" w:type="pct"/>
            <w:shd w:val="clear" w:color="auto" w:fill="auto"/>
            <w:vAlign w:val="center"/>
          </w:tcPr>
          <w:p w:rsidR="00BF5261" w:rsidRPr="004777A4" w:rsidRDefault="00BF5261" w:rsidP="00EF12E8">
            <w:pPr>
              <w:pStyle w:val="Other0"/>
              <w:widowControl/>
              <w:shd w:val="clear" w:color="auto" w:fill="auto"/>
              <w:spacing w:before="120" w:after="0" w:line="276" w:lineRule="auto"/>
              <w:ind w:firstLine="0"/>
              <w:jc w:val="center"/>
              <w:rPr>
                <w:rStyle w:val="Other"/>
                <w:b/>
                <w:color w:val="000000"/>
                <w:lang w:eastAsia="vi-VN"/>
              </w:rPr>
            </w:pPr>
            <w:r w:rsidRPr="004777A4">
              <w:rPr>
                <w:rStyle w:val="Other"/>
                <w:b/>
                <w:color w:val="000000"/>
                <w:lang w:eastAsia="vi-VN"/>
              </w:rPr>
              <w:t>Điểm</w:t>
            </w:r>
          </w:p>
        </w:tc>
      </w:tr>
      <w:tr w:rsidR="00BF5261" w:rsidRPr="004777A4" w:rsidTr="009E5376">
        <w:tc>
          <w:tcPr>
            <w:tcW w:w="3923" w:type="pct"/>
            <w:shd w:val="clear" w:color="auto" w:fill="auto"/>
            <w:vAlign w:val="center"/>
          </w:tcPr>
          <w:p w:rsidR="00BF5261" w:rsidRPr="004777A4" w:rsidRDefault="00BF5261" w:rsidP="00EF12E8">
            <w:pPr>
              <w:pStyle w:val="Other0"/>
              <w:widowControl/>
              <w:shd w:val="clear" w:color="auto" w:fill="auto"/>
              <w:spacing w:before="120" w:after="0" w:line="276" w:lineRule="auto"/>
              <w:ind w:firstLine="0"/>
              <w:jc w:val="both"/>
              <w:rPr>
                <w:rStyle w:val="Other"/>
                <w:color w:val="000000"/>
                <w:lang w:eastAsia="vi-VN"/>
              </w:rPr>
            </w:pPr>
            <w:r w:rsidRPr="004777A4">
              <w:rPr>
                <w:rStyle w:val="Other"/>
                <w:color w:val="000000"/>
                <w:lang w:eastAsia="vi-VN"/>
              </w:rPr>
              <w:t>Trên 0% đến 30% được tính</w:t>
            </w:r>
          </w:p>
        </w:tc>
        <w:tc>
          <w:tcPr>
            <w:tcW w:w="1077" w:type="pct"/>
            <w:shd w:val="clear" w:color="auto" w:fill="auto"/>
            <w:vAlign w:val="center"/>
          </w:tcPr>
          <w:p w:rsidR="00BF5261" w:rsidRPr="004777A4" w:rsidRDefault="00BF5261" w:rsidP="00EF12E8">
            <w:pPr>
              <w:pStyle w:val="Other0"/>
              <w:widowControl/>
              <w:shd w:val="clear" w:color="auto" w:fill="auto"/>
              <w:spacing w:before="120" w:after="0" w:line="276" w:lineRule="auto"/>
              <w:ind w:firstLine="0"/>
              <w:jc w:val="center"/>
              <w:rPr>
                <w:rStyle w:val="Other"/>
                <w:color w:val="000000"/>
                <w:lang w:eastAsia="vi-VN"/>
              </w:rPr>
            </w:pPr>
            <w:r w:rsidRPr="004777A4">
              <w:rPr>
                <w:rStyle w:val="Other"/>
                <w:color w:val="000000"/>
                <w:lang w:eastAsia="vi-VN"/>
              </w:rPr>
              <w:t>10</w:t>
            </w:r>
          </w:p>
        </w:tc>
      </w:tr>
      <w:tr w:rsidR="00BF5261" w:rsidRPr="004777A4" w:rsidTr="009E5376">
        <w:tc>
          <w:tcPr>
            <w:tcW w:w="3923" w:type="pct"/>
            <w:shd w:val="clear" w:color="auto" w:fill="auto"/>
            <w:vAlign w:val="center"/>
          </w:tcPr>
          <w:p w:rsidR="00BF5261" w:rsidRPr="004777A4" w:rsidRDefault="00BF5261" w:rsidP="00EF12E8">
            <w:pPr>
              <w:pStyle w:val="Other0"/>
              <w:widowControl/>
              <w:shd w:val="clear" w:color="auto" w:fill="auto"/>
              <w:spacing w:before="120" w:after="0" w:line="276" w:lineRule="auto"/>
              <w:ind w:firstLine="0"/>
              <w:jc w:val="both"/>
              <w:rPr>
                <w:rStyle w:val="Other"/>
                <w:lang w:eastAsia="vi-VN"/>
              </w:rPr>
            </w:pPr>
            <w:r w:rsidRPr="004777A4">
              <w:rPr>
                <w:rStyle w:val="Other"/>
                <w:lang w:eastAsia="vi-VN"/>
              </w:rPr>
              <w:t>Trên 30% đến 50%, từ 0% đến 30% được tính 10 điểm, phần còn lại cứ 2% tăng thêm được tính</w:t>
            </w:r>
          </w:p>
        </w:tc>
        <w:tc>
          <w:tcPr>
            <w:tcW w:w="1077" w:type="pct"/>
            <w:shd w:val="clear" w:color="auto" w:fill="auto"/>
            <w:vAlign w:val="center"/>
          </w:tcPr>
          <w:p w:rsidR="00BF5261" w:rsidRPr="004777A4" w:rsidRDefault="00BF5261" w:rsidP="00EF12E8">
            <w:pPr>
              <w:pStyle w:val="Other0"/>
              <w:widowControl/>
              <w:shd w:val="clear" w:color="auto" w:fill="auto"/>
              <w:spacing w:before="120" w:after="0" w:line="276" w:lineRule="auto"/>
              <w:ind w:firstLine="0"/>
              <w:jc w:val="center"/>
              <w:rPr>
                <w:rStyle w:val="Other"/>
                <w:lang w:eastAsia="vi-VN"/>
              </w:rPr>
            </w:pPr>
            <w:r w:rsidRPr="004777A4">
              <w:rPr>
                <w:rStyle w:val="Other"/>
                <w:lang w:eastAsia="vi-VN"/>
              </w:rPr>
              <w:t>3</w:t>
            </w:r>
          </w:p>
        </w:tc>
      </w:tr>
      <w:tr w:rsidR="00BF5261" w:rsidRPr="004777A4" w:rsidTr="009E5376">
        <w:tc>
          <w:tcPr>
            <w:tcW w:w="3923" w:type="pct"/>
            <w:shd w:val="clear" w:color="auto" w:fill="auto"/>
            <w:vAlign w:val="center"/>
          </w:tcPr>
          <w:p w:rsidR="00BF5261" w:rsidRPr="004777A4" w:rsidRDefault="00BF5261" w:rsidP="00EF12E8">
            <w:pPr>
              <w:pStyle w:val="Other0"/>
              <w:widowControl/>
              <w:shd w:val="clear" w:color="auto" w:fill="auto"/>
              <w:spacing w:before="120" w:after="0" w:line="276" w:lineRule="auto"/>
              <w:ind w:firstLine="0"/>
              <w:jc w:val="both"/>
              <w:rPr>
                <w:rStyle w:val="Other"/>
                <w:color w:val="000000"/>
                <w:lang w:eastAsia="vi-VN"/>
              </w:rPr>
            </w:pPr>
            <w:r w:rsidRPr="004777A4">
              <w:rPr>
                <w:rStyle w:val="Other"/>
                <w:color w:val="000000"/>
                <w:lang w:eastAsia="vi-VN"/>
              </w:rPr>
              <w:t>Trên 50% đến 70%, từ 0% đến 50% được tính là 40 điểm, phần còn lại cứ 2% tăng thêm được tính</w:t>
            </w:r>
          </w:p>
        </w:tc>
        <w:tc>
          <w:tcPr>
            <w:tcW w:w="1077" w:type="pct"/>
            <w:shd w:val="clear" w:color="auto" w:fill="auto"/>
            <w:vAlign w:val="center"/>
          </w:tcPr>
          <w:p w:rsidR="00BF5261" w:rsidRPr="004777A4" w:rsidRDefault="00BF5261" w:rsidP="00EF12E8">
            <w:pPr>
              <w:pStyle w:val="Other0"/>
              <w:widowControl/>
              <w:shd w:val="clear" w:color="auto" w:fill="auto"/>
              <w:spacing w:before="120" w:after="0" w:line="276" w:lineRule="auto"/>
              <w:ind w:firstLine="0"/>
              <w:jc w:val="center"/>
              <w:rPr>
                <w:rStyle w:val="Other"/>
                <w:color w:val="000000"/>
                <w:lang w:eastAsia="vi-VN"/>
              </w:rPr>
            </w:pPr>
            <w:r w:rsidRPr="004777A4">
              <w:rPr>
                <w:rStyle w:val="Other"/>
                <w:color w:val="000000"/>
                <w:lang w:eastAsia="vi-VN"/>
              </w:rPr>
              <w:t>1</w:t>
            </w:r>
          </w:p>
        </w:tc>
      </w:tr>
      <w:tr w:rsidR="00BF5261" w:rsidRPr="004777A4" w:rsidTr="009E5376">
        <w:tc>
          <w:tcPr>
            <w:tcW w:w="3923" w:type="pct"/>
            <w:shd w:val="clear" w:color="auto" w:fill="auto"/>
            <w:vAlign w:val="center"/>
          </w:tcPr>
          <w:p w:rsidR="00BF5261" w:rsidRPr="004777A4" w:rsidRDefault="00BF5261" w:rsidP="00EF12E8">
            <w:pPr>
              <w:pStyle w:val="Other0"/>
              <w:widowControl/>
              <w:shd w:val="clear" w:color="auto" w:fill="auto"/>
              <w:spacing w:before="120" w:after="0" w:line="276" w:lineRule="auto"/>
              <w:ind w:firstLine="0"/>
              <w:jc w:val="both"/>
              <w:rPr>
                <w:rStyle w:val="Other"/>
                <w:color w:val="000000"/>
                <w:lang w:eastAsia="vi-VN"/>
              </w:rPr>
            </w:pPr>
            <w:r w:rsidRPr="004777A4">
              <w:rPr>
                <w:rStyle w:val="Other"/>
                <w:color w:val="000000"/>
                <w:lang w:eastAsia="vi-VN"/>
              </w:rPr>
              <w:t>Trên 70% trở lên, từ 0% đến 70% được tính là 50 điểm, phần còn lại cứ 2% tăng thêm được tính</w:t>
            </w:r>
          </w:p>
        </w:tc>
        <w:tc>
          <w:tcPr>
            <w:tcW w:w="1077" w:type="pct"/>
            <w:shd w:val="clear" w:color="auto" w:fill="auto"/>
            <w:vAlign w:val="center"/>
          </w:tcPr>
          <w:p w:rsidR="00BF5261" w:rsidRPr="004777A4" w:rsidRDefault="00BF5261" w:rsidP="00EF12E8">
            <w:pPr>
              <w:pStyle w:val="Other0"/>
              <w:widowControl/>
              <w:shd w:val="clear" w:color="auto" w:fill="auto"/>
              <w:spacing w:before="120" w:after="0" w:line="276" w:lineRule="auto"/>
              <w:ind w:firstLine="0"/>
              <w:jc w:val="center"/>
              <w:rPr>
                <w:rStyle w:val="Other"/>
                <w:color w:val="000000"/>
                <w:lang w:eastAsia="vi-VN"/>
              </w:rPr>
            </w:pPr>
            <w:r w:rsidRPr="004777A4">
              <w:rPr>
                <w:rStyle w:val="Other"/>
                <w:color w:val="000000"/>
                <w:lang w:eastAsia="vi-VN"/>
              </w:rPr>
              <w:t>0,5</w:t>
            </w:r>
          </w:p>
        </w:tc>
      </w:tr>
    </w:tbl>
    <w:p w:rsidR="00BF5261" w:rsidRPr="00EF12E8" w:rsidRDefault="00BF5261" w:rsidP="00EF12E8">
      <w:pPr>
        <w:pStyle w:val="04Body"/>
        <w:widowControl w:val="0"/>
        <w:spacing w:after="0" w:line="276" w:lineRule="auto"/>
        <w:outlineLvl w:val="0"/>
        <w:rPr>
          <w:rStyle w:val="Tablecaption"/>
          <w:sz w:val="28"/>
          <w:szCs w:val="28"/>
          <w:lang w:val="en-GB" w:eastAsia="vi-VN"/>
        </w:rPr>
      </w:pPr>
      <w:r w:rsidRPr="00EF12E8">
        <w:rPr>
          <w:rStyle w:val="Tablecaption"/>
          <w:sz w:val="28"/>
          <w:szCs w:val="28"/>
          <w:lang w:eastAsia="vi-VN"/>
        </w:rPr>
        <w:t xml:space="preserve">Tỷ lệ bổ sung cân đối từ ngân sách </w:t>
      </w:r>
      <w:r w:rsidRPr="00EF12E8">
        <w:rPr>
          <w:rStyle w:val="Tablecaption"/>
          <w:sz w:val="28"/>
          <w:szCs w:val="28"/>
          <w:lang w:val="en-GB" w:eastAsia="vi-VN"/>
        </w:rPr>
        <w:t xml:space="preserve">tỉnh </w:t>
      </w:r>
      <w:r w:rsidRPr="00EF12E8">
        <w:rPr>
          <w:rStyle w:val="Tablecaption"/>
          <w:sz w:val="28"/>
          <w:szCs w:val="28"/>
          <w:lang w:eastAsia="vi-VN"/>
        </w:rPr>
        <w:t>so với tổng chi ngân sách địa phương để tính toán điểm được xác định căn cứ vào dự toán</w:t>
      </w:r>
      <w:r w:rsidRPr="00EF12E8">
        <w:rPr>
          <w:rStyle w:val="Tablecaption"/>
          <w:sz w:val="28"/>
          <w:szCs w:val="28"/>
          <w:lang w:val="en-GB" w:eastAsia="vi-VN"/>
        </w:rPr>
        <w:t xml:space="preserve"> ngân sách nhà nước năm </w:t>
      </w:r>
      <w:r w:rsidRPr="00EF12E8">
        <w:rPr>
          <w:rStyle w:val="Tablecaption"/>
          <w:sz w:val="28"/>
          <w:szCs w:val="28"/>
          <w:lang w:eastAsia="vi-VN"/>
        </w:rPr>
        <w:t xml:space="preserve">2020 do </w:t>
      </w:r>
      <w:r w:rsidRPr="00EF12E8">
        <w:rPr>
          <w:rStyle w:val="Tablecaption"/>
          <w:sz w:val="28"/>
          <w:szCs w:val="28"/>
          <w:lang w:val="en-GB" w:eastAsia="vi-VN"/>
        </w:rPr>
        <w:t>Hội đồng nhân dân tỉnh</w:t>
      </w:r>
      <w:r w:rsidRPr="00EF12E8">
        <w:rPr>
          <w:rStyle w:val="Tablecaption"/>
          <w:sz w:val="28"/>
          <w:szCs w:val="28"/>
          <w:lang w:eastAsia="vi-VN"/>
        </w:rPr>
        <w:t xml:space="preserve"> </w:t>
      </w:r>
      <w:r w:rsidRPr="00EF12E8">
        <w:rPr>
          <w:rStyle w:val="Tablecaption"/>
          <w:sz w:val="28"/>
          <w:szCs w:val="28"/>
          <w:lang w:val="en-GB" w:eastAsia="vi-VN"/>
        </w:rPr>
        <w:t>giao.</w:t>
      </w:r>
    </w:p>
    <w:p w:rsidR="00BF5261" w:rsidRPr="00EF12E8" w:rsidRDefault="00874998" w:rsidP="00EF12E8">
      <w:pPr>
        <w:pStyle w:val="04Body"/>
        <w:widowControl w:val="0"/>
        <w:spacing w:after="0" w:line="276" w:lineRule="auto"/>
        <w:outlineLvl w:val="0"/>
        <w:rPr>
          <w:b/>
          <w:szCs w:val="28"/>
          <w:lang w:val="en-US"/>
        </w:rPr>
      </w:pPr>
      <w:r w:rsidRPr="00EF12E8">
        <w:rPr>
          <w:b/>
          <w:szCs w:val="28"/>
          <w:lang w:val="en-US"/>
        </w:rPr>
        <w:t>-</w:t>
      </w:r>
      <w:r w:rsidR="00BF5261" w:rsidRPr="00EF12E8">
        <w:rPr>
          <w:b/>
          <w:szCs w:val="28"/>
          <w:lang w:val="en-US"/>
        </w:rPr>
        <w:t xml:space="preserve"> Tiêu chí diện tích: </w:t>
      </w:r>
    </w:p>
    <w:p w:rsidR="00BF5261" w:rsidRPr="00EF12E8" w:rsidRDefault="00874998" w:rsidP="00EF12E8">
      <w:pPr>
        <w:pStyle w:val="04Body"/>
        <w:widowControl w:val="0"/>
        <w:spacing w:after="0" w:line="276" w:lineRule="auto"/>
        <w:outlineLvl w:val="0"/>
        <w:rPr>
          <w:szCs w:val="28"/>
          <w:lang w:val="en-US"/>
        </w:rPr>
      </w:pPr>
      <w:r w:rsidRPr="00EF12E8">
        <w:rPr>
          <w:szCs w:val="28"/>
          <w:lang w:val="en-US"/>
        </w:rPr>
        <w:t>+</w:t>
      </w:r>
      <w:r w:rsidR="00BF5261" w:rsidRPr="00EF12E8">
        <w:rPr>
          <w:szCs w:val="28"/>
          <w:lang w:val="en-US"/>
        </w:rPr>
        <w:t xml:space="preserve"> Điểm của tiêu chí diện tích đất tự nhiên: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28" w:type="dxa"/>
          <w:bottom w:w="28" w:type="dxa"/>
        </w:tblCellMar>
        <w:tblLook w:val="0000" w:firstRow="0" w:lastRow="0" w:firstColumn="0" w:lastColumn="0" w:noHBand="0" w:noVBand="0"/>
      </w:tblPr>
      <w:tblGrid>
        <w:gridCol w:w="7378"/>
        <w:gridCol w:w="2025"/>
      </w:tblGrid>
      <w:tr w:rsidR="00BF5261" w:rsidRPr="004777A4" w:rsidTr="009E5376">
        <w:tc>
          <w:tcPr>
            <w:tcW w:w="3923" w:type="pct"/>
            <w:shd w:val="clear" w:color="auto" w:fill="auto"/>
            <w:vAlign w:val="center"/>
          </w:tcPr>
          <w:p w:rsidR="00BF5261" w:rsidRPr="004777A4" w:rsidRDefault="00BF5261" w:rsidP="00EF12E8">
            <w:pPr>
              <w:pStyle w:val="Other0"/>
              <w:widowControl/>
              <w:shd w:val="clear" w:color="auto" w:fill="auto"/>
              <w:spacing w:before="120" w:after="0" w:line="276" w:lineRule="auto"/>
              <w:ind w:firstLine="0"/>
              <w:jc w:val="center"/>
              <w:rPr>
                <w:rStyle w:val="Other"/>
                <w:b/>
                <w:color w:val="000000"/>
                <w:lang w:eastAsia="vi-VN"/>
              </w:rPr>
            </w:pPr>
            <w:r w:rsidRPr="004777A4">
              <w:rPr>
                <w:rStyle w:val="Other"/>
                <w:b/>
                <w:color w:val="000000"/>
                <w:lang w:eastAsia="vi-VN"/>
              </w:rPr>
              <w:t>Diện tích đất tự nhiên</w:t>
            </w:r>
          </w:p>
        </w:tc>
        <w:tc>
          <w:tcPr>
            <w:tcW w:w="1077" w:type="pct"/>
            <w:shd w:val="clear" w:color="auto" w:fill="auto"/>
            <w:vAlign w:val="center"/>
          </w:tcPr>
          <w:p w:rsidR="00BF5261" w:rsidRPr="004777A4" w:rsidRDefault="00BF5261" w:rsidP="00EF12E8">
            <w:pPr>
              <w:pStyle w:val="Other0"/>
              <w:widowControl/>
              <w:shd w:val="clear" w:color="auto" w:fill="auto"/>
              <w:spacing w:before="120" w:after="0" w:line="276" w:lineRule="auto"/>
              <w:ind w:firstLine="0"/>
              <w:jc w:val="center"/>
              <w:rPr>
                <w:rStyle w:val="Other"/>
                <w:b/>
                <w:color w:val="000000"/>
                <w:lang w:eastAsia="vi-VN"/>
              </w:rPr>
            </w:pPr>
            <w:r w:rsidRPr="004777A4">
              <w:rPr>
                <w:rStyle w:val="Other"/>
                <w:b/>
                <w:color w:val="000000"/>
                <w:lang w:eastAsia="vi-VN"/>
              </w:rPr>
              <w:t>Điểm</w:t>
            </w:r>
          </w:p>
        </w:tc>
      </w:tr>
      <w:tr w:rsidR="00BF5261" w:rsidRPr="004777A4" w:rsidTr="009E5376">
        <w:tc>
          <w:tcPr>
            <w:tcW w:w="3923" w:type="pct"/>
            <w:shd w:val="clear" w:color="auto" w:fill="auto"/>
            <w:vAlign w:val="center"/>
          </w:tcPr>
          <w:p w:rsidR="00BF5261" w:rsidRPr="004777A4" w:rsidRDefault="00BF5261" w:rsidP="00EF12E8">
            <w:pPr>
              <w:pStyle w:val="Other0"/>
              <w:widowControl/>
              <w:shd w:val="clear" w:color="auto" w:fill="auto"/>
              <w:spacing w:before="120" w:after="0" w:line="276" w:lineRule="auto"/>
              <w:ind w:firstLine="0"/>
              <w:jc w:val="both"/>
              <w:rPr>
                <w:rStyle w:val="Other"/>
                <w:color w:val="000000"/>
                <w:lang w:eastAsia="vi-VN"/>
              </w:rPr>
            </w:pPr>
            <w:r w:rsidRPr="004777A4">
              <w:rPr>
                <w:rStyle w:val="Other"/>
              </w:rPr>
              <w:t>Đến 50.000 ha</w:t>
            </w:r>
          </w:p>
        </w:tc>
        <w:tc>
          <w:tcPr>
            <w:tcW w:w="1077" w:type="pct"/>
            <w:shd w:val="clear" w:color="auto" w:fill="auto"/>
            <w:vAlign w:val="center"/>
          </w:tcPr>
          <w:p w:rsidR="00BF5261" w:rsidRPr="004777A4" w:rsidRDefault="00BF5261" w:rsidP="00EF12E8">
            <w:pPr>
              <w:pStyle w:val="Other0"/>
              <w:widowControl/>
              <w:shd w:val="clear" w:color="auto" w:fill="auto"/>
              <w:spacing w:before="120" w:after="0" w:line="276" w:lineRule="auto"/>
              <w:ind w:firstLine="0"/>
              <w:jc w:val="center"/>
              <w:rPr>
                <w:rStyle w:val="Other"/>
                <w:color w:val="000000"/>
                <w:lang w:eastAsia="vi-VN"/>
              </w:rPr>
            </w:pPr>
            <w:r w:rsidRPr="004777A4">
              <w:rPr>
                <w:rStyle w:val="Other"/>
                <w:color w:val="000000"/>
                <w:lang w:eastAsia="vi-VN"/>
              </w:rPr>
              <w:t>8</w:t>
            </w:r>
          </w:p>
        </w:tc>
      </w:tr>
      <w:tr w:rsidR="00BF5261" w:rsidRPr="004777A4" w:rsidTr="009E5376">
        <w:tc>
          <w:tcPr>
            <w:tcW w:w="3923" w:type="pct"/>
            <w:shd w:val="clear" w:color="auto" w:fill="auto"/>
            <w:vAlign w:val="center"/>
          </w:tcPr>
          <w:p w:rsidR="00BF5261" w:rsidRPr="004777A4" w:rsidRDefault="00BF5261" w:rsidP="00EF12E8">
            <w:pPr>
              <w:pStyle w:val="Other0"/>
              <w:widowControl/>
              <w:shd w:val="clear" w:color="auto" w:fill="auto"/>
              <w:spacing w:before="120" w:after="0" w:line="276" w:lineRule="auto"/>
              <w:ind w:firstLine="0"/>
              <w:jc w:val="both"/>
              <w:rPr>
                <w:rStyle w:val="Other"/>
                <w:color w:val="000000"/>
                <w:lang w:eastAsia="vi-VN"/>
              </w:rPr>
            </w:pPr>
            <w:r w:rsidRPr="004777A4">
              <w:rPr>
                <w:rStyle w:val="Other"/>
                <w:color w:val="000000"/>
                <w:lang w:eastAsia="vi-VN"/>
              </w:rPr>
              <w:t>Trên 50.000 ha đến 70.000 ha, từ 0 đến 50.000 được tính là 8 điểm, phần còn lại cứ 10.000 ha tăng thêm được tính</w:t>
            </w:r>
          </w:p>
        </w:tc>
        <w:tc>
          <w:tcPr>
            <w:tcW w:w="1077" w:type="pct"/>
            <w:shd w:val="clear" w:color="auto" w:fill="auto"/>
            <w:vAlign w:val="center"/>
          </w:tcPr>
          <w:p w:rsidR="00BF5261" w:rsidRPr="004777A4" w:rsidRDefault="00BF5261" w:rsidP="00EF12E8">
            <w:pPr>
              <w:pStyle w:val="Other0"/>
              <w:widowControl/>
              <w:shd w:val="clear" w:color="auto" w:fill="auto"/>
              <w:spacing w:before="120" w:after="0" w:line="276" w:lineRule="auto"/>
              <w:ind w:firstLine="0"/>
              <w:jc w:val="center"/>
              <w:rPr>
                <w:rStyle w:val="Other"/>
                <w:color w:val="000000"/>
                <w:lang w:eastAsia="vi-VN"/>
              </w:rPr>
            </w:pPr>
            <w:r w:rsidRPr="004777A4">
              <w:rPr>
                <w:rStyle w:val="Other"/>
                <w:color w:val="000000"/>
                <w:lang w:eastAsia="vi-VN"/>
              </w:rPr>
              <w:t>4</w:t>
            </w:r>
          </w:p>
        </w:tc>
      </w:tr>
      <w:tr w:rsidR="00BF5261" w:rsidRPr="004777A4" w:rsidTr="009E5376">
        <w:tc>
          <w:tcPr>
            <w:tcW w:w="3923" w:type="pct"/>
            <w:shd w:val="clear" w:color="auto" w:fill="auto"/>
            <w:vAlign w:val="center"/>
          </w:tcPr>
          <w:p w:rsidR="00BF5261" w:rsidRPr="004777A4" w:rsidRDefault="00BF5261" w:rsidP="00EF12E8">
            <w:pPr>
              <w:pStyle w:val="Other0"/>
              <w:widowControl/>
              <w:shd w:val="clear" w:color="auto" w:fill="auto"/>
              <w:spacing w:before="120" w:after="0" w:line="276" w:lineRule="auto"/>
              <w:ind w:firstLine="0"/>
              <w:jc w:val="both"/>
              <w:rPr>
                <w:rStyle w:val="Other"/>
                <w:color w:val="000000"/>
                <w:lang w:eastAsia="vi-VN"/>
              </w:rPr>
            </w:pPr>
            <w:r w:rsidRPr="004777A4">
              <w:rPr>
                <w:rStyle w:val="Other"/>
                <w:color w:val="000000"/>
                <w:lang w:eastAsia="vi-VN"/>
              </w:rPr>
              <w:t>Trên 70.000 ha đến 100.000 ha, từ 0 đến 70.000 ha được tính là 16 điểm, phần còn lại cứ 10.000 ha tăng thêm được tính</w:t>
            </w:r>
          </w:p>
        </w:tc>
        <w:tc>
          <w:tcPr>
            <w:tcW w:w="1077" w:type="pct"/>
            <w:shd w:val="clear" w:color="auto" w:fill="auto"/>
            <w:vAlign w:val="center"/>
          </w:tcPr>
          <w:p w:rsidR="00BF5261" w:rsidRPr="004777A4" w:rsidRDefault="00BF5261" w:rsidP="00EF12E8">
            <w:pPr>
              <w:pStyle w:val="Other0"/>
              <w:widowControl/>
              <w:shd w:val="clear" w:color="auto" w:fill="auto"/>
              <w:spacing w:before="120" w:after="0" w:line="276" w:lineRule="auto"/>
              <w:ind w:firstLine="0"/>
              <w:jc w:val="center"/>
              <w:rPr>
                <w:rStyle w:val="Other"/>
                <w:color w:val="000000"/>
                <w:lang w:eastAsia="vi-VN"/>
              </w:rPr>
            </w:pPr>
            <w:r w:rsidRPr="004777A4">
              <w:rPr>
                <w:rStyle w:val="Other"/>
                <w:color w:val="000000"/>
                <w:lang w:eastAsia="vi-VN"/>
              </w:rPr>
              <w:t>2</w:t>
            </w:r>
          </w:p>
        </w:tc>
      </w:tr>
      <w:tr w:rsidR="00BF5261" w:rsidRPr="004777A4" w:rsidTr="009E5376">
        <w:tc>
          <w:tcPr>
            <w:tcW w:w="3923" w:type="pct"/>
            <w:shd w:val="clear" w:color="auto" w:fill="auto"/>
            <w:vAlign w:val="center"/>
          </w:tcPr>
          <w:p w:rsidR="00BF5261" w:rsidRPr="004777A4" w:rsidRDefault="00BF5261" w:rsidP="00EF12E8">
            <w:pPr>
              <w:pStyle w:val="Other0"/>
              <w:widowControl/>
              <w:shd w:val="clear" w:color="auto" w:fill="auto"/>
              <w:spacing w:before="120" w:after="0" w:line="276" w:lineRule="auto"/>
              <w:ind w:firstLine="0"/>
              <w:jc w:val="both"/>
              <w:rPr>
                <w:rStyle w:val="Other"/>
                <w:color w:val="000000"/>
                <w:lang w:eastAsia="vi-VN"/>
              </w:rPr>
            </w:pPr>
            <w:r w:rsidRPr="004777A4">
              <w:rPr>
                <w:rStyle w:val="Other"/>
                <w:color w:val="000000"/>
                <w:lang w:eastAsia="vi-VN"/>
              </w:rPr>
              <w:t>Trên 100.000 ha, từ 0 đến 100.000 ha được tính là 22 điểm, phần còn lại cứ 10.000 ha tăng thêm được tính</w:t>
            </w:r>
          </w:p>
        </w:tc>
        <w:tc>
          <w:tcPr>
            <w:tcW w:w="1077" w:type="pct"/>
            <w:shd w:val="clear" w:color="auto" w:fill="auto"/>
            <w:vAlign w:val="center"/>
          </w:tcPr>
          <w:p w:rsidR="00BF5261" w:rsidRPr="004777A4" w:rsidRDefault="00BF5261" w:rsidP="00EF12E8">
            <w:pPr>
              <w:pStyle w:val="Other0"/>
              <w:widowControl/>
              <w:shd w:val="clear" w:color="auto" w:fill="auto"/>
              <w:spacing w:before="120" w:after="0" w:line="276" w:lineRule="auto"/>
              <w:ind w:firstLine="0"/>
              <w:jc w:val="center"/>
              <w:rPr>
                <w:rStyle w:val="Other"/>
                <w:color w:val="000000"/>
                <w:lang w:eastAsia="vi-VN"/>
              </w:rPr>
            </w:pPr>
            <w:r w:rsidRPr="004777A4">
              <w:rPr>
                <w:rStyle w:val="Other"/>
                <w:color w:val="000000"/>
                <w:lang w:eastAsia="vi-VN"/>
              </w:rPr>
              <w:t>0,5</w:t>
            </w:r>
          </w:p>
        </w:tc>
      </w:tr>
    </w:tbl>
    <w:p w:rsidR="00BF5261" w:rsidRPr="00EF12E8" w:rsidRDefault="00BF5261" w:rsidP="00EF12E8">
      <w:pPr>
        <w:pStyle w:val="04Body"/>
        <w:widowControl w:val="0"/>
        <w:spacing w:after="0" w:line="276" w:lineRule="auto"/>
        <w:outlineLvl w:val="0"/>
        <w:rPr>
          <w:szCs w:val="28"/>
          <w:lang w:val="en-US"/>
        </w:rPr>
      </w:pPr>
      <w:r w:rsidRPr="00EF12E8">
        <w:rPr>
          <w:rStyle w:val="Tablecaption"/>
          <w:color w:val="000000"/>
          <w:sz w:val="28"/>
          <w:szCs w:val="28"/>
          <w:lang w:eastAsia="vi-VN"/>
        </w:rPr>
        <w:t xml:space="preserve">Diện tích đất tự nhiên của các địa phương để tính toán điểm được xác </w:t>
      </w:r>
      <w:r w:rsidRPr="00EF12E8">
        <w:rPr>
          <w:szCs w:val="28"/>
          <w:lang w:val="en-US"/>
        </w:rPr>
        <w:t xml:space="preserve">định </w:t>
      </w:r>
      <w:r w:rsidRPr="00EF12E8">
        <w:rPr>
          <w:szCs w:val="28"/>
          <w:lang w:val="en-US"/>
        </w:rPr>
        <w:lastRenderedPageBreak/>
        <w:t>căn cứ vào số liệu của Niên giám thống kê năm 2019.</w:t>
      </w:r>
    </w:p>
    <w:p w:rsidR="00BF5261" w:rsidRPr="00EF12E8" w:rsidRDefault="00874998" w:rsidP="00EF12E8">
      <w:pPr>
        <w:pStyle w:val="04Body"/>
        <w:widowControl w:val="0"/>
        <w:spacing w:after="0" w:line="276" w:lineRule="auto"/>
        <w:outlineLvl w:val="0"/>
        <w:rPr>
          <w:szCs w:val="28"/>
          <w:lang w:val="en-US"/>
        </w:rPr>
      </w:pPr>
      <w:r w:rsidRPr="00EF12E8">
        <w:rPr>
          <w:szCs w:val="28"/>
          <w:lang w:val="en-US"/>
        </w:rPr>
        <w:t>+</w:t>
      </w:r>
      <w:r w:rsidR="00BF5261" w:rsidRPr="00EF12E8">
        <w:rPr>
          <w:szCs w:val="28"/>
          <w:lang w:val="en-US"/>
        </w:rPr>
        <w:t xml:space="preserve"> Điểm của tiêu chí tỷ lệ che phủ rừng của các địa phương:</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28" w:type="dxa"/>
          <w:bottom w:w="28" w:type="dxa"/>
        </w:tblCellMar>
        <w:tblLook w:val="0000" w:firstRow="0" w:lastRow="0" w:firstColumn="0" w:lastColumn="0" w:noHBand="0" w:noVBand="0"/>
      </w:tblPr>
      <w:tblGrid>
        <w:gridCol w:w="7378"/>
        <w:gridCol w:w="2025"/>
      </w:tblGrid>
      <w:tr w:rsidR="00BF5261" w:rsidRPr="00876D53" w:rsidTr="009E5376">
        <w:tc>
          <w:tcPr>
            <w:tcW w:w="3923" w:type="pct"/>
            <w:shd w:val="clear" w:color="auto" w:fill="auto"/>
            <w:vAlign w:val="center"/>
          </w:tcPr>
          <w:p w:rsidR="00BF5261" w:rsidRPr="00876D53" w:rsidRDefault="00BF5261" w:rsidP="00EF12E8">
            <w:pPr>
              <w:pStyle w:val="Other0"/>
              <w:widowControl/>
              <w:shd w:val="clear" w:color="auto" w:fill="auto"/>
              <w:spacing w:before="120" w:after="0" w:line="276" w:lineRule="auto"/>
              <w:ind w:firstLine="0"/>
              <w:jc w:val="center"/>
              <w:rPr>
                <w:rStyle w:val="Other"/>
                <w:b/>
                <w:color w:val="000000"/>
                <w:lang w:eastAsia="vi-VN"/>
              </w:rPr>
            </w:pPr>
            <w:r w:rsidRPr="00876D53">
              <w:rPr>
                <w:rStyle w:val="Other"/>
                <w:b/>
                <w:color w:val="000000"/>
                <w:lang w:eastAsia="vi-VN"/>
              </w:rPr>
              <w:t>Tỷ lệ che phủ rừng</w:t>
            </w:r>
          </w:p>
        </w:tc>
        <w:tc>
          <w:tcPr>
            <w:tcW w:w="1077" w:type="pct"/>
            <w:shd w:val="clear" w:color="auto" w:fill="auto"/>
            <w:vAlign w:val="center"/>
          </w:tcPr>
          <w:p w:rsidR="00BF5261" w:rsidRPr="00876D53" w:rsidRDefault="00BF5261" w:rsidP="00EF12E8">
            <w:pPr>
              <w:pStyle w:val="Other0"/>
              <w:widowControl/>
              <w:shd w:val="clear" w:color="auto" w:fill="auto"/>
              <w:spacing w:before="120" w:after="0" w:line="276" w:lineRule="auto"/>
              <w:ind w:firstLine="0"/>
              <w:jc w:val="center"/>
              <w:rPr>
                <w:rStyle w:val="Other"/>
                <w:b/>
                <w:color w:val="000000"/>
                <w:lang w:eastAsia="vi-VN"/>
              </w:rPr>
            </w:pPr>
            <w:r w:rsidRPr="00876D53">
              <w:rPr>
                <w:rStyle w:val="Other"/>
                <w:b/>
                <w:color w:val="000000"/>
                <w:lang w:eastAsia="vi-VN"/>
              </w:rPr>
              <w:t>Điểm</w:t>
            </w:r>
          </w:p>
        </w:tc>
      </w:tr>
      <w:tr w:rsidR="00BF5261" w:rsidRPr="00876D53" w:rsidTr="009E5376">
        <w:tc>
          <w:tcPr>
            <w:tcW w:w="3923" w:type="pct"/>
            <w:shd w:val="clear" w:color="auto" w:fill="auto"/>
            <w:vAlign w:val="center"/>
          </w:tcPr>
          <w:p w:rsidR="00BF5261" w:rsidRPr="00876D53" w:rsidRDefault="00BF5261" w:rsidP="00EF12E8">
            <w:pPr>
              <w:pStyle w:val="Other0"/>
              <w:widowControl/>
              <w:shd w:val="clear" w:color="auto" w:fill="auto"/>
              <w:spacing w:before="120" w:after="0" w:line="276" w:lineRule="auto"/>
              <w:ind w:firstLine="0"/>
              <w:jc w:val="both"/>
              <w:rPr>
                <w:rStyle w:val="Other"/>
                <w:color w:val="000000"/>
                <w:lang w:eastAsia="vi-VN"/>
              </w:rPr>
            </w:pPr>
            <w:r w:rsidRPr="00876D53">
              <w:rPr>
                <w:rStyle w:val="Other"/>
                <w:color w:val="000000"/>
                <w:lang w:eastAsia="vi-VN"/>
              </w:rPr>
              <w:t>Đến 20%</w:t>
            </w:r>
          </w:p>
        </w:tc>
        <w:tc>
          <w:tcPr>
            <w:tcW w:w="1077" w:type="pct"/>
            <w:shd w:val="clear" w:color="auto" w:fill="auto"/>
            <w:vAlign w:val="center"/>
          </w:tcPr>
          <w:p w:rsidR="00BF5261" w:rsidRPr="00876D53" w:rsidRDefault="00BF5261" w:rsidP="00EF12E8">
            <w:pPr>
              <w:pStyle w:val="Other0"/>
              <w:widowControl/>
              <w:shd w:val="clear" w:color="auto" w:fill="auto"/>
              <w:spacing w:before="120" w:after="0" w:line="276" w:lineRule="auto"/>
              <w:ind w:firstLine="0"/>
              <w:jc w:val="center"/>
              <w:rPr>
                <w:rStyle w:val="Other"/>
                <w:color w:val="000000"/>
                <w:lang w:eastAsia="vi-VN"/>
              </w:rPr>
            </w:pPr>
            <w:r w:rsidRPr="00876D53">
              <w:rPr>
                <w:rStyle w:val="Other"/>
                <w:color w:val="000000"/>
                <w:lang w:eastAsia="vi-VN"/>
              </w:rPr>
              <w:t>0,5</w:t>
            </w:r>
          </w:p>
        </w:tc>
      </w:tr>
      <w:tr w:rsidR="00BF5261" w:rsidRPr="00876D53" w:rsidTr="009E5376">
        <w:tc>
          <w:tcPr>
            <w:tcW w:w="3923" w:type="pct"/>
            <w:shd w:val="clear" w:color="auto" w:fill="auto"/>
            <w:vAlign w:val="center"/>
          </w:tcPr>
          <w:p w:rsidR="00BF5261" w:rsidRPr="00876D53" w:rsidRDefault="00BF5261" w:rsidP="00EF12E8">
            <w:pPr>
              <w:pStyle w:val="Other0"/>
              <w:widowControl/>
              <w:shd w:val="clear" w:color="auto" w:fill="auto"/>
              <w:spacing w:before="120" w:after="0" w:line="276" w:lineRule="auto"/>
              <w:ind w:firstLine="0"/>
              <w:jc w:val="both"/>
              <w:rPr>
                <w:rStyle w:val="Other"/>
                <w:color w:val="000000"/>
                <w:lang w:eastAsia="vi-VN"/>
              </w:rPr>
            </w:pPr>
            <w:r w:rsidRPr="00876D53">
              <w:rPr>
                <w:rStyle w:val="Other"/>
                <w:color w:val="000000"/>
                <w:lang w:eastAsia="vi-VN"/>
              </w:rPr>
              <w:t>Trên 20% đến 50%</w:t>
            </w:r>
          </w:p>
        </w:tc>
        <w:tc>
          <w:tcPr>
            <w:tcW w:w="1077" w:type="pct"/>
            <w:shd w:val="clear" w:color="auto" w:fill="auto"/>
            <w:vAlign w:val="center"/>
          </w:tcPr>
          <w:p w:rsidR="00BF5261" w:rsidRPr="00876D53" w:rsidRDefault="00BF5261" w:rsidP="00EF12E8">
            <w:pPr>
              <w:pStyle w:val="Other0"/>
              <w:widowControl/>
              <w:shd w:val="clear" w:color="auto" w:fill="auto"/>
              <w:spacing w:before="120" w:after="0" w:line="276" w:lineRule="auto"/>
              <w:ind w:firstLine="0"/>
              <w:jc w:val="center"/>
              <w:rPr>
                <w:rStyle w:val="Other"/>
                <w:color w:val="000000"/>
                <w:lang w:eastAsia="vi-VN"/>
              </w:rPr>
            </w:pPr>
            <w:r w:rsidRPr="00876D53">
              <w:rPr>
                <w:rStyle w:val="Other"/>
                <w:color w:val="000000"/>
                <w:lang w:eastAsia="vi-VN"/>
              </w:rPr>
              <w:t>1</w:t>
            </w:r>
          </w:p>
        </w:tc>
      </w:tr>
      <w:tr w:rsidR="00BF5261" w:rsidRPr="00876D53" w:rsidTr="009E5376">
        <w:tc>
          <w:tcPr>
            <w:tcW w:w="3923" w:type="pct"/>
            <w:shd w:val="clear" w:color="auto" w:fill="auto"/>
            <w:vAlign w:val="center"/>
          </w:tcPr>
          <w:p w:rsidR="00BF5261" w:rsidRPr="00876D53" w:rsidRDefault="00BF5261" w:rsidP="00EF12E8">
            <w:pPr>
              <w:pStyle w:val="Other0"/>
              <w:widowControl/>
              <w:shd w:val="clear" w:color="auto" w:fill="auto"/>
              <w:spacing w:before="120" w:after="0" w:line="276" w:lineRule="auto"/>
              <w:ind w:firstLine="0"/>
              <w:jc w:val="both"/>
              <w:rPr>
                <w:rStyle w:val="Other"/>
                <w:color w:val="000000"/>
                <w:lang w:eastAsia="vi-VN"/>
              </w:rPr>
            </w:pPr>
            <w:r w:rsidRPr="00876D53">
              <w:rPr>
                <w:rStyle w:val="Other"/>
                <w:color w:val="000000"/>
                <w:lang w:eastAsia="vi-VN"/>
              </w:rPr>
              <w:t>Trên 50% trở lên</w:t>
            </w:r>
          </w:p>
        </w:tc>
        <w:tc>
          <w:tcPr>
            <w:tcW w:w="1077" w:type="pct"/>
            <w:shd w:val="clear" w:color="auto" w:fill="auto"/>
            <w:vAlign w:val="center"/>
          </w:tcPr>
          <w:p w:rsidR="00BF5261" w:rsidRPr="00876D53" w:rsidRDefault="00BF5261" w:rsidP="00EF12E8">
            <w:pPr>
              <w:pStyle w:val="Other0"/>
              <w:widowControl/>
              <w:shd w:val="clear" w:color="auto" w:fill="auto"/>
              <w:spacing w:before="120" w:after="0" w:line="276" w:lineRule="auto"/>
              <w:ind w:firstLine="0"/>
              <w:jc w:val="center"/>
              <w:rPr>
                <w:rStyle w:val="Other"/>
                <w:color w:val="000000"/>
                <w:lang w:eastAsia="vi-VN"/>
              </w:rPr>
            </w:pPr>
            <w:r w:rsidRPr="00876D53">
              <w:rPr>
                <w:rStyle w:val="Other"/>
                <w:color w:val="000000"/>
                <w:lang w:eastAsia="vi-VN"/>
              </w:rPr>
              <w:t>2</w:t>
            </w:r>
          </w:p>
        </w:tc>
      </w:tr>
    </w:tbl>
    <w:p w:rsidR="00BF5261" w:rsidRPr="00EF12E8" w:rsidRDefault="00BF5261" w:rsidP="00EF12E8">
      <w:pPr>
        <w:pStyle w:val="04Body"/>
        <w:widowControl w:val="0"/>
        <w:spacing w:after="0" w:line="276" w:lineRule="auto"/>
        <w:outlineLvl w:val="0"/>
        <w:rPr>
          <w:rStyle w:val="Tablecaption"/>
          <w:color w:val="000000"/>
          <w:sz w:val="28"/>
          <w:szCs w:val="28"/>
          <w:lang w:eastAsia="vi-VN"/>
        </w:rPr>
      </w:pPr>
      <w:r w:rsidRPr="00EF12E8">
        <w:rPr>
          <w:rStyle w:val="Tablecaption"/>
          <w:color w:val="000000"/>
          <w:sz w:val="28"/>
          <w:szCs w:val="28"/>
          <w:lang w:eastAsia="vi-VN"/>
        </w:rPr>
        <w:t xml:space="preserve">Tỷ lệ che phủ rừng của các địa phương để tính toán điểm được xác định căn cứ vào số liệu của </w:t>
      </w:r>
      <w:r w:rsidRPr="00EF12E8">
        <w:rPr>
          <w:rStyle w:val="Tablecaption"/>
          <w:color w:val="000000"/>
          <w:sz w:val="28"/>
          <w:szCs w:val="28"/>
          <w:lang w:val="en-GB" w:eastAsia="vi-VN"/>
        </w:rPr>
        <w:t>Sở</w:t>
      </w:r>
      <w:r w:rsidRPr="00EF12E8">
        <w:rPr>
          <w:rStyle w:val="Tablecaption"/>
          <w:color w:val="000000"/>
          <w:sz w:val="28"/>
          <w:szCs w:val="28"/>
          <w:lang w:eastAsia="vi-VN"/>
        </w:rPr>
        <w:t xml:space="preserve"> Nông nghiệp và Phát triển Nông thôn năm 2019.</w:t>
      </w:r>
    </w:p>
    <w:p w:rsidR="00BF5261" w:rsidRPr="00EF12E8" w:rsidRDefault="00874998" w:rsidP="00EF12E8">
      <w:pPr>
        <w:pStyle w:val="04Body"/>
        <w:widowControl w:val="0"/>
        <w:spacing w:after="0" w:line="276" w:lineRule="auto"/>
        <w:outlineLvl w:val="0"/>
        <w:rPr>
          <w:b/>
          <w:szCs w:val="28"/>
          <w:lang w:val="en-US"/>
        </w:rPr>
      </w:pPr>
      <w:r w:rsidRPr="00EF12E8">
        <w:rPr>
          <w:b/>
          <w:szCs w:val="28"/>
          <w:lang w:val="en-US"/>
        </w:rPr>
        <w:t>-</w:t>
      </w:r>
      <w:r w:rsidR="00BF5261" w:rsidRPr="00EF12E8">
        <w:rPr>
          <w:b/>
          <w:szCs w:val="28"/>
          <w:lang w:val="en-US"/>
        </w:rPr>
        <w:t xml:space="preserve"> Tiêu chí đơn vị hành chính cấp xã:</w:t>
      </w:r>
    </w:p>
    <w:p w:rsidR="00BF5261" w:rsidRPr="00EF12E8" w:rsidRDefault="00874998" w:rsidP="00EF12E8">
      <w:pPr>
        <w:pStyle w:val="04Body"/>
        <w:widowControl w:val="0"/>
        <w:spacing w:after="0" w:line="276" w:lineRule="auto"/>
        <w:outlineLvl w:val="0"/>
        <w:rPr>
          <w:szCs w:val="28"/>
          <w:lang w:val="en-US"/>
        </w:rPr>
      </w:pPr>
      <w:r w:rsidRPr="00EF12E8">
        <w:rPr>
          <w:szCs w:val="28"/>
          <w:lang w:val="en-US"/>
        </w:rPr>
        <w:t>+</w:t>
      </w:r>
      <w:r w:rsidR="00BF5261" w:rsidRPr="00EF12E8">
        <w:rPr>
          <w:szCs w:val="28"/>
          <w:lang w:val="en-US"/>
        </w:rPr>
        <w:t xml:space="preserve"> Điểm của tiêu chí đơn vị hành chính cấp xã:</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28" w:type="dxa"/>
          <w:bottom w:w="28" w:type="dxa"/>
        </w:tblCellMar>
        <w:tblLook w:val="0000" w:firstRow="0" w:lastRow="0" w:firstColumn="0" w:lastColumn="0" w:noHBand="0" w:noVBand="0"/>
      </w:tblPr>
      <w:tblGrid>
        <w:gridCol w:w="7378"/>
        <w:gridCol w:w="2025"/>
      </w:tblGrid>
      <w:tr w:rsidR="00BF5261" w:rsidRPr="0081543F" w:rsidTr="009E5376">
        <w:tc>
          <w:tcPr>
            <w:tcW w:w="3923" w:type="pct"/>
            <w:shd w:val="clear" w:color="auto" w:fill="auto"/>
            <w:vAlign w:val="center"/>
          </w:tcPr>
          <w:p w:rsidR="00BF5261" w:rsidRPr="0081543F" w:rsidRDefault="00BF5261" w:rsidP="00EF12E8">
            <w:pPr>
              <w:pStyle w:val="Other0"/>
              <w:widowControl/>
              <w:shd w:val="clear" w:color="auto" w:fill="auto"/>
              <w:spacing w:before="120" w:after="0" w:line="276" w:lineRule="auto"/>
              <w:ind w:firstLine="0"/>
              <w:jc w:val="center"/>
              <w:rPr>
                <w:rStyle w:val="Other"/>
                <w:b/>
                <w:color w:val="000000"/>
                <w:lang w:eastAsia="vi-VN"/>
              </w:rPr>
            </w:pPr>
            <w:r w:rsidRPr="0081543F">
              <w:rPr>
                <w:rStyle w:val="Other"/>
                <w:b/>
                <w:color w:val="000000"/>
                <w:lang w:eastAsia="vi-VN"/>
              </w:rPr>
              <w:t>Đơn vị hành chính cấp xã</w:t>
            </w:r>
          </w:p>
        </w:tc>
        <w:tc>
          <w:tcPr>
            <w:tcW w:w="1077" w:type="pct"/>
            <w:shd w:val="clear" w:color="auto" w:fill="auto"/>
            <w:vAlign w:val="center"/>
          </w:tcPr>
          <w:p w:rsidR="00BF5261" w:rsidRPr="0081543F" w:rsidRDefault="00BF5261" w:rsidP="00EF12E8">
            <w:pPr>
              <w:pStyle w:val="Other0"/>
              <w:widowControl/>
              <w:shd w:val="clear" w:color="auto" w:fill="auto"/>
              <w:spacing w:before="120" w:after="0" w:line="276" w:lineRule="auto"/>
              <w:ind w:firstLine="0"/>
              <w:jc w:val="center"/>
              <w:rPr>
                <w:rStyle w:val="Other"/>
                <w:b/>
                <w:color w:val="000000"/>
                <w:lang w:eastAsia="vi-VN"/>
              </w:rPr>
            </w:pPr>
            <w:r w:rsidRPr="0081543F">
              <w:rPr>
                <w:rStyle w:val="Other"/>
                <w:b/>
                <w:color w:val="000000"/>
                <w:lang w:eastAsia="vi-VN"/>
              </w:rPr>
              <w:t>Điểm</w:t>
            </w:r>
          </w:p>
        </w:tc>
      </w:tr>
      <w:tr w:rsidR="00BF5261" w:rsidRPr="0081543F" w:rsidTr="009E5376">
        <w:tc>
          <w:tcPr>
            <w:tcW w:w="3923" w:type="pct"/>
            <w:shd w:val="clear" w:color="auto" w:fill="auto"/>
            <w:vAlign w:val="center"/>
          </w:tcPr>
          <w:p w:rsidR="00BF5261" w:rsidRPr="0081543F" w:rsidRDefault="00BF5261" w:rsidP="00EF12E8">
            <w:pPr>
              <w:pStyle w:val="Other0"/>
              <w:widowControl/>
              <w:shd w:val="clear" w:color="auto" w:fill="auto"/>
              <w:spacing w:before="120" w:after="0" w:line="276" w:lineRule="auto"/>
              <w:ind w:firstLine="0"/>
              <w:rPr>
                <w:rStyle w:val="Other"/>
                <w:color w:val="000000"/>
                <w:lang w:eastAsia="vi-VN"/>
              </w:rPr>
            </w:pPr>
            <w:r w:rsidRPr="0081543F">
              <w:rPr>
                <w:rStyle w:val="Other"/>
                <w:color w:val="000000"/>
                <w:lang w:eastAsia="vi-VN"/>
              </w:rPr>
              <w:t>Mỗi xã được tính</w:t>
            </w:r>
          </w:p>
        </w:tc>
        <w:tc>
          <w:tcPr>
            <w:tcW w:w="1077" w:type="pct"/>
            <w:shd w:val="clear" w:color="auto" w:fill="auto"/>
            <w:vAlign w:val="center"/>
          </w:tcPr>
          <w:p w:rsidR="00BF5261" w:rsidRPr="0081543F" w:rsidRDefault="00BF5261" w:rsidP="00EF12E8">
            <w:pPr>
              <w:pStyle w:val="Other0"/>
              <w:widowControl/>
              <w:shd w:val="clear" w:color="auto" w:fill="auto"/>
              <w:spacing w:before="120" w:after="0" w:line="276" w:lineRule="auto"/>
              <w:ind w:firstLine="0"/>
              <w:jc w:val="center"/>
              <w:rPr>
                <w:rStyle w:val="Other"/>
                <w:color w:val="000000"/>
                <w:lang w:eastAsia="vi-VN"/>
              </w:rPr>
            </w:pPr>
            <w:r w:rsidRPr="0081543F">
              <w:rPr>
                <w:rStyle w:val="Other"/>
                <w:color w:val="000000"/>
                <w:lang w:eastAsia="vi-VN"/>
              </w:rPr>
              <w:t>0,5</w:t>
            </w:r>
          </w:p>
        </w:tc>
      </w:tr>
    </w:tbl>
    <w:p w:rsidR="00BF5261" w:rsidRPr="00EF12E8" w:rsidRDefault="00BF5261" w:rsidP="00EF12E8">
      <w:pPr>
        <w:pStyle w:val="04Body"/>
        <w:widowControl w:val="0"/>
        <w:spacing w:after="0" w:line="276" w:lineRule="auto"/>
        <w:outlineLvl w:val="0"/>
        <w:rPr>
          <w:rStyle w:val="Tablecaption"/>
          <w:sz w:val="28"/>
          <w:szCs w:val="28"/>
          <w:lang w:val="en-US"/>
        </w:rPr>
      </w:pPr>
      <w:r w:rsidRPr="00EF12E8">
        <w:rPr>
          <w:rStyle w:val="Tablecaption"/>
          <w:sz w:val="28"/>
          <w:szCs w:val="28"/>
        </w:rPr>
        <w:t xml:space="preserve">Số đơn vị hành chính cấp </w:t>
      </w:r>
      <w:r w:rsidRPr="00EF12E8">
        <w:rPr>
          <w:rStyle w:val="Tablecaption"/>
          <w:sz w:val="28"/>
          <w:szCs w:val="28"/>
          <w:lang w:val="en-GB"/>
        </w:rPr>
        <w:t>xã</w:t>
      </w:r>
      <w:r w:rsidRPr="00EF12E8">
        <w:rPr>
          <w:rStyle w:val="Tablecaption"/>
          <w:sz w:val="28"/>
          <w:szCs w:val="28"/>
        </w:rPr>
        <w:t xml:space="preserve"> để tính toán điểm được xác định căn cứ vào số liệu của </w:t>
      </w:r>
      <w:r w:rsidRPr="00EF12E8">
        <w:rPr>
          <w:rStyle w:val="Tablecaption"/>
          <w:sz w:val="28"/>
          <w:szCs w:val="28"/>
          <w:lang w:val="en-GB"/>
        </w:rPr>
        <w:t xml:space="preserve">Sở </w:t>
      </w:r>
      <w:r w:rsidRPr="00EF12E8">
        <w:rPr>
          <w:rStyle w:val="Tablecaption"/>
          <w:sz w:val="28"/>
          <w:szCs w:val="28"/>
        </w:rPr>
        <w:t xml:space="preserve">Nội vụ về số đơn vị hành chính cấp </w:t>
      </w:r>
      <w:r w:rsidRPr="00EF12E8">
        <w:rPr>
          <w:rStyle w:val="Tablecaption"/>
          <w:sz w:val="28"/>
          <w:szCs w:val="28"/>
          <w:lang w:val="en-GB"/>
        </w:rPr>
        <w:t>xã</w:t>
      </w:r>
      <w:r w:rsidRPr="00EF12E8">
        <w:rPr>
          <w:rStyle w:val="Tablecaption"/>
          <w:sz w:val="28"/>
          <w:szCs w:val="28"/>
        </w:rPr>
        <w:t xml:space="preserve"> tính đến ngày 31 tháng </w:t>
      </w:r>
      <w:r w:rsidRPr="00EF12E8">
        <w:rPr>
          <w:rStyle w:val="Tablecaption"/>
          <w:sz w:val="28"/>
          <w:szCs w:val="28"/>
          <w:lang w:val="en-GB"/>
        </w:rPr>
        <w:t>10</w:t>
      </w:r>
      <w:r w:rsidRPr="00EF12E8">
        <w:rPr>
          <w:rStyle w:val="Tablecaption"/>
          <w:sz w:val="28"/>
          <w:szCs w:val="28"/>
        </w:rPr>
        <w:t xml:space="preserve"> năm 2020</w:t>
      </w:r>
      <w:r w:rsidR="00083734" w:rsidRPr="00EF12E8">
        <w:rPr>
          <w:rStyle w:val="Tablecaption"/>
          <w:sz w:val="28"/>
          <w:szCs w:val="28"/>
          <w:lang w:val="en-US"/>
        </w:rPr>
        <w:t>.</w:t>
      </w:r>
    </w:p>
    <w:p w:rsidR="00BF5261" w:rsidRPr="00EF12E8" w:rsidRDefault="00874998" w:rsidP="00EF12E8">
      <w:pPr>
        <w:pStyle w:val="04Body"/>
        <w:widowControl w:val="0"/>
        <w:spacing w:after="0" w:line="276" w:lineRule="auto"/>
        <w:outlineLvl w:val="0"/>
        <w:rPr>
          <w:szCs w:val="28"/>
          <w:lang w:val="en-US"/>
        </w:rPr>
      </w:pPr>
      <w:r w:rsidRPr="00EF12E8">
        <w:rPr>
          <w:szCs w:val="28"/>
          <w:lang w:val="en-US"/>
        </w:rPr>
        <w:t>+</w:t>
      </w:r>
      <w:r w:rsidR="00BF5261" w:rsidRPr="00EF12E8">
        <w:rPr>
          <w:szCs w:val="28"/>
          <w:lang w:val="en-US"/>
        </w:rPr>
        <w:t xml:space="preserve"> Điểm của tiêu chí đơn vị hành chính cấp xã miền núi:</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28" w:type="dxa"/>
          <w:bottom w:w="28" w:type="dxa"/>
        </w:tblCellMar>
        <w:tblLook w:val="0000" w:firstRow="0" w:lastRow="0" w:firstColumn="0" w:lastColumn="0" w:noHBand="0" w:noVBand="0"/>
      </w:tblPr>
      <w:tblGrid>
        <w:gridCol w:w="6744"/>
        <w:gridCol w:w="2659"/>
      </w:tblGrid>
      <w:tr w:rsidR="00BF5261" w:rsidRPr="00E73450" w:rsidTr="009E5376">
        <w:tc>
          <w:tcPr>
            <w:tcW w:w="3586" w:type="pct"/>
            <w:shd w:val="clear" w:color="auto" w:fill="auto"/>
            <w:vAlign w:val="center"/>
          </w:tcPr>
          <w:p w:rsidR="00BF5261" w:rsidRPr="00E73450" w:rsidRDefault="00BF5261" w:rsidP="00EF12E8">
            <w:pPr>
              <w:pStyle w:val="Other0"/>
              <w:widowControl/>
              <w:shd w:val="clear" w:color="auto" w:fill="auto"/>
              <w:spacing w:before="120" w:after="0" w:line="276" w:lineRule="auto"/>
              <w:ind w:firstLine="0"/>
              <w:jc w:val="center"/>
              <w:rPr>
                <w:rStyle w:val="Other"/>
                <w:b/>
                <w:color w:val="000000"/>
                <w:lang w:eastAsia="vi-VN"/>
              </w:rPr>
            </w:pPr>
            <w:r w:rsidRPr="00E73450">
              <w:rPr>
                <w:rStyle w:val="Other"/>
                <w:b/>
                <w:color w:val="000000"/>
                <w:lang w:eastAsia="vi-VN"/>
              </w:rPr>
              <w:t>Đơn vị hành chính cấp xã miền núi</w:t>
            </w:r>
          </w:p>
        </w:tc>
        <w:tc>
          <w:tcPr>
            <w:tcW w:w="1414" w:type="pct"/>
            <w:shd w:val="clear" w:color="auto" w:fill="auto"/>
            <w:vAlign w:val="center"/>
          </w:tcPr>
          <w:p w:rsidR="00BF5261" w:rsidRPr="00E73450" w:rsidRDefault="00BF5261" w:rsidP="00EF12E8">
            <w:pPr>
              <w:pStyle w:val="Other0"/>
              <w:widowControl/>
              <w:shd w:val="clear" w:color="auto" w:fill="auto"/>
              <w:spacing w:before="120" w:after="0" w:line="276" w:lineRule="auto"/>
              <w:ind w:firstLine="0"/>
              <w:jc w:val="center"/>
              <w:rPr>
                <w:rStyle w:val="Other"/>
                <w:b/>
                <w:color w:val="000000"/>
                <w:lang w:eastAsia="vi-VN"/>
              </w:rPr>
            </w:pPr>
            <w:r w:rsidRPr="00E73450">
              <w:rPr>
                <w:rStyle w:val="Other"/>
                <w:b/>
                <w:color w:val="000000"/>
                <w:lang w:eastAsia="vi-VN"/>
              </w:rPr>
              <w:t>Điểm</w:t>
            </w:r>
          </w:p>
        </w:tc>
      </w:tr>
      <w:tr w:rsidR="00BF5261" w:rsidRPr="00E73450" w:rsidTr="009E5376">
        <w:tc>
          <w:tcPr>
            <w:tcW w:w="3586" w:type="pct"/>
            <w:shd w:val="clear" w:color="auto" w:fill="auto"/>
            <w:vAlign w:val="center"/>
          </w:tcPr>
          <w:p w:rsidR="00BF5261" w:rsidRPr="00E73450" w:rsidRDefault="00BF5261" w:rsidP="00EF12E8">
            <w:pPr>
              <w:pStyle w:val="Other0"/>
              <w:widowControl/>
              <w:shd w:val="clear" w:color="auto" w:fill="auto"/>
              <w:spacing w:before="120" w:after="0" w:line="276" w:lineRule="auto"/>
              <w:ind w:firstLine="0"/>
              <w:rPr>
                <w:rStyle w:val="Other"/>
                <w:color w:val="000000"/>
                <w:lang w:eastAsia="vi-VN"/>
              </w:rPr>
            </w:pPr>
            <w:r w:rsidRPr="00E73450">
              <w:rPr>
                <w:rStyle w:val="Other"/>
                <w:color w:val="000000"/>
                <w:lang w:eastAsia="vi-VN"/>
              </w:rPr>
              <w:t>Mỗi xã được tính</w:t>
            </w:r>
          </w:p>
        </w:tc>
        <w:tc>
          <w:tcPr>
            <w:tcW w:w="1414" w:type="pct"/>
            <w:shd w:val="clear" w:color="auto" w:fill="auto"/>
            <w:vAlign w:val="center"/>
          </w:tcPr>
          <w:p w:rsidR="00BF5261" w:rsidRPr="00E73450" w:rsidRDefault="00BF5261" w:rsidP="00EF12E8">
            <w:pPr>
              <w:pStyle w:val="Other0"/>
              <w:widowControl/>
              <w:shd w:val="clear" w:color="auto" w:fill="auto"/>
              <w:spacing w:before="120" w:after="0" w:line="276" w:lineRule="auto"/>
              <w:ind w:firstLine="0"/>
              <w:jc w:val="center"/>
              <w:rPr>
                <w:rStyle w:val="Other"/>
                <w:color w:val="000000"/>
                <w:lang w:eastAsia="vi-VN"/>
              </w:rPr>
            </w:pPr>
            <w:r w:rsidRPr="00E73450">
              <w:rPr>
                <w:rStyle w:val="Other"/>
                <w:color w:val="000000"/>
                <w:lang w:eastAsia="vi-VN"/>
              </w:rPr>
              <w:t>0,2</w:t>
            </w:r>
          </w:p>
        </w:tc>
      </w:tr>
    </w:tbl>
    <w:p w:rsidR="00BF5261" w:rsidRPr="00EF12E8" w:rsidRDefault="00BF5261" w:rsidP="00EF12E8">
      <w:pPr>
        <w:pStyle w:val="04Body"/>
        <w:widowControl w:val="0"/>
        <w:spacing w:after="0" w:line="276" w:lineRule="auto"/>
        <w:outlineLvl w:val="0"/>
        <w:rPr>
          <w:rStyle w:val="Tablecaption"/>
          <w:sz w:val="28"/>
          <w:szCs w:val="28"/>
          <w:lang w:val="en-GB"/>
        </w:rPr>
      </w:pPr>
      <w:r w:rsidRPr="00EF12E8">
        <w:rPr>
          <w:rStyle w:val="Tablecaption"/>
          <w:sz w:val="28"/>
          <w:szCs w:val="28"/>
        </w:rPr>
        <w:t xml:space="preserve">Số đơn vị hành chính cấp </w:t>
      </w:r>
      <w:r w:rsidRPr="00EF12E8">
        <w:rPr>
          <w:rStyle w:val="Tablecaption"/>
          <w:sz w:val="28"/>
          <w:szCs w:val="28"/>
          <w:lang w:val="en-GB"/>
        </w:rPr>
        <w:t>xã</w:t>
      </w:r>
      <w:r w:rsidRPr="00EF12E8">
        <w:rPr>
          <w:rStyle w:val="Tablecaption"/>
          <w:sz w:val="28"/>
          <w:szCs w:val="28"/>
        </w:rPr>
        <w:t xml:space="preserve"> miền núi để tính toán điểm được xác định căn cứ vào số liệu của </w:t>
      </w:r>
      <w:r w:rsidR="00083734" w:rsidRPr="00EF12E8">
        <w:rPr>
          <w:szCs w:val="28"/>
          <w:lang w:val="en-US"/>
        </w:rPr>
        <w:t xml:space="preserve">Văn phòng Đoàn ĐBQH, HĐND và </w:t>
      </w:r>
      <w:r w:rsidRPr="00EF12E8">
        <w:rPr>
          <w:szCs w:val="28"/>
          <w:lang w:val="en-US"/>
        </w:rPr>
        <w:t xml:space="preserve">UBND tỉnh (Phòng Nông nghiệp - Tài nguyên Môi trường) </w:t>
      </w:r>
      <w:r w:rsidRPr="00EF12E8">
        <w:rPr>
          <w:rStyle w:val="Tablecaption"/>
          <w:sz w:val="28"/>
          <w:szCs w:val="28"/>
        </w:rPr>
        <w:t xml:space="preserve">tính đến ngày 31 tháng </w:t>
      </w:r>
      <w:r w:rsidRPr="00EF12E8">
        <w:rPr>
          <w:rStyle w:val="Tablecaption"/>
          <w:sz w:val="28"/>
          <w:szCs w:val="28"/>
          <w:lang w:val="en-GB"/>
        </w:rPr>
        <w:t>10</w:t>
      </w:r>
      <w:r w:rsidRPr="00EF12E8">
        <w:rPr>
          <w:rStyle w:val="Tablecaption"/>
          <w:sz w:val="28"/>
          <w:szCs w:val="28"/>
        </w:rPr>
        <w:t xml:space="preserve"> năm 2020.</w:t>
      </w:r>
    </w:p>
    <w:p w:rsidR="00BF5261" w:rsidRPr="00EF12E8" w:rsidRDefault="00874998" w:rsidP="00EF12E8">
      <w:pPr>
        <w:pStyle w:val="04Body"/>
        <w:widowControl w:val="0"/>
        <w:spacing w:after="0" w:line="276" w:lineRule="auto"/>
        <w:outlineLvl w:val="0"/>
        <w:rPr>
          <w:szCs w:val="28"/>
          <w:lang w:val="en-US"/>
        </w:rPr>
      </w:pPr>
      <w:r w:rsidRPr="00EF12E8">
        <w:rPr>
          <w:szCs w:val="28"/>
          <w:lang w:val="en-US"/>
        </w:rPr>
        <w:t>+</w:t>
      </w:r>
      <w:r w:rsidR="00BF5261" w:rsidRPr="00EF12E8">
        <w:rPr>
          <w:szCs w:val="28"/>
          <w:lang w:val="en-US"/>
        </w:rPr>
        <w:t xml:space="preserve"> Điểm của tiêu chí đơn vị hành chính cấp xã biên giới đất liền: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28" w:type="dxa"/>
          <w:bottom w:w="28" w:type="dxa"/>
        </w:tblCellMar>
        <w:tblLook w:val="0000" w:firstRow="0" w:lastRow="0" w:firstColumn="0" w:lastColumn="0" w:noHBand="0" w:noVBand="0"/>
      </w:tblPr>
      <w:tblGrid>
        <w:gridCol w:w="6748"/>
        <w:gridCol w:w="2655"/>
      </w:tblGrid>
      <w:tr w:rsidR="00BF5261" w:rsidRPr="004832B3" w:rsidTr="009E5376">
        <w:tc>
          <w:tcPr>
            <w:tcW w:w="3588" w:type="pct"/>
            <w:shd w:val="clear" w:color="auto" w:fill="auto"/>
            <w:vAlign w:val="center"/>
          </w:tcPr>
          <w:p w:rsidR="00BF5261" w:rsidRPr="004832B3" w:rsidRDefault="00BF5261" w:rsidP="00EF12E8">
            <w:pPr>
              <w:pStyle w:val="Other0"/>
              <w:widowControl/>
              <w:shd w:val="clear" w:color="auto" w:fill="auto"/>
              <w:spacing w:before="120" w:after="0" w:line="276" w:lineRule="auto"/>
              <w:ind w:firstLine="0"/>
              <w:jc w:val="center"/>
              <w:rPr>
                <w:rStyle w:val="Other"/>
                <w:b/>
                <w:color w:val="000000"/>
                <w:lang w:eastAsia="vi-VN"/>
              </w:rPr>
            </w:pPr>
            <w:r w:rsidRPr="004832B3">
              <w:rPr>
                <w:rStyle w:val="Other"/>
                <w:b/>
                <w:color w:val="000000"/>
                <w:lang w:eastAsia="vi-VN"/>
              </w:rPr>
              <w:t>Đơn vị hành chính cấp xã biên giới đất liền</w:t>
            </w:r>
          </w:p>
        </w:tc>
        <w:tc>
          <w:tcPr>
            <w:tcW w:w="1412" w:type="pct"/>
            <w:shd w:val="clear" w:color="auto" w:fill="auto"/>
            <w:vAlign w:val="center"/>
          </w:tcPr>
          <w:p w:rsidR="00BF5261" w:rsidRPr="004832B3" w:rsidRDefault="00BF5261" w:rsidP="00EF12E8">
            <w:pPr>
              <w:pStyle w:val="Other0"/>
              <w:widowControl/>
              <w:shd w:val="clear" w:color="auto" w:fill="auto"/>
              <w:spacing w:before="120" w:after="0" w:line="276" w:lineRule="auto"/>
              <w:ind w:firstLine="0"/>
              <w:jc w:val="center"/>
              <w:rPr>
                <w:rStyle w:val="Other"/>
                <w:b/>
                <w:color w:val="000000"/>
                <w:lang w:eastAsia="vi-VN"/>
              </w:rPr>
            </w:pPr>
            <w:r w:rsidRPr="004832B3">
              <w:rPr>
                <w:rStyle w:val="Other"/>
                <w:b/>
                <w:color w:val="000000"/>
                <w:lang w:eastAsia="vi-VN"/>
              </w:rPr>
              <w:t>Điểm</w:t>
            </w:r>
          </w:p>
        </w:tc>
      </w:tr>
      <w:tr w:rsidR="00BF5261" w:rsidRPr="004832B3" w:rsidTr="009E5376">
        <w:tc>
          <w:tcPr>
            <w:tcW w:w="3588" w:type="pct"/>
            <w:shd w:val="clear" w:color="auto" w:fill="auto"/>
            <w:vAlign w:val="center"/>
          </w:tcPr>
          <w:p w:rsidR="00BF5261" w:rsidRPr="004832B3" w:rsidRDefault="00BF5261" w:rsidP="00EF12E8">
            <w:pPr>
              <w:pStyle w:val="Other0"/>
              <w:widowControl/>
              <w:shd w:val="clear" w:color="auto" w:fill="auto"/>
              <w:spacing w:before="120" w:after="0" w:line="276" w:lineRule="auto"/>
              <w:ind w:firstLine="0"/>
              <w:rPr>
                <w:rStyle w:val="Other"/>
                <w:color w:val="000000"/>
                <w:lang w:eastAsia="vi-VN"/>
              </w:rPr>
            </w:pPr>
            <w:r w:rsidRPr="004832B3">
              <w:rPr>
                <w:rStyle w:val="Other"/>
                <w:color w:val="000000"/>
                <w:lang w:eastAsia="vi-VN"/>
              </w:rPr>
              <w:t>Mỗi xã được tính</w:t>
            </w:r>
          </w:p>
        </w:tc>
        <w:tc>
          <w:tcPr>
            <w:tcW w:w="1412" w:type="pct"/>
            <w:shd w:val="clear" w:color="auto" w:fill="auto"/>
            <w:vAlign w:val="center"/>
          </w:tcPr>
          <w:p w:rsidR="00BF5261" w:rsidRPr="004832B3" w:rsidRDefault="00BF5261" w:rsidP="00EF12E8">
            <w:pPr>
              <w:pStyle w:val="Other0"/>
              <w:widowControl/>
              <w:shd w:val="clear" w:color="auto" w:fill="auto"/>
              <w:spacing w:before="120" w:after="0" w:line="276" w:lineRule="auto"/>
              <w:ind w:firstLine="0"/>
              <w:jc w:val="center"/>
              <w:rPr>
                <w:rStyle w:val="Other"/>
                <w:color w:val="000000"/>
                <w:lang w:eastAsia="vi-VN"/>
              </w:rPr>
            </w:pPr>
            <w:r w:rsidRPr="004832B3">
              <w:rPr>
                <w:rStyle w:val="Other"/>
                <w:color w:val="000000"/>
                <w:lang w:eastAsia="vi-VN"/>
              </w:rPr>
              <w:t>0,2</w:t>
            </w:r>
          </w:p>
        </w:tc>
      </w:tr>
    </w:tbl>
    <w:p w:rsidR="00BF5261" w:rsidRPr="00EF12E8" w:rsidRDefault="00BF5261" w:rsidP="00EF12E8">
      <w:pPr>
        <w:pStyle w:val="04Body"/>
        <w:widowControl w:val="0"/>
        <w:spacing w:after="0" w:line="276" w:lineRule="auto"/>
        <w:outlineLvl w:val="0"/>
        <w:rPr>
          <w:rStyle w:val="Tablecaption"/>
          <w:sz w:val="28"/>
          <w:szCs w:val="28"/>
          <w:lang w:val="en-GB"/>
        </w:rPr>
      </w:pPr>
      <w:r w:rsidRPr="00EF12E8">
        <w:rPr>
          <w:rStyle w:val="Tablecaption"/>
          <w:sz w:val="28"/>
          <w:szCs w:val="28"/>
        </w:rPr>
        <w:t xml:space="preserve">Số đơn vị hành chính cấp </w:t>
      </w:r>
      <w:r w:rsidRPr="00EF12E8">
        <w:rPr>
          <w:rStyle w:val="Tablecaption"/>
          <w:sz w:val="28"/>
          <w:szCs w:val="28"/>
          <w:lang w:val="en-GB"/>
        </w:rPr>
        <w:t>xã</w:t>
      </w:r>
      <w:r w:rsidRPr="00EF12E8">
        <w:rPr>
          <w:rStyle w:val="Tablecaption"/>
          <w:sz w:val="28"/>
          <w:szCs w:val="28"/>
        </w:rPr>
        <w:t xml:space="preserve"> biên giới đất liền để tính toán điểm được xác định căn cứ vào số liệu của </w:t>
      </w:r>
      <w:r w:rsidRPr="00EF12E8">
        <w:rPr>
          <w:rStyle w:val="Tablecaption"/>
          <w:sz w:val="28"/>
          <w:szCs w:val="28"/>
          <w:lang w:val="en-GB"/>
        </w:rPr>
        <w:t xml:space="preserve">Sở Ngoại vụ </w:t>
      </w:r>
      <w:r w:rsidRPr="00EF12E8">
        <w:rPr>
          <w:rStyle w:val="Tablecaption"/>
          <w:sz w:val="28"/>
          <w:szCs w:val="28"/>
        </w:rPr>
        <w:t xml:space="preserve">về số đơn vị hành chính cấp </w:t>
      </w:r>
      <w:r w:rsidRPr="00EF12E8">
        <w:rPr>
          <w:rStyle w:val="Tablecaption"/>
          <w:sz w:val="28"/>
          <w:szCs w:val="28"/>
          <w:lang w:val="en-GB"/>
        </w:rPr>
        <w:t>xã</w:t>
      </w:r>
      <w:r w:rsidRPr="00EF12E8">
        <w:rPr>
          <w:rStyle w:val="Tablecaption"/>
          <w:sz w:val="28"/>
          <w:szCs w:val="28"/>
        </w:rPr>
        <w:t xml:space="preserve"> biên giới đất liền tính đến ngày 31 tháng </w:t>
      </w:r>
      <w:r w:rsidRPr="00EF12E8">
        <w:rPr>
          <w:rStyle w:val="Tablecaption"/>
          <w:sz w:val="28"/>
          <w:szCs w:val="28"/>
          <w:lang w:val="en-GB"/>
        </w:rPr>
        <w:t>10</w:t>
      </w:r>
      <w:r w:rsidRPr="00EF12E8">
        <w:rPr>
          <w:rStyle w:val="Tablecaption"/>
          <w:sz w:val="28"/>
          <w:szCs w:val="28"/>
        </w:rPr>
        <w:t xml:space="preserve"> năm 2020.</w:t>
      </w:r>
    </w:p>
    <w:p w:rsidR="00BF5261" w:rsidRPr="00EF12E8" w:rsidRDefault="006C6372" w:rsidP="00EF12E8">
      <w:pPr>
        <w:pStyle w:val="04Body"/>
        <w:widowControl w:val="0"/>
        <w:spacing w:after="0" w:line="276" w:lineRule="auto"/>
        <w:outlineLvl w:val="0"/>
        <w:rPr>
          <w:b/>
          <w:szCs w:val="28"/>
          <w:lang w:val="en-US"/>
        </w:rPr>
      </w:pPr>
      <w:r w:rsidRPr="00EF12E8">
        <w:rPr>
          <w:b/>
          <w:szCs w:val="28"/>
          <w:lang w:val="en-US"/>
        </w:rPr>
        <w:t>-</w:t>
      </w:r>
      <w:r w:rsidR="00BF5261" w:rsidRPr="00EF12E8">
        <w:rPr>
          <w:b/>
          <w:szCs w:val="28"/>
          <w:lang w:val="en-US"/>
        </w:rPr>
        <w:t xml:space="preserve"> Các tiêu chí bổ sung:</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28" w:type="dxa"/>
          <w:bottom w:w="28" w:type="dxa"/>
        </w:tblCellMar>
        <w:tblLook w:val="0000" w:firstRow="0" w:lastRow="0" w:firstColumn="0" w:lastColumn="0" w:noHBand="0" w:noVBand="0"/>
      </w:tblPr>
      <w:tblGrid>
        <w:gridCol w:w="6742"/>
        <w:gridCol w:w="2661"/>
      </w:tblGrid>
      <w:tr w:rsidR="00BF5261" w:rsidRPr="004832B3" w:rsidTr="009E5376">
        <w:tc>
          <w:tcPr>
            <w:tcW w:w="3585" w:type="pct"/>
            <w:shd w:val="clear" w:color="auto" w:fill="auto"/>
            <w:vAlign w:val="center"/>
          </w:tcPr>
          <w:p w:rsidR="00BF5261" w:rsidRPr="004832B3" w:rsidRDefault="00BF5261" w:rsidP="00EF12E8">
            <w:pPr>
              <w:pStyle w:val="Other0"/>
              <w:widowControl/>
              <w:shd w:val="clear" w:color="auto" w:fill="auto"/>
              <w:spacing w:before="120" w:after="0" w:line="276" w:lineRule="auto"/>
              <w:ind w:firstLine="0"/>
              <w:jc w:val="center"/>
              <w:rPr>
                <w:rStyle w:val="Other"/>
                <w:b/>
                <w:color w:val="000000"/>
                <w:lang w:eastAsia="vi-VN"/>
              </w:rPr>
            </w:pPr>
            <w:r w:rsidRPr="004832B3">
              <w:rPr>
                <w:rStyle w:val="Other"/>
                <w:b/>
                <w:color w:val="000000"/>
                <w:lang w:eastAsia="vi-VN"/>
              </w:rPr>
              <w:t>Địa phương</w:t>
            </w:r>
          </w:p>
        </w:tc>
        <w:tc>
          <w:tcPr>
            <w:tcW w:w="1415" w:type="pct"/>
            <w:shd w:val="clear" w:color="auto" w:fill="auto"/>
            <w:vAlign w:val="center"/>
          </w:tcPr>
          <w:p w:rsidR="00BF5261" w:rsidRPr="004832B3" w:rsidRDefault="00BF5261" w:rsidP="00EF12E8">
            <w:pPr>
              <w:pStyle w:val="Other0"/>
              <w:widowControl/>
              <w:shd w:val="clear" w:color="auto" w:fill="auto"/>
              <w:spacing w:before="120" w:after="0" w:line="276" w:lineRule="auto"/>
              <w:ind w:firstLine="0"/>
              <w:jc w:val="center"/>
              <w:rPr>
                <w:rStyle w:val="Other"/>
                <w:b/>
                <w:color w:val="000000"/>
                <w:lang w:eastAsia="vi-VN"/>
              </w:rPr>
            </w:pPr>
            <w:r w:rsidRPr="004832B3">
              <w:rPr>
                <w:rStyle w:val="Other"/>
                <w:b/>
                <w:color w:val="000000"/>
                <w:lang w:eastAsia="vi-VN"/>
              </w:rPr>
              <w:t>Điểm</w:t>
            </w:r>
          </w:p>
        </w:tc>
      </w:tr>
      <w:tr w:rsidR="00BF5261" w:rsidRPr="004832B3" w:rsidTr="009E5376">
        <w:tc>
          <w:tcPr>
            <w:tcW w:w="3585" w:type="pct"/>
            <w:shd w:val="clear" w:color="auto" w:fill="auto"/>
            <w:vAlign w:val="center"/>
          </w:tcPr>
          <w:p w:rsidR="00BF5261" w:rsidRPr="004832B3" w:rsidRDefault="00BF5261" w:rsidP="00EF12E8">
            <w:pPr>
              <w:pStyle w:val="Other0"/>
              <w:widowControl/>
              <w:shd w:val="clear" w:color="auto" w:fill="auto"/>
              <w:spacing w:before="120" w:after="0" w:line="276" w:lineRule="auto"/>
              <w:ind w:firstLine="0"/>
              <w:jc w:val="both"/>
              <w:rPr>
                <w:rStyle w:val="Other"/>
                <w:color w:val="000000"/>
                <w:lang w:eastAsia="vi-VN"/>
              </w:rPr>
            </w:pPr>
            <w:r w:rsidRPr="004832B3">
              <w:rPr>
                <w:rStyle w:val="Other"/>
                <w:color w:val="000000"/>
                <w:lang w:eastAsia="vi-VN"/>
              </w:rPr>
              <w:t>Đô thị loại IV trực thuộc tỉnh</w:t>
            </w:r>
          </w:p>
        </w:tc>
        <w:tc>
          <w:tcPr>
            <w:tcW w:w="1415" w:type="pct"/>
            <w:shd w:val="clear" w:color="auto" w:fill="auto"/>
            <w:vAlign w:val="center"/>
          </w:tcPr>
          <w:p w:rsidR="00BF5261" w:rsidRPr="004832B3" w:rsidRDefault="00BF5261" w:rsidP="00EF12E8">
            <w:pPr>
              <w:pStyle w:val="Other0"/>
              <w:widowControl/>
              <w:shd w:val="clear" w:color="auto" w:fill="auto"/>
              <w:spacing w:before="120" w:after="0" w:line="276" w:lineRule="auto"/>
              <w:ind w:firstLine="0"/>
              <w:jc w:val="center"/>
              <w:rPr>
                <w:rStyle w:val="Other"/>
                <w:color w:val="000000"/>
                <w:lang w:eastAsia="vi-VN"/>
              </w:rPr>
            </w:pPr>
            <w:r w:rsidRPr="004832B3">
              <w:rPr>
                <w:rStyle w:val="Other"/>
                <w:color w:val="000000"/>
                <w:lang w:eastAsia="vi-VN"/>
              </w:rPr>
              <w:t>20</w:t>
            </w:r>
          </w:p>
        </w:tc>
      </w:tr>
      <w:tr w:rsidR="00BF5261" w:rsidRPr="004832B3" w:rsidTr="009E5376">
        <w:tc>
          <w:tcPr>
            <w:tcW w:w="3585" w:type="pct"/>
            <w:shd w:val="clear" w:color="auto" w:fill="auto"/>
            <w:vAlign w:val="center"/>
          </w:tcPr>
          <w:p w:rsidR="00BF5261" w:rsidRPr="004832B3" w:rsidRDefault="00BF5261" w:rsidP="00EF12E8">
            <w:pPr>
              <w:pStyle w:val="Other0"/>
              <w:widowControl/>
              <w:shd w:val="clear" w:color="auto" w:fill="auto"/>
              <w:spacing w:before="120" w:after="0" w:line="276" w:lineRule="auto"/>
              <w:ind w:firstLine="0"/>
              <w:jc w:val="both"/>
              <w:rPr>
                <w:rStyle w:val="Other"/>
                <w:color w:val="000000"/>
                <w:lang w:eastAsia="vi-VN"/>
              </w:rPr>
            </w:pPr>
            <w:r w:rsidRPr="004832B3">
              <w:rPr>
                <w:rStyle w:val="Other"/>
                <w:color w:val="000000"/>
                <w:lang w:eastAsia="vi-VN"/>
              </w:rPr>
              <w:lastRenderedPageBreak/>
              <w:t>Đô thị loại III trực thuộc tỉnh</w:t>
            </w:r>
          </w:p>
        </w:tc>
        <w:tc>
          <w:tcPr>
            <w:tcW w:w="1415" w:type="pct"/>
            <w:shd w:val="clear" w:color="auto" w:fill="auto"/>
            <w:vAlign w:val="center"/>
          </w:tcPr>
          <w:p w:rsidR="00BF5261" w:rsidRPr="004832B3" w:rsidRDefault="00BF5261" w:rsidP="00EF12E8">
            <w:pPr>
              <w:pStyle w:val="Other0"/>
              <w:widowControl/>
              <w:shd w:val="clear" w:color="auto" w:fill="auto"/>
              <w:spacing w:before="120" w:after="0" w:line="276" w:lineRule="auto"/>
              <w:ind w:firstLine="0"/>
              <w:jc w:val="center"/>
              <w:rPr>
                <w:rStyle w:val="Other"/>
                <w:color w:val="000000"/>
                <w:lang w:eastAsia="vi-VN"/>
              </w:rPr>
            </w:pPr>
            <w:r w:rsidRPr="004832B3">
              <w:rPr>
                <w:rStyle w:val="Other"/>
                <w:color w:val="000000"/>
                <w:lang w:eastAsia="vi-VN"/>
              </w:rPr>
              <w:t>30</w:t>
            </w:r>
          </w:p>
        </w:tc>
      </w:tr>
      <w:tr w:rsidR="00BF5261" w:rsidRPr="004832B3" w:rsidTr="009E5376">
        <w:tc>
          <w:tcPr>
            <w:tcW w:w="3585" w:type="pct"/>
            <w:shd w:val="clear" w:color="auto" w:fill="auto"/>
            <w:vAlign w:val="center"/>
          </w:tcPr>
          <w:p w:rsidR="00BF5261" w:rsidRPr="004832B3" w:rsidRDefault="00BF5261" w:rsidP="00EF12E8">
            <w:pPr>
              <w:pStyle w:val="Other0"/>
              <w:widowControl/>
              <w:shd w:val="clear" w:color="auto" w:fill="auto"/>
              <w:spacing w:before="120" w:after="0" w:line="276" w:lineRule="auto"/>
              <w:ind w:firstLine="0"/>
              <w:jc w:val="both"/>
              <w:rPr>
                <w:rStyle w:val="Other"/>
                <w:color w:val="000000"/>
                <w:lang w:eastAsia="vi-VN"/>
              </w:rPr>
            </w:pPr>
            <w:r w:rsidRPr="004832B3">
              <w:rPr>
                <w:rStyle w:val="Other"/>
                <w:color w:val="000000"/>
                <w:lang w:eastAsia="vi-VN"/>
              </w:rPr>
              <w:t>Đô thị loại II trực thuộc tỉnh</w:t>
            </w:r>
          </w:p>
        </w:tc>
        <w:tc>
          <w:tcPr>
            <w:tcW w:w="1415" w:type="pct"/>
            <w:shd w:val="clear" w:color="auto" w:fill="auto"/>
            <w:vAlign w:val="center"/>
          </w:tcPr>
          <w:p w:rsidR="00BF5261" w:rsidRPr="004832B3" w:rsidRDefault="00BF5261" w:rsidP="00EF12E8">
            <w:pPr>
              <w:pStyle w:val="Other0"/>
              <w:widowControl/>
              <w:shd w:val="clear" w:color="auto" w:fill="auto"/>
              <w:spacing w:before="120" w:after="0" w:line="276" w:lineRule="auto"/>
              <w:ind w:firstLine="0"/>
              <w:jc w:val="center"/>
              <w:rPr>
                <w:rStyle w:val="Other"/>
                <w:color w:val="000000"/>
                <w:lang w:eastAsia="vi-VN"/>
              </w:rPr>
            </w:pPr>
            <w:r w:rsidRPr="004832B3">
              <w:rPr>
                <w:rStyle w:val="Other"/>
                <w:color w:val="000000"/>
                <w:lang w:eastAsia="vi-VN"/>
              </w:rPr>
              <w:t>40</w:t>
            </w:r>
          </w:p>
        </w:tc>
      </w:tr>
      <w:tr w:rsidR="00BF5261" w:rsidRPr="004832B3" w:rsidTr="009E5376">
        <w:tc>
          <w:tcPr>
            <w:tcW w:w="3585" w:type="pct"/>
            <w:shd w:val="clear" w:color="auto" w:fill="auto"/>
            <w:vAlign w:val="center"/>
          </w:tcPr>
          <w:p w:rsidR="00BF5261" w:rsidRPr="004832B3" w:rsidRDefault="00655943" w:rsidP="00EF12E8">
            <w:pPr>
              <w:pStyle w:val="Other0"/>
              <w:widowControl/>
              <w:shd w:val="clear" w:color="auto" w:fill="auto"/>
              <w:spacing w:before="120" w:after="0" w:line="276" w:lineRule="auto"/>
              <w:ind w:firstLine="0"/>
              <w:jc w:val="both"/>
              <w:rPr>
                <w:rStyle w:val="Other"/>
                <w:color w:val="000000"/>
                <w:lang w:eastAsia="vi-VN"/>
              </w:rPr>
            </w:pPr>
            <w:r w:rsidRPr="004832B3">
              <w:rPr>
                <w:rStyle w:val="Other"/>
                <w:color w:val="000000"/>
                <w:lang w:eastAsia="vi-VN"/>
              </w:rPr>
              <w:t>Xây dựng huyện đạt chuẩn nông thôn mới (Hương Khê, Kỳ Anh)</w:t>
            </w:r>
          </w:p>
        </w:tc>
        <w:tc>
          <w:tcPr>
            <w:tcW w:w="1415" w:type="pct"/>
            <w:shd w:val="clear" w:color="auto" w:fill="auto"/>
            <w:vAlign w:val="center"/>
          </w:tcPr>
          <w:p w:rsidR="00BF5261" w:rsidRPr="004832B3" w:rsidRDefault="00BF5261" w:rsidP="00EF12E8">
            <w:pPr>
              <w:pStyle w:val="Other0"/>
              <w:widowControl/>
              <w:shd w:val="clear" w:color="auto" w:fill="auto"/>
              <w:spacing w:before="120" w:after="0" w:line="276" w:lineRule="auto"/>
              <w:ind w:firstLine="0"/>
              <w:jc w:val="center"/>
              <w:rPr>
                <w:rStyle w:val="Other"/>
                <w:color w:val="000000"/>
                <w:lang w:eastAsia="vi-VN"/>
              </w:rPr>
            </w:pPr>
            <w:r w:rsidRPr="004832B3">
              <w:rPr>
                <w:rStyle w:val="Other"/>
                <w:color w:val="000000"/>
                <w:lang w:eastAsia="vi-VN"/>
              </w:rPr>
              <w:t>20</w:t>
            </w:r>
          </w:p>
        </w:tc>
      </w:tr>
      <w:tr w:rsidR="00BF5261" w:rsidRPr="004832B3" w:rsidTr="009E5376">
        <w:tc>
          <w:tcPr>
            <w:tcW w:w="3585" w:type="pct"/>
            <w:shd w:val="clear" w:color="auto" w:fill="auto"/>
            <w:vAlign w:val="center"/>
          </w:tcPr>
          <w:p w:rsidR="00BF5261" w:rsidRPr="004832B3" w:rsidRDefault="00655943" w:rsidP="00EF12E8">
            <w:pPr>
              <w:pStyle w:val="Other0"/>
              <w:widowControl/>
              <w:shd w:val="clear" w:color="auto" w:fill="auto"/>
              <w:spacing w:before="120" w:after="0" w:line="276" w:lineRule="auto"/>
              <w:ind w:firstLine="0"/>
              <w:jc w:val="both"/>
              <w:rPr>
                <w:rStyle w:val="Other"/>
                <w:color w:val="000000"/>
                <w:lang w:eastAsia="vi-VN"/>
              </w:rPr>
            </w:pPr>
            <w:r w:rsidRPr="004832B3">
              <w:rPr>
                <w:rStyle w:val="Other"/>
                <w:color w:val="000000"/>
                <w:lang w:eastAsia="vi-VN"/>
              </w:rPr>
              <w:t>Xây dựng huyện đạt chuẩn nông thôn mới kiểu mẫu (Nghi Xuân)</w:t>
            </w:r>
          </w:p>
        </w:tc>
        <w:tc>
          <w:tcPr>
            <w:tcW w:w="1415" w:type="pct"/>
            <w:shd w:val="clear" w:color="auto" w:fill="auto"/>
            <w:vAlign w:val="center"/>
          </w:tcPr>
          <w:p w:rsidR="00BF5261" w:rsidRPr="004832B3" w:rsidRDefault="00BF5261" w:rsidP="00EF12E8">
            <w:pPr>
              <w:pStyle w:val="Other0"/>
              <w:widowControl/>
              <w:shd w:val="clear" w:color="auto" w:fill="auto"/>
              <w:spacing w:before="120" w:after="0" w:line="276" w:lineRule="auto"/>
              <w:ind w:firstLine="0"/>
              <w:jc w:val="center"/>
              <w:rPr>
                <w:rStyle w:val="Other"/>
                <w:color w:val="000000"/>
                <w:lang w:eastAsia="vi-VN"/>
              </w:rPr>
            </w:pPr>
            <w:r w:rsidRPr="004832B3">
              <w:rPr>
                <w:rStyle w:val="Other"/>
                <w:color w:val="000000"/>
                <w:lang w:eastAsia="vi-VN"/>
              </w:rPr>
              <w:t>30</w:t>
            </w:r>
          </w:p>
        </w:tc>
      </w:tr>
    </w:tbl>
    <w:p w:rsidR="00BF5261" w:rsidRPr="00EF12E8" w:rsidRDefault="00BF5261" w:rsidP="00EF12E8">
      <w:pPr>
        <w:pStyle w:val="04Body"/>
        <w:widowControl w:val="0"/>
        <w:spacing w:after="0" w:line="276" w:lineRule="auto"/>
        <w:outlineLvl w:val="0"/>
        <w:rPr>
          <w:szCs w:val="28"/>
          <w:lang w:val="en-US"/>
        </w:rPr>
      </w:pPr>
      <w:r w:rsidRPr="00EF12E8">
        <w:rPr>
          <w:szCs w:val="28"/>
          <w:lang w:val="en-US"/>
        </w:rPr>
        <w:t>Số đô thị trực thuộc tỉnh để tính toán điểm được căn cứ vào số liệu của Sở Xây dựng đến ngày 31/10/2020.</w:t>
      </w:r>
    </w:p>
    <w:p w:rsidR="00DF24F8" w:rsidRPr="00EF12E8" w:rsidRDefault="00DF24F8" w:rsidP="00EF12E8">
      <w:pPr>
        <w:pStyle w:val="04Body"/>
        <w:widowControl w:val="0"/>
        <w:spacing w:after="0" w:line="276" w:lineRule="auto"/>
        <w:outlineLvl w:val="0"/>
        <w:rPr>
          <w:i/>
          <w:szCs w:val="28"/>
          <w:lang w:val="en-GB"/>
        </w:rPr>
      </w:pPr>
      <w:r w:rsidRPr="00EF12E8">
        <w:rPr>
          <w:i/>
        </w:rPr>
        <w:t>Việc lựa chọn các tiêu chí và thang điểm để tính định mức vốn</w:t>
      </w:r>
      <w:r w:rsidRPr="00EF12E8">
        <w:rPr>
          <w:i/>
          <w:lang w:val="en-GB"/>
        </w:rPr>
        <w:t xml:space="preserve"> đầu tư trong cân đối ngân sách địa phương bổ sung có mục tiêu cho ngân sách cấp huyện </w:t>
      </w:r>
      <w:r w:rsidR="00A9366F" w:rsidRPr="00EF12E8">
        <w:rPr>
          <w:i/>
          <w:lang w:val="en-GB"/>
        </w:rPr>
        <w:t xml:space="preserve">tại điểm b và điểm c </w:t>
      </w:r>
      <w:r w:rsidRPr="00EF12E8">
        <w:rPr>
          <w:i/>
          <w:lang w:val="en-GB"/>
        </w:rPr>
        <w:t xml:space="preserve">nêu trên </w:t>
      </w:r>
      <w:r w:rsidRPr="00EF12E8">
        <w:rPr>
          <w:i/>
        </w:rPr>
        <w:t xml:space="preserve">được xây dựng trên cơ sở áp dụng </w:t>
      </w:r>
      <w:r w:rsidRPr="00EF12E8">
        <w:rPr>
          <w:i/>
          <w:lang w:val="en-GB"/>
        </w:rPr>
        <w:t xml:space="preserve">theo </w:t>
      </w:r>
      <w:r w:rsidRPr="00EF12E8">
        <w:rPr>
          <w:i/>
        </w:rPr>
        <w:t xml:space="preserve">các tiêu chí, thang điểm tính định mức phân bổ vốn </w:t>
      </w:r>
      <w:r w:rsidR="00271C97" w:rsidRPr="00EF12E8">
        <w:rPr>
          <w:i/>
          <w:lang w:val="en-GB"/>
        </w:rPr>
        <w:t xml:space="preserve">ngân sách </w:t>
      </w:r>
      <w:r w:rsidR="00083734" w:rsidRPr="00EF12E8">
        <w:rPr>
          <w:i/>
          <w:lang w:val="en-GB"/>
        </w:rPr>
        <w:t>T</w:t>
      </w:r>
      <w:r w:rsidR="00271C97" w:rsidRPr="00EF12E8">
        <w:rPr>
          <w:i/>
          <w:lang w:val="en-GB"/>
        </w:rPr>
        <w:t xml:space="preserve">rung ương bổ sung có mục tiêu </w:t>
      </w:r>
      <w:r w:rsidRPr="00EF12E8">
        <w:rPr>
          <w:i/>
        </w:rPr>
        <w:t xml:space="preserve">cho </w:t>
      </w:r>
      <w:r w:rsidR="00C035C0" w:rsidRPr="00EF12E8">
        <w:rPr>
          <w:i/>
          <w:lang w:val="en-GB"/>
        </w:rPr>
        <w:t>ngân sách</w:t>
      </w:r>
      <w:r w:rsidRPr="00EF12E8">
        <w:rPr>
          <w:i/>
        </w:rPr>
        <w:t xml:space="preserve"> địa phương tại Quyết định số 26/2020/QĐ-TTg</w:t>
      </w:r>
      <w:r w:rsidR="00E55358" w:rsidRPr="00EF12E8">
        <w:rPr>
          <w:i/>
          <w:lang w:val="en-GB"/>
        </w:rPr>
        <w:t xml:space="preserve"> </w:t>
      </w:r>
      <w:r w:rsidR="00E55358" w:rsidRPr="00EF12E8">
        <w:rPr>
          <w:i/>
        </w:rPr>
        <w:t>và</w:t>
      </w:r>
      <w:r w:rsidR="00E55358" w:rsidRPr="00EF12E8">
        <w:rPr>
          <w:i/>
          <w:lang w:val="en-GB"/>
        </w:rPr>
        <w:t xml:space="preserve"> </w:t>
      </w:r>
      <w:r w:rsidR="00E55358" w:rsidRPr="00EF12E8">
        <w:rPr>
          <w:i/>
        </w:rPr>
        <w:t>cụ thể hóa</w:t>
      </w:r>
      <w:r w:rsidR="00E55358" w:rsidRPr="00EF12E8">
        <w:rPr>
          <w:i/>
          <w:lang w:val="en-GB"/>
        </w:rPr>
        <w:t xml:space="preserve"> để phù hợp với tình hình thực tiễn của địa phương.</w:t>
      </w:r>
    </w:p>
    <w:p w:rsidR="00BF5261" w:rsidRPr="00EF12E8" w:rsidRDefault="00B75E3B" w:rsidP="00EF12E8">
      <w:pPr>
        <w:pStyle w:val="04Body"/>
        <w:widowControl w:val="0"/>
        <w:spacing w:after="0" w:line="276" w:lineRule="auto"/>
        <w:outlineLvl w:val="0"/>
        <w:rPr>
          <w:szCs w:val="28"/>
          <w:lang w:val="en-US"/>
        </w:rPr>
      </w:pPr>
      <w:r w:rsidRPr="00EF12E8">
        <w:rPr>
          <w:szCs w:val="28"/>
          <w:lang w:val="en-US"/>
        </w:rPr>
        <w:t>d)</w:t>
      </w:r>
      <w:r w:rsidR="00083734" w:rsidRPr="00EF12E8">
        <w:rPr>
          <w:szCs w:val="28"/>
          <w:lang w:val="en-US"/>
        </w:rPr>
        <w:t xml:space="preserve"> </w:t>
      </w:r>
      <w:r w:rsidR="00BF5261" w:rsidRPr="00EF12E8">
        <w:rPr>
          <w:szCs w:val="28"/>
        </w:rPr>
        <w:t>Phương pháp tính mức vốn được phân bổ</w:t>
      </w:r>
      <w:r w:rsidR="00BF5261" w:rsidRPr="00EF12E8">
        <w:rPr>
          <w:szCs w:val="28"/>
          <w:lang w:val="en-GB"/>
        </w:rPr>
        <w:t xml:space="preserve"> theo các tiêu chí tạ</w:t>
      </w:r>
      <w:r w:rsidR="00083734" w:rsidRPr="00EF12E8">
        <w:rPr>
          <w:szCs w:val="28"/>
          <w:lang w:val="en-GB"/>
        </w:rPr>
        <w:t>i K</w:t>
      </w:r>
      <w:r w:rsidR="00BF5261" w:rsidRPr="00EF12E8">
        <w:rPr>
          <w:szCs w:val="28"/>
          <w:lang w:val="en-GB"/>
        </w:rPr>
        <w:t xml:space="preserve">hoản </w:t>
      </w:r>
      <w:r w:rsidRPr="00EF12E8">
        <w:rPr>
          <w:szCs w:val="28"/>
          <w:lang w:val="en-GB"/>
        </w:rPr>
        <w:t>c</w:t>
      </w:r>
      <w:r w:rsidR="00BF5261" w:rsidRPr="00EF12E8">
        <w:rPr>
          <w:szCs w:val="28"/>
          <w:lang w:val="en-GB"/>
        </w:rPr>
        <w:t xml:space="preserve"> nêu trên </w:t>
      </w:r>
      <w:r w:rsidR="00BF5261" w:rsidRPr="00EF12E8">
        <w:rPr>
          <w:szCs w:val="28"/>
        </w:rPr>
        <w:t xml:space="preserve">áp dụng theo quy định tại </w:t>
      </w:r>
      <w:r w:rsidR="00BF5261" w:rsidRPr="00EF12E8">
        <w:rPr>
          <w:szCs w:val="28"/>
          <w:lang w:val="en-GB"/>
        </w:rPr>
        <w:t>k</w:t>
      </w:r>
      <w:r w:rsidR="00BF5261" w:rsidRPr="00EF12E8">
        <w:rPr>
          <w:szCs w:val="28"/>
        </w:rPr>
        <w:t xml:space="preserve">hoản 4 Điều 7 Quyết định số 26/2020/QĐ-TTg ngày 14/9/2020 của Thủ tướng Chính phủ. </w:t>
      </w:r>
      <w:r w:rsidRPr="00EF12E8">
        <w:rPr>
          <w:szCs w:val="28"/>
          <w:lang w:val="en-GB"/>
        </w:rPr>
        <w:t>Đề nghị Hội đồng nhân dân tỉnh g</w:t>
      </w:r>
      <w:r w:rsidR="00BF5261" w:rsidRPr="00EF12E8">
        <w:rPr>
          <w:szCs w:val="28"/>
        </w:rPr>
        <w:t>iao Ủy ban nhân dân tỉnh xác định</w:t>
      </w:r>
      <w:r w:rsidR="00BF5261" w:rsidRPr="00EF12E8">
        <w:rPr>
          <w:szCs w:val="28"/>
          <w:lang w:val="en-US"/>
        </w:rPr>
        <w:t xml:space="preserve"> </w:t>
      </w:r>
      <w:r w:rsidR="00BF5261" w:rsidRPr="00EF12E8">
        <w:rPr>
          <w:szCs w:val="28"/>
        </w:rPr>
        <w:t>chi tiết số điểm của từng đơn vị</w:t>
      </w:r>
      <w:r w:rsidR="00BF5261" w:rsidRPr="00EF12E8">
        <w:rPr>
          <w:szCs w:val="28"/>
          <w:lang w:val="en-US"/>
        </w:rPr>
        <w:t>, làm căn cứ phân bổ vốn đầu tư công nguồn cân đối ngân sách địa phương bổ sung có mục tiêu cho ngân sách cấp huyện trong kế hoạch đầu tư công trung hạn và hằng năm.</w:t>
      </w:r>
    </w:p>
    <w:p w:rsidR="00CD7583" w:rsidRPr="00EF12E8" w:rsidRDefault="00CD7583" w:rsidP="00EF12E8">
      <w:pPr>
        <w:spacing w:before="120" w:line="276" w:lineRule="auto"/>
        <w:ind w:firstLine="720"/>
        <w:jc w:val="both"/>
        <w:outlineLvl w:val="0"/>
        <w:rPr>
          <w:b/>
          <w:bCs/>
          <w:lang w:val="pt-BR"/>
        </w:rPr>
      </w:pPr>
      <w:r w:rsidRPr="00EF12E8">
        <w:rPr>
          <w:b/>
          <w:bCs/>
          <w:lang w:val="pt-BR"/>
        </w:rPr>
        <w:t>5. Nguyên tắc phân bổ vốn đầu tư công nguồn thu cấp quyền sử dụng đất</w:t>
      </w:r>
      <w:r w:rsidR="00083734" w:rsidRPr="00EF12E8">
        <w:rPr>
          <w:b/>
          <w:bCs/>
          <w:lang w:val="pt-BR"/>
        </w:rPr>
        <w:t>:</w:t>
      </w:r>
    </w:p>
    <w:p w:rsidR="00CD7583" w:rsidRPr="00EF12E8" w:rsidRDefault="00CD7583" w:rsidP="00EF12E8">
      <w:pPr>
        <w:spacing w:before="120" w:line="276" w:lineRule="auto"/>
        <w:ind w:firstLine="720"/>
        <w:jc w:val="both"/>
        <w:outlineLvl w:val="0"/>
        <w:rPr>
          <w:bCs/>
          <w:lang w:val="pt-BR"/>
        </w:rPr>
      </w:pPr>
      <w:r w:rsidRPr="00EF12E8">
        <w:rPr>
          <w:bCs/>
          <w:lang w:val="pt-BR"/>
        </w:rPr>
        <w:t>a) Nguồn thu cấp quyền sử dụng đất được phân chia theo tỷ lệ % tỉnh, huyện, xã do Hội đồng nhân dân tỉnh phê duyệt.</w:t>
      </w:r>
    </w:p>
    <w:p w:rsidR="00B523F8" w:rsidRPr="00EF12E8" w:rsidRDefault="00CD7583" w:rsidP="00EF12E8">
      <w:pPr>
        <w:spacing w:before="120" w:line="276" w:lineRule="auto"/>
        <w:ind w:firstLine="720"/>
        <w:jc w:val="both"/>
        <w:outlineLvl w:val="0"/>
        <w:rPr>
          <w:bCs/>
          <w:lang w:val="pt-BR"/>
        </w:rPr>
      </w:pPr>
      <w:r w:rsidRPr="00EF12E8">
        <w:rPr>
          <w:bCs/>
          <w:lang w:val="pt-BR"/>
        </w:rPr>
        <w:t xml:space="preserve">b) Đối với phần vốn do cấp tỉnh quản lý: </w:t>
      </w:r>
      <w:r w:rsidR="002E5831" w:rsidRPr="000254F9">
        <w:rPr>
          <w:bCs/>
          <w:lang w:val="pt-BR"/>
        </w:rPr>
        <w:t>đầu tư các công trình kết cấu hạ tầng kinh tế - xã hội, các dự án di dân, tái định cư, chuẩn bị mặt bằng xây dựng, công tác đo đạc, đăng ký đất đai, lập cơ sở dữ liệu hồ sơ địa chính và cấp giấy chứng nhận quyền sử dụng đất</w:t>
      </w:r>
      <w:r w:rsidR="002E5831">
        <w:rPr>
          <w:bCs/>
          <w:lang w:val="pt-BR"/>
        </w:rPr>
        <w:t>, vốn thực hiện C</w:t>
      </w:r>
      <w:r w:rsidR="002E5831" w:rsidRPr="000254F9">
        <w:rPr>
          <w:bCs/>
          <w:lang w:val="pt-BR"/>
        </w:rPr>
        <w:t xml:space="preserve">hương trình mục tiêu quốc gia </w:t>
      </w:r>
      <w:r w:rsidR="002E5831">
        <w:rPr>
          <w:bCs/>
          <w:lang w:val="pt-BR"/>
        </w:rPr>
        <w:t>x</w:t>
      </w:r>
      <w:r w:rsidR="002E5831" w:rsidRPr="000254F9">
        <w:rPr>
          <w:bCs/>
          <w:lang w:val="pt-BR"/>
        </w:rPr>
        <w:t>ây dựng nông thôn mới</w:t>
      </w:r>
      <w:r w:rsidR="002E5831">
        <w:rPr>
          <w:bCs/>
          <w:lang w:val="pt-BR"/>
        </w:rPr>
        <w:t>, Đề án tỉnh thí điểm đạt chuẩn nông thôn mới, hỗ trợ vốn điều lệ cho Quỹ phát triển đất và các nhiệm vụ đầu tư khác của địa phương,..</w:t>
      </w:r>
    </w:p>
    <w:p w:rsidR="00CD7583" w:rsidRPr="00EF12E8" w:rsidRDefault="00CD7583" w:rsidP="00EF12E8">
      <w:pPr>
        <w:spacing w:before="120" w:line="276" w:lineRule="auto"/>
        <w:ind w:firstLine="720"/>
        <w:jc w:val="both"/>
        <w:outlineLvl w:val="0"/>
        <w:rPr>
          <w:bCs/>
          <w:lang w:val="pt-BR"/>
        </w:rPr>
      </w:pPr>
      <w:r w:rsidRPr="00EF12E8">
        <w:rPr>
          <w:bCs/>
          <w:lang w:val="pt-BR"/>
        </w:rPr>
        <w:t>c) Đối với phần huyện, xã trực tiếp phân bổ do Hội đồng nhân dân huyện, xã xác định nguyên tắc, tiêu chí cụ thể nhưng phải đảm bảo nguyên tắc chung quy định tại</w:t>
      </w:r>
      <w:r w:rsidR="00BC7184" w:rsidRPr="00EF12E8">
        <w:rPr>
          <w:bCs/>
          <w:lang w:val="pt-BR"/>
        </w:rPr>
        <w:t xml:space="preserve"> điểm b</w:t>
      </w:r>
      <w:r w:rsidRPr="00EF12E8">
        <w:rPr>
          <w:bCs/>
          <w:lang w:val="pt-BR"/>
        </w:rPr>
        <w:t xml:space="preserve"> </w:t>
      </w:r>
      <w:r w:rsidR="00BC7184" w:rsidRPr="00EF12E8">
        <w:rPr>
          <w:bCs/>
          <w:lang w:val="pt-BR"/>
        </w:rPr>
        <w:t>mục</w:t>
      </w:r>
      <w:r w:rsidR="002561B7" w:rsidRPr="00EF12E8">
        <w:rPr>
          <w:bCs/>
          <w:lang w:val="pt-BR"/>
        </w:rPr>
        <w:t xml:space="preserve"> </w:t>
      </w:r>
      <w:r w:rsidRPr="00EF12E8">
        <w:rPr>
          <w:bCs/>
          <w:lang w:val="pt-BR"/>
        </w:rPr>
        <w:t>này và định hướng tỉnh giao để đảm bảo cơ cấu theo quy định của Trung ương.</w:t>
      </w:r>
    </w:p>
    <w:p w:rsidR="00CD7583" w:rsidRPr="00EF12E8" w:rsidRDefault="00CD7583" w:rsidP="00EF12E8">
      <w:pPr>
        <w:spacing w:before="120" w:line="276" w:lineRule="auto"/>
        <w:ind w:firstLine="720"/>
        <w:jc w:val="both"/>
        <w:outlineLvl w:val="0"/>
        <w:rPr>
          <w:b/>
          <w:bCs/>
          <w:lang w:val="pt-BR"/>
        </w:rPr>
      </w:pPr>
      <w:r w:rsidRPr="00EF12E8">
        <w:rPr>
          <w:b/>
          <w:bCs/>
          <w:lang w:val="pt-BR"/>
        </w:rPr>
        <w:lastRenderedPageBreak/>
        <w:t>6. Nguyên tắc phân bổ vốn đầu tư công nguồn thu xổ số kiến thiết</w:t>
      </w:r>
      <w:r w:rsidR="00083734" w:rsidRPr="00EF12E8">
        <w:rPr>
          <w:b/>
          <w:bCs/>
          <w:lang w:val="pt-BR"/>
        </w:rPr>
        <w:t>:</w:t>
      </w:r>
    </w:p>
    <w:p w:rsidR="000C072E" w:rsidRPr="00EF12E8" w:rsidRDefault="00CD7583" w:rsidP="00EF12E8">
      <w:pPr>
        <w:spacing w:before="120" w:line="276" w:lineRule="auto"/>
        <w:ind w:firstLine="720"/>
        <w:jc w:val="both"/>
        <w:outlineLvl w:val="0"/>
        <w:rPr>
          <w:bCs/>
          <w:lang w:val="pt-BR"/>
        </w:rPr>
      </w:pPr>
      <w:r w:rsidRPr="00EF12E8">
        <w:rPr>
          <w:bCs/>
          <w:lang w:val="pt-BR"/>
        </w:rPr>
        <w:t>Nguồn thu từ hoạt động xổ số kiến thiết chỉ được sử dụng cho chi đầu tư phát triển</w:t>
      </w:r>
      <w:r w:rsidR="000C072E" w:rsidRPr="00EF12E8">
        <w:rPr>
          <w:bCs/>
          <w:lang w:val="pt-BR"/>
        </w:rPr>
        <w:t xml:space="preserve">; </w:t>
      </w:r>
      <w:r w:rsidRPr="00EF12E8">
        <w:rPr>
          <w:bCs/>
          <w:lang w:val="pt-BR"/>
        </w:rPr>
        <w:t>trong đó</w:t>
      </w:r>
      <w:r w:rsidR="000C072E" w:rsidRPr="00EF12E8">
        <w:rPr>
          <w:bCs/>
          <w:lang w:val="pt-BR"/>
        </w:rPr>
        <w:t xml:space="preserve"> ưu tiên bố trí cho </w:t>
      </w:r>
      <w:r w:rsidRPr="00EF12E8">
        <w:rPr>
          <w:bCs/>
          <w:lang w:val="pt-BR"/>
        </w:rPr>
        <w:t>lĩnh vực giáo dục - đào tạo, dạy nghề</w:t>
      </w:r>
      <w:r w:rsidR="000C072E" w:rsidRPr="00EF12E8">
        <w:rPr>
          <w:bCs/>
          <w:lang w:val="pt-BR"/>
        </w:rPr>
        <w:t xml:space="preserve">, </w:t>
      </w:r>
      <w:r w:rsidRPr="00EF12E8">
        <w:rPr>
          <w:bCs/>
          <w:lang w:val="pt-BR"/>
        </w:rPr>
        <w:t>y tế</w:t>
      </w:r>
      <w:r w:rsidR="000C072E" w:rsidRPr="00EF12E8">
        <w:rPr>
          <w:bCs/>
          <w:lang w:val="pt-BR"/>
        </w:rPr>
        <w:t xml:space="preserve">, </w:t>
      </w:r>
      <w:r w:rsidRPr="00EF12E8">
        <w:rPr>
          <w:bCs/>
          <w:lang w:val="pt-BR"/>
        </w:rPr>
        <w:t>bổ sung vốn cho các nhiệm vụ thuộc chương trình mục tiêu quốc gia xây dựng nông thôn mớ</w:t>
      </w:r>
      <w:r w:rsidR="000C072E" w:rsidRPr="00EF12E8">
        <w:rPr>
          <w:bCs/>
          <w:lang w:val="pt-BR"/>
        </w:rPr>
        <w:t>i</w:t>
      </w:r>
      <w:r w:rsidR="00926BA5" w:rsidRPr="00EF12E8">
        <w:rPr>
          <w:bCs/>
          <w:lang w:val="pt-BR"/>
        </w:rPr>
        <w:t xml:space="preserve"> và đề án tỉnh thí điểm đạt chuẩn nông thôn mới;</w:t>
      </w:r>
      <w:r w:rsidR="000C072E" w:rsidRPr="00EF12E8">
        <w:rPr>
          <w:bCs/>
          <w:lang w:val="pt-BR"/>
        </w:rPr>
        <w:t xml:space="preserve"> đầu tư các công trình ứng phó với biến đổi khí hậu và các nhiệm vụ đầu tư phát triển khác của địa phương</w:t>
      </w:r>
      <w:r w:rsidR="00F40383" w:rsidRPr="00EF12E8">
        <w:rPr>
          <w:bCs/>
          <w:lang w:val="pt-BR"/>
        </w:rPr>
        <w:t xml:space="preserve"> theo quy định của Luậ</w:t>
      </w:r>
      <w:r w:rsidR="00083734" w:rsidRPr="00EF12E8">
        <w:rPr>
          <w:bCs/>
          <w:lang w:val="pt-BR"/>
        </w:rPr>
        <w:t>t Ngân sách N</w:t>
      </w:r>
      <w:r w:rsidR="00F40383" w:rsidRPr="00EF12E8">
        <w:rPr>
          <w:bCs/>
          <w:lang w:val="pt-BR"/>
        </w:rPr>
        <w:t xml:space="preserve">hà nước, Chỉ thị của Thủ tướng Chính phủ, hướng dẫn của Bộ Tài chính về xây dựng dự toán ngân sách nhà nước hằng năm và các văn bản </w:t>
      </w:r>
      <w:r w:rsidR="008D61DA" w:rsidRPr="00EF12E8">
        <w:rPr>
          <w:bCs/>
          <w:lang w:val="pt-BR"/>
        </w:rPr>
        <w:t>pháp luật có liên quan</w:t>
      </w:r>
      <w:r w:rsidR="00584656" w:rsidRPr="00EF12E8">
        <w:rPr>
          <w:bCs/>
          <w:lang w:val="pt-BR"/>
        </w:rPr>
        <w:t>.</w:t>
      </w:r>
      <w:r w:rsidR="000C072E" w:rsidRPr="00EF12E8">
        <w:rPr>
          <w:bCs/>
          <w:lang w:val="pt-BR"/>
        </w:rPr>
        <w:t xml:space="preserve"> </w:t>
      </w:r>
    </w:p>
    <w:p w:rsidR="00CD7583" w:rsidRPr="00EF12E8" w:rsidRDefault="00BE1480" w:rsidP="00BE1480">
      <w:pPr>
        <w:spacing w:before="120" w:line="276" w:lineRule="auto"/>
        <w:ind w:firstLine="720"/>
        <w:jc w:val="both"/>
        <w:outlineLvl w:val="0"/>
        <w:rPr>
          <w:b/>
          <w:bCs/>
          <w:lang w:val="pt-BR"/>
        </w:rPr>
      </w:pPr>
      <w:r>
        <w:rPr>
          <w:b/>
          <w:bCs/>
          <w:lang w:val="pt-BR"/>
        </w:rPr>
        <w:t>7</w:t>
      </w:r>
      <w:r w:rsidR="00CD7583" w:rsidRPr="00EF12E8">
        <w:rPr>
          <w:b/>
          <w:bCs/>
          <w:lang w:val="pt-BR"/>
        </w:rPr>
        <w:t>. Nguyên tắc phân vốn ngân sách tỉnh</w:t>
      </w:r>
      <w:r w:rsidR="00AA4114" w:rsidRPr="00EF12E8">
        <w:rPr>
          <w:b/>
          <w:bCs/>
          <w:lang w:val="pt-BR"/>
        </w:rPr>
        <w:t xml:space="preserve"> </w:t>
      </w:r>
      <w:r w:rsidR="00CD7583" w:rsidRPr="00EF12E8">
        <w:rPr>
          <w:b/>
          <w:bCs/>
          <w:lang w:val="pt-BR"/>
        </w:rPr>
        <w:t>(từ các nguồn</w:t>
      </w:r>
      <w:r w:rsidR="00AA4114" w:rsidRPr="00EF12E8">
        <w:rPr>
          <w:b/>
          <w:bCs/>
          <w:lang w:val="pt-BR"/>
        </w:rPr>
        <w:t xml:space="preserve"> </w:t>
      </w:r>
      <w:r w:rsidR="00CD7583" w:rsidRPr="00EF12E8">
        <w:rPr>
          <w:b/>
          <w:bCs/>
          <w:lang w:val="pt-BR"/>
        </w:rPr>
        <w:t>tăng thu, tiết kiệm chi và các nguồn vốn khác từ ngân sách tỉnh)</w:t>
      </w:r>
      <w:r w:rsidR="00083734" w:rsidRPr="00EF12E8">
        <w:rPr>
          <w:b/>
          <w:bCs/>
          <w:lang w:val="pt-BR"/>
        </w:rPr>
        <w:t>:</w:t>
      </w:r>
    </w:p>
    <w:p w:rsidR="00742145" w:rsidRPr="00EF12E8" w:rsidRDefault="008B2C63" w:rsidP="00EF12E8">
      <w:pPr>
        <w:spacing w:before="120" w:line="276" w:lineRule="auto"/>
        <w:ind w:firstLine="720"/>
        <w:jc w:val="both"/>
        <w:outlineLvl w:val="0"/>
        <w:rPr>
          <w:bCs/>
          <w:lang w:val="pt-BR"/>
        </w:rPr>
      </w:pPr>
      <w:r w:rsidRPr="00EF12E8">
        <w:rPr>
          <w:bCs/>
          <w:lang w:val="pt-BR"/>
        </w:rPr>
        <w:t>a)</w:t>
      </w:r>
      <w:r w:rsidR="00CD7583" w:rsidRPr="00EF12E8">
        <w:rPr>
          <w:bCs/>
          <w:lang w:val="pt-BR"/>
        </w:rPr>
        <w:t xml:space="preserve"> </w:t>
      </w:r>
      <w:r w:rsidR="00742145" w:rsidRPr="00EF12E8">
        <w:rPr>
          <w:bCs/>
          <w:lang w:val="pt-BR"/>
        </w:rPr>
        <w:t xml:space="preserve">Trong thực tế quá trình điều hành ngân sách nhà nước hằng năm, vốn ngân sách tỉnh </w:t>
      </w:r>
      <w:r w:rsidR="00AA4114" w:rsidRPr="00EF12E8">
        <w:rPr>
          <w:bCs/>
          <w:lang w:val="pt-BR"/>
        </w:rPr>
        <w:t>(từ các nguồn tăng thu, tiết kiệm chi và các nguồn vốn khác từ ngân sách tỉnh)</w:t>
      </w:r>
      <w:r w:rsidR="00742145" w:rsidRPr="00EF12E8">
        <w:rPr>
          <w:bCs/>
          <w:lang w:val="pt-BR"/>
        </w:rPr>
        <w:t xml:space="preserve"> được sử dụng theo quy định của Luật Ngân </w:t>
      </w:r>
      <w:r w:rsidR="00083734" w:rsidRPr="00EF12E8">
        <w:rPr>
          <w:bCs/>
          <w:lang w:val="pt-BR"/>
        </w:rPr>
        <w:t>sách N</w:t>
      </w:r>
      <w:r w:rsidR="00742145" w:rsidRPr="00EF12E8">
        <w:rPr>
          <w:bCs/>
          <w:lang w:val="pt-BR"/>
        </w:rPr>
        <w:t>hà nước, đối với phần vốn dành cho đầu tư phát triển (nếu có) ưu tiên bố trí để thanh toán nợ đọng xây dựng cơ bản, thu hồi vốn ứng trước có trong kế hoạch đầu tư công trung hạn của địa phương.</w:t>
      </w:r>
    </w:p>
    <w:p w:rsidR="00F41EBC" w:rsidRPr="00EF12E8" w:rsidRDefault="00B00E92" w:rsidP="00EF12E8">
      <w:pPr>
        <w:spacing w:before="120" w:line="276" w:lineRule="auto"/>
        <w:ind w:firstLine="720"/>
        <w:jc w:val="both"/>
        <w:outlineLvl w:val="0"/>
        <w:rPr>
          <w:bCs/>
          <w:lang w:val="pt-BR"/>
        </w:rPr>
      </w:pPr>
      <w:r w:rsidRPr="00EF12E8">
        <w:rPr>
          <w:bCs/>
          <w:lang w:val="pt-BR"/>
        </w:rPr>
        <w:t>b</w:t>
      </w:r>
      <w:r w:rsidR="00F41EBC" w:rsidRPr="00EF12E8">
        <w:rPr>
          <w:bCs/>
          <w:lang w:val="pt-BR"/>
        </w:rPr>
        <w:t>) Sau khi bố trí vốn đảm bảo hoàn thành các nhiệm vụ tạ</w:t>
      </w:r>
      <w:r w:rsidR="00083734" w:rsidRPr="00EF12E8">
        <w:rPr>
          <w:bCs/>
          <w:lang w:val="pt-BR"/>
        </w:rPr>
        <w:t>i K</w:t>
      </w:r>
      <w:r w:rsidR="00F41EBC" w:rsidRPr="00EF12E8">
        <w:rPr>
          <w:bCs/>
          <w:lang w:val="pt-BR"/>
        </w:rPr>
        <w:t xml:space="preserve">hoản </w:t>
      </w:r>
      <w:r w:rsidRPr="00EF12E8">
        <w:rPr>
          <w:bCs/>
          <w:lang w:val="pt-BR"/>
        </w:rPr>
        <w:t>b</w:t>
      </w:r>
      <w:r w:rsidR="00F41EBC" w:rsidRPr="00EF12E8">
        <w:rPr>
          <w:bCs/>
          <w:lang w:val="pt-BR"/>
        </w:rPr>
        <w:t xml:space="preserve"> nêu trên, phần vốn dành cho đầu tư phát triển còn lại (nếu có) thực hiện bố trí cho các nhiệm vụ đầu tư khác của cấp tỉnh, theo thứ tự ưu tiên như sau:</w:t>
      </w:r>
    </w:p>
    <w:p w:rsidR="00F41EBC" w:rsidRPr="00EF12E8" w:rsidRDefault="00005EB4" w:rsidP="00EF12E8">
      <w:pPr>
        <w:spacing w:before="120" w:line="276" w:lineRule="auto"/>
        <w:ind w:firstLine="720"/>
        <w:jc w:val="both"/>
        <w:outlineLvl w:val="0"/>
        <w:rPr>
          <w:bCs/>
          <w:lang w:val="pt-BR"/>
        </w:rPr>
      </w:pPr>
      <w:r w:rsidRPr="00EF12E8">
        <w:rPr>
          <w:bCs/>
          <w:lang w:val="pt-BR"/>
        </w:rPr>
        <w:t>-</w:t>
      </w:r>
      <w:r w:rsidR="00F41EBC" w:rsidRPr="00EF12E8">
        <w:rPr>
          <w:bCs/>
          <w:lang w:val="pt-BR"/>
        </w:rPr>
        <w:t xml:space="preserve"> Bố trí đủ phần vốn đối ứng ODA (phần ngân sách tỉnh phải đảm nhận) cho các dự án hoàn thành, chuyển tiếp của giai đoạn 2016</w:t>
      </w:r>
      <w:r w:rsidR="00083734" w:rsidRPr="00EF12E8">
        <w:rPr>
          <w:bCs/>
          <w:lang w:val="pt-BR"/>
        </w:rPr>
        <w:t xml:space="preserve"> </w:t>
      </w:r>
      <w:r w:rsidR="00F41EBC" w:rsidRPr="00EF12E8">
        <w:rPr>
          <w:bCs/>
          <w:lang w:val="pt-BR"/>
        </w:rPr>
        <w:t>-</w:t>
      </w:r>
      <w:r w:rsidR="00083734" w:rsidRPr="00EF12E8">
        <w:rPr>
          <w:bCs/>
          <w:lang w:val="pt-BR"/>
        </w:rPr>
        <w:t xml:space="preserve"> </w:t>
      </w:r>
      <w:r w:rsidR="00F41EBC" w:rsidRPr="00EF12E8">
        <w:rPr>
          <w:bCs/>
          <w:lang w:val="pt-BR"/>
        </w:rPr>
        <w:t>2020 và các dự án khởi công mới trong giai đoạn 2021</w:t>
      </w:r>
      <w:r w:rsidR="00083734" w:rsidRPr="00EF12E8">
        <w:rPr>
          <w:bCs/>
          <w:lang w:val="pt-BR"/>
        </w:rPr>
        <w:t xml:space="preserve"> </w:t>
      </w:r>
      <w:r w:rsidR="00F41EBC" w:rsidRPr="00EF12E8">
        <w:rPr>
          <w:bCs/>
          <w:lang w:val="pt-BR"/>
        </w:rPr>
        <w:t>-</w:t>
      </w:r>
      <w:r w:rsidR="00083734" w:rsidRPr="00EF12E8">
        <w:rPr>
          <w:bCs/>
          <w:lang w:val="pt-BR"/>
        </w:rPr>
        <w:t xml:space="preserve"> </w:t>
      </w:r>
      <w:r w:rsidR="00F41EBC" w:rsidRPr="00EF12E8">
        <w:rPr>
          <w:bCs/>
          <w:lang w:val="pt-BR"/>
        </w:rPr>
        <w:t>2025.</w:t>
      </w:r>
    </w:p>
    <w:p w:rsidR="00F41EBC" w:rsidRPr="00EF12E8" w:rsidRDefault="00005EB4" w:rsidP="00EF12E8">
      <w:pPr>
        <w:spacing w:before="120" w:line="276" w:lineRule="auto"/>
        <w:ind w:firstLine="720"/>
        <w:jc w:val="both"/>
        <w:outlineLvl w:val="0"/>
        <w:rPr>
          <w:bCs/>
          <w:lang w:val="pt-BR"/>
        </w:rPr>
      </w:pPr>
      <w:r w:rsidRPr="00EF12E8">
        <w:rPr>
          <w:bCs/>
          <w:lang w:val="pt-BR"/>
        </w:rPr>
        <w:t>-</w:t>
      </w:r>
      <w:r w:rsidR="00F41EBC" w:rsidRPr="00EF12E8">
        <w:rPr>
          <w:bCs/>
          <w:lang w:val="pt-BR"/>
        </w:rPr>
        <w:t xml:space="preserve"> Bố trí đủ vốn để thanh toán khối lượng hoàn thành và chuyển tiếp của các dự án sử dụng vốn ngân sách tỉnh </w:t>
      </w:r>
      <w:r w:rsidR="00A516F1" w:rsidRPr="00EF12E8">
        <w:rPr>
          <w:bCs/>
          <w:lang w:val="pt-BR"/>
        </w:rPr>
        <w:t>(từ các nguồn tăng thu, tiết kiệm chi và các nguồn vốn khác từ ngân sách tỉnh)</w:t>
      </w:r>
      <w:r w:rsidR="00F41EBC" w:rsidRPr="00EF12E8">
        <w:rPr>
          <w:bCs/>
          <w:lang w:val="pt-BR"/>
        </w:rPr>
        <w:t xml:space="preserve"> giai đoạn 2016</w:t>
      </w:r>
      <w:r w:rsidR="00083734" w:rsidRPr="00EF12E8">
        <w:rPr>
          <w:bCs/>
          <w:lang w:val="pt-BR"/>
        </w:rPr>
        <w:t xml:space="preserve"> </w:t>
      </w:r>
      <w:r w:rsidR="00F41EBC" w:rsidRPr="00EF12E8">
        <w:rPr>
          <w:bCs/>
          <w:lang w:val="pt-BR"/>
        </w:rPr>
        <w:t>-</w:t>
      </w:r>
      <w:r w:rsidR="00EA3802" w:rsidRPr="00EF12E8">
        <w:rPr>
          <w:bCs/>
          <w:lang w:val="pt-BR"/>
        </w:rPr>
        <w:t xml:space="preserve"> </w:t>
      </w:r>
      <w:r w:rsidR="00F41EBC" w:rsidRPr="00EF12E8">
        <w:rPr>
          <w:bCs/>
          <w:lang w:val="pt-BR"/>
        </w:rPr>
        <w:t>2020 chuyển tiếp sang giai đoạn 2021</w:t>
      </w:r>
      <w:r w:rsidR="00083734" w:rsidRPr="00EF12E8">
        <w:rPr>
          <w:bCs/>
          <w:lang w:val="pt-BR"/>
        </w:rPr>
        <w:t xml:space="preserve"> </w:t>
      </w:r>
      <w:r w:rsidR="00F41EBC" w:rsidRPr="00EF12E8">
        <w:rPr>
          <w:bCs/>
          <w:lang w:val="pt-BR"/>
        </w:rPr>
        <w:t>-</w:t>
      </w:r>
      <w:r w:rsidR="00083734" w:rsidRPr="00EF12E8">
        <w:rPr>
          <w:bCs/>
          <w:lang w:val="pt-BR"/>
        </w:rPr>
        <w:t xml:space="preserve"> </w:t>
      </w:r>
      <w:r w:rsidR="00F41EBC" w:rsidRPr="00EF12E8">
        <w:rPr>
          <w:bCs/>
          <w:lang w:val="pt-BR"/>
        </w:rPr>
        <w:t>2025.</w:t>
      </w:r>
    </w:p>
    <w:p w:rsidR="00F41EBC" w:rsidRPr="00EF12E8" w:rsidRDefault="00C75422" w:rsidP="00EF12E8">
      <w:pPr>
        <w:spacing w:before="120" w:line="276" w:lineRule="auto"/>
        <w:ind w:firstLine="720"/>
        <w:jc w:val="both"/>
        <w:outlineLvl w:val="0"/>
        <w:rPr>
          <w:bCs/>
          <w:lang w:val="pt-BR"/>
        </w:rPr>
      </w:pPr>
      <w:r w:rsidRPr="00EF12E8">
        <w:rPr>
          <w:bCs/>
          <w:lang w:val="pt-BR"/>
        </w:rPr>
        <w:t>-</w:t>
      </w:r>
      <w:r w:rsidR="00F41EBC" w:rsidRPr="00EF12E8">
        <w:rPr>
          <w:bCs/>
          <w:lang w:val="pt-BR"/>
        </w:rPr>
        <w:t xml:space="preserve"> Đảm bảo nguồn kinh phí để giải phóng mặt bằng các dự án đầu tư phát triển trên địa bàn.</w:t>
      </w:r>
    </w:p>
    <w:p w:rsidR="0034451E" w:rsidRPr="00EF12E8" w:rsidRDefault="0034451E" w:rsidP="00EF12E8">
      <w:pPr>
        <w:spacing w:before="120" w:line="276" w:lineRule="auto"/>
        <w:ind w:firstLine="720"/>
        <w:jc w:val="both"/>
        <w:outlineLvl w:val="0"/>
        <w:rPr>
          <w:bCs/>
          <w:lang w:val="pt-BR"/>
        </w:rPr>
      </w:pPr>
      <w:r w:rsidRPr="00EF12E8">
        <w:rPr>
          <w:bCs/>
          <w:lang w:val="pt-BR"/>
        </w:rPr>
        <w:t xml:space="preserve">- Bố trí đủ phần vốn còn thiếu của các dự án sử dụng nguồn vốn ngân sách </w:t>
      </w:r>
      <w:r w:rsidR="00083734" w:rsidRPr="00EF12E8">
        <w:rPr>
          <w:bCs/>
          <w:lang w:val="pt-BR"/>
        </w:rPr>
        <w:t>T</w:t>
      </w:r>
      <w:r w:rsidRPr="00EF12E8">
        <w:rPr>
          <w:bCs/>
          <w:lang w:val="pt-BR"/>
        </w:rPr>
        <w:t>rung ương theo cam kết.</w:t>
      </w:r>
    </w:p>
    <w:p w:rsidR="00F41EBC" w:rsidRPr="00EF12E8" w:rsidRDefault="0034451E" w:rsidP="00EF12E8">
      <w:pPr>
        <w:spacing w:before="120" w:line="276" w:lineRule="auto"/>
        <w:ind w:firstLine="720"/>
        <w:jc w:val="both"/>
        <w:outlineLvl w:val="0"/>
        <w:rPr>
          <w:bCs/>
          <w:lang w:val="pt-BR"/>
        </w:rPr>
      </w:pPr>
      <w:r w:rsidRPr="00EF12E8">
        <w:rPr>
          <w:bCs/>
          <w:lang w:val="pt-BR"/>
        </w:rPr>
        <w:t>-</w:t>
      </w:r>
      <w:r w:rsidR="00F41EBC" w:rsidRPr="00EF12E8">
        <w:rPr>
          <w:bCs/>
          <w:lang w:val="pt-BR"/>
        </w:rPr>
        <w:t xml:space="preserve"> Đảm bảo cân đối, bổ sung đủ nguồn vốn đầu tư phát triển cho các nhiệm vụ thuộc các Chương trình mục tiêu quốc gia và Đề án tỉnh thí điểm đạt chuẩn nông thôn mới theo đúng tỷ lệ quy định.</w:t>
      </w:r>
    </w:p>
    <w:p w:rsidR="00F41EBC" w:rsidRPr="00EF12E8" w:rsidRDefault="00915B83" w:rsidP="00EF12E8">
      <w:pPr>
        <w:spacing w:before="120" w:line="276" w:lineRule="auto"/>
        <w:ind w:firstLine="720"/>
        <w:jc w:val="both"/>
        <w:outlineLvl w:val="0"/>
        <w:rPr>
          <w:bCs/>
          <w:lang w:val="pt-BR"/>
        </w:rPr>
      </w:pPr>
      <w:r w:rsidRPr="00EF12E8">
        <w:rPr>
          <w:bCs/>
          <w:lang w:val="pt-BR"/>
        </w:rPr>
        <w:lastRenderedPageBreak/>
        <w:t>-</w:t>
      </w:r>
      <w:r w:rsidR="00F41EBC" w:rsidRPr="00EF12E8">
        <w:rPr>
          <w:bCs/>
          <w:lang w:val="pt-BR"/>
        </w:rPr>
        <w:t xml:space="preserve"> Số vốn còn lại (nếu có) sau khi phân bổ cho các nhiệm vụ trên, thực hiện phân cấp quản lý nguồn vốn cho các huyện, thành phố, thị xã quản lý và cấp tỉnh quản lý như quy định đối với nguồn vốn đầu tư trong cân đối ngân sách địa phương tại Điều 5 Nghị quyết này.</w:t>
      </w:r>
    </w:p>
    <w:p w:rsidR="00F41EBC" w:rsidRPr="00EF12E8" w:rsidRDefault="005634E3" w:rsidP="00EF12E8">
      <w:pPr>
        <w:spacing w:before="120" w:line="276" w:lineRule="auto"/>
        <w:ind w:firstLine="720"/>
        <w:jc w:val="both"/>
        <w:outlineLvl w:val="0"/>
        <w:rPr>
          <w:bCs/>
          <w:lang w:val="pt-BR"/>
        </w:rPr>
      </w:pPr>
      <w:r w:rsidRPr="00EF12E8">
        <w:rPr>
          <w:bCs/>
          <w:lang w:val="pt-BR"/>
        </w:rPr>
        <w:t>-</w:t>
      </w:r>
      <w:r w:rsidR="00F41EBC" w:rsidRPr="00EF12E8">
        <w:rPr>
          <w:bCs/>
          <w:lang w:val="pt-BR"/>
        </w:rPr>
        <w:t xml:space="preserve"> Ngân sách tỉnh không trực tiếp bố trí kế hoạch vốn đầu tư cho các dự án do Hội đồng nhân dân, Ủy ban nhân dân cấp huyện, cấp xã quyết định đầu tư, trừ trường hợp đặc biệt và các dự án khẩn cấp cần phải triển khai ngay theo yêu cầu của cấp có thẩm quyền.</w:t>
      </w:r>
    </w:p>
    <w:p w:rsidR="00AB4116" w:rsidRPr="00EF12E8" w:rsidRDefault="00BC2521" w:rsidP="00EF12E8">
      <w:pPr>
        <w:pStyle w:val="04Body"/>
        <w:widowControl w:val="0"/>
        <w:spacing w:after="0" w:line="276" w:lineRule="auto"/>
        <w:outlineLvl w:val="0"/>
        <w:rPr>
          <w:bCs/>
          <w:szCs w:val="28"/>
          <w:lang w:val="pt-BR"/>
        </w:rPr>
      </w:pPr>
      <w:r w:rsidRPr="00EF12E8">
        <w:rPr>
          <w:bCs/>
          <w:szCs w:val="28"/>
          <w:lang w:val="pt-BR"/>
        </w:rPr>
        <w:t>c</w:t>
      </w:r>
      <w:r w:rsidR="008B2C63" w:rsidRPr="00EF12E8">
        <w:rPr>
          <w:bCs/>
          <w:szCs w:val="28"/>
          <w:lang w:val="pt-BR"/>
        </w:rPr>
        <w:t>)</w:t>
      </w:r>
      <w:r w:rsidR="00CD7583" w:rsidRPr="00EF12E8">
        <w:rPr>
          <w:bCs/>
          <w:szCs w:val="28"/>
          <w:lang w:val="pt-BR"/>
        </w:rPr>
        <w:t xml:space="preserve"> Ủy ban nhân dân tỉnh tổng hợp việc sử dụng nguồn vốn ngân sách tỉnh </w:t>
      </w:r>
      <w:r w:rsidR="00466345" w:rsidRPr="00EF12E8">
        <w:rPr>
          <w:bCs/>
          <w:lang w:val="pt-BR"/>
        </w:rPr>
        <w:t>(từ các nguồn tăng thu, tiết kiệm chi và các nguồn vốn khác từ ngân sách tỉnh)</w:t>
      </w:r>
      <w:r w:rsidR="000B208C" w:rsidRPr="00EF12E8">
        <w:rPr>
          <w:bCs/>
          <w:szCs w:val="28"/>
          <w:lang w:val="pt-BR"/>
        </w:rPr>
        <w:t xml:space="preserve"> </w:t>
      </w:r>
      <w:r w:rsidR="00CD7583" w:rsidRPr="00EF12E8">
        <w:rPr>
          <w:bCs/>
          <w:szCs w:val="28"/>
          <w:lang w:val="pt-BR"/>
        </w:rPr>
        <w:t>để thực hiện các nhiệm vụ đầu tư phát triển và các dự án đầu tư công trong kế hoạch hằng năm, báo cáo Hội đồng nhân dân tỉnh vào cuối kỳ kế hoạch trung hạn</w:t>
      </w:r>
      <w:r w:rsidR="00D250B3" w:rsidRPr="00EF12E8">
        <w:rPr>
          <w:bCs/>
          <w:szCs w:val="28"/>
          <w:lang w:val="pt-BR"/>
        </w:rPr>
        <w:t>.</w:t>
      </w:r>
    </w:p>
    <w:p w:rsidR="001F771B" w:rsidRPr="00EF12E8" w:rsidRDefault="00B776F2" w:rsidP="00EF12E8">
      <w:pPr>
        <w:pStyle w:val="04Body"/>
        <w:widowControl w:val="0"/>
        <w:spacing w:after="0" w:line="276" w:lineRule="auto"/>
        <w:outlineLvl w:val="0"/>
        <w:rPr>
          <w:bCs/>
          <w:szCs w:val="28"/>
          <w:lang w:val="pt-BR"/>
        </w:rPr>
      </w:pPr>
      <w:r w:rsidRPr="00EF12E8">
        <w:rPr>
          <w:bCs/>
          <w:szCs w:val="28"/>
          <w:lang w:val="pt-BR"/>
        </w:rPr>
        <w:t>Trên đây là các nội dung chủ yếu</w:t>
      </w:r>
      <w:r w:rsidR="00596696" w:rsidRPr="00EF12E8">
        <w:rPr>
          <w:bCs/>
          <w:szCs w:val="28"/>
          <w:lang w:val="pt-BR"/>
        </w:rPr>
        <w:t xml:space="preserve"> của dự thảo </w:t>
      </w:r>
      <w:r w:rsidRPr="00EF12E8">
        <w:rPr>
          <w:bCs/>
          <w:szCs w:val="28"/>
          <w:lang w:val="pt-BR"/>
        </w:rPr>
        <w:t xml:space="preserve">Nghị quyết về </w:t>
      </w:r>
      <w:r w:rsidR="009977D3" w:rsidRPr="00EF12E8">
        <w:rPr>
          <w:bCs/>
          <w:szCs w:val="28"/>
          <w:lang w:val="pt-BR"/>
        </w:rPr>
        <w:t xml:space="preserve">ban hành </w:t>
      </w:r>
      <w:r w:rsidR="00C40790" w:rsidRPr="00EF12E8">
        <w:rPr>
          <w:bCs/>
          <w:szCs w:val="28"/>
          <w:lang w:val="pt-BR"/>
        </w:rPr>
        <w:t>các</w:t>
      </w:r>
      <w:r w:rsidRPr="00EF12E8">
        <w:rPr>
          <w:bCs/>
          <w:szCs w:val="28"/>
          <w:lang w:val="pt-BR"/>
        </w:rPr>
        <w:t xml:space="preserve"> nguyên tắc, tiêu chí và định mức phân bổ vốn đầu tư</w:t>
      </w:r>
      <w:r w:rsidR="00596696" w:rsidRPr="00EF12E8">
        <w:rPr>
          <w:bCs/>
          <w:szCs w:val="28"/>
          <w:lang w:val="pt-BR"/>
        </w:rPr>
        <w:t xml:space="preserve"> công nguồn ngân sách địa phương giai đoạn 2021</w:t>
      </w:r>
      <w:r w:rsidR="00AB4116" w:rsidRPr="00EF12E8">
        <w:rPr>
          <w:bCs/>
          <w:szCs w:val="28"/>
          <w:lang w:val="pt-BR"/>
        </w:rPr>
        <w:t xml:space="preserve"> </w:t>
      </w:r>
      <w:r w:rsidR="00596696" w:rsidRPr="00EF12E8">
        <w:rPr>
          <w:bCs/>
          <w:szCs w:val="28"/>
          <w:lang w:val="pt-BR"/>
        </w:rPr>
        <w:t>-</w:t>
      </w:r>
      <w:r w:rsidR="00AB4116" w:rsidRPr="00EF12E8">
        <w:rPr>
          <w:bCs/>
          <w:szCs w:val="28"/>
          <w:lang w:val="pt-BR"/>
        </w:rPr>
        <w:t xml:space="preserve"> </w:t>
      </w:r>
      <w:r w:rsidR="00596696" w:rsidRPr="00EF12E8">
        <w:rPr>
          <w:bCs/>
          <w:szCs w:val="28"/>
          <w:lang w:val="pt-BR"/>
        </w:rPr>
        <w:t xml:space="preserve">2025 </w:t>
      </w:r>
      <w:r w:rsidR="00FB5756" w:rsidRPr="00EF12E8">
        <w:rPr>
          <w:bCs/>
          <w:szCs w:val="28"/>
          <w:lang w:val="pt-BR"/>
        </w:rPr>
        <w:t>tỉnh Hà Tĩnh</w:t>
      </w:r>
      <w:r w:rsidR="00AB4116" w:rsidRPr="00EF12E8">
        <w:rPr>
          <w:bCs/>
          <w:szCs w:val="28"/>
          <w:lang w:val="pt-BR"/>
        </w:rPr>
        <w:t xml:space="preserve"> </w:t>
      </w:r>
      <w:r w:rsidR="00AB4116" w:rsidRPr="00EF12E8">
        <w:rPr>
          <w:i/>
          <w:szCs w:val="28"/>
        </w:rPr>
        <w:t>(Có bản Dự thảo Nghị quyết kèm theo)</w:t>
      </w:r>
      <w:r w:rsidR="00AB4116" w:rsidRPr="00EF12E8">
        <w:rPr>
          <w:bCs/>
          <w:szCs w:val="28"/>
          <w:lang w:val="pt-BR"/>
        </w:rPr>
        <w:t>; UBND</w:t>
      </w:r>
      <w:r w:rsidR="001F771B" w:rsidRPr="00EF12E8">
        <w:rPr>
          <w:bCs/>
          <w:szCs w:val="28"/>
          <w:lang w:val="pt-BR"/>
        </w:rPr>
        <w:t xml:space="preserve"> tỉnh</w:t>
      </w:r>
      <w:r w:rsidR="00A3425A" w:rsidRPr="00EF12E8">
        <w:rPr>
          <w:bCs/>
          <w:szCs w:val="28"/>
          <w:lang w:val="pt-BR"/>
        </w:rPr>
        <w:t xml:space="preserve"> </w:t>
      </w:r>
      <w:r w:rsidR="00C40790" w:rsidRPr="00EF12E8">
        <w:rPr>
          <w:bCs/>
          <w:szCs w:val="28"/>
          <w:lang w:val="pt-BR"/>
        </w:rPr>
        <w:t xml:space="preserve">kính </w:t>
      </w:r>
      <w:r w:rsidR="00A3425A" w:rsidRPr="00EF12E8">
        <w:rPr>
          <w:bCs/>
          <w:szCs w:val="28"/>
          <w:lang w:val="pt-BR"/>
        </w:rPr>
        <w:t xml:space="preserve">trình </w:t>
      </w:r>
      <w:r w:rsidR="00C40790" w:rsidRPr="00EF12E8">
        <w:rPr>
          <w:bCs/>
          <w:szCs w:val="28"/>
          <w:lang w:val="pt-BR"/>
        </w:rPr>
        <w:t xml:space="preserve">Hội đồng nhân dân tỉnh xem xét, quyết </w:t>
      </w:r>
      <w:r w:rsidR="00AF26D4" w:rsidRPr="00EF12E8">
        <w:rPr>
          <w:bCs/>
          <w:szCs w:val="28"/>
          <w:lang w:val="pt-BR"/>
        </w:rPr>
        <w:t>nghị</w:t>
      </w:r>
      <w:r w:rsidR="001F771B" w:rsidRPr="00EF12E8">
        <w:rPr>
          <w:bCs/>
          <w:szCs w:val="28"/>
          <w:lang w:val="pt-BR"/>
        </w:rPr>
        <w:t xml:space="preserve">./. </w:t>
      </w:r>
    </w:p>
    <w:p w:rsidR="00D745F5" w:rsidRPr="00AE58D4" w:rsidRDefault="00D745F5" w:rsidP="00FA6F88">
      <w:pPr>
        <w:pStyle w:val="BodyTextIndent"/>
        <w:spacing w:before="80" w:after="80" w:line="271" w:lineRule="auto"/>
        <w:ind w:firstLine="709"/>
        <w:rPr>
          <w:b/>
          <w:bCs/>
          <w:spacing w:val="0"/>
          <w:sz w:val="14"/>
          <w:lang w:val="pt-BR"/>
        </w:rPr>
      </w:pPr>
    </w:p>
    <w:p w:rsidR="00B373EC" w:rsidRPr="00AE58D4" w:rsidRDefault="00B373EC" w:rsidP="001A2159">
      <w:pPr>
        <w:pStyle w:val="BodyTextIndent"/>
        <w:spacing w:line="269" w:lineRule="auto"/>
        <w:ind w:firstLine="709"/>
        <w:rPr>
          <w:b/>
          <w:bCs/>
          <w:sz w:val="4"/>
          <w:lang w:val="pt-BR"/>
        </w:rPr>
      </w:pPr>
    </w:p>
    <w:tbl>
      <w:tblPr>
        <w:tblW w:w="9304" w:type="dxa"/>
        <w:tblLook w:val="01E0" w:firstRow="1" w:lastRow="1" w:firstColumn="1" w:lastColumn="1" w:noHBand="0" w:noVBand="0"/>
      </w:tblPr>
      <w:tblGrid>
        <w:gridCol w:w="9181"/>
        <w:gridCol w:w="222"/>
      </w:tblGrid>
      <w:tr w:rsidR="001F771B" w:rsidRPr="00A0367A" w:rsidTr="00454BF3">
        <w:trPr>
          <w:trHeight w:val="1963"/>
        </w:trPr>
        <w:tc>
          <w:tcPr>
            <w:tcW w:w="4658" w:type="dxa"/>
          </w:tcPr>
          <w:tbl>
            <w:tblPr>
              <w:tblW w:w="9072" w:type="dxa"/>
              <w:tblLook w:val="01E0" w:firstRow="1" w:lastRow="1" w:firstColumn="1" w:lastColumn="1" w:noHBand="0" w:noVBand="0"/>
            </w:tblPr>
            <w:tblGrid>
              <w:gridCol w:w="4678"/>
              <w:gridCol w:w="4394"/>
            </w:tblGrid>
            <w:tr w:rsidR="00881F87" w:rsidRPr="00A05674" w:rsidTr="00AB4116">
              <w:tc>
                <w:tcPr>
                  <w:tcW w:w="4678" w:type="dxa"/>
                </w:tcPr>
                <w:p w:rsidR="00881F87" w:rsidRPr="00F61A5F" w:rsidRDefault="00881F87" w:rsidP="0086704E">
                  <w:pPr>
                    <w:widowControl w:val="0"/>
                    <w:jc w:val="both"/>
                    <w:rPr>
                      <w:b/>
                      <w:i/>
                      <w:sz w:val="24"/>
                    </w:rPr>
                  </w:pPr>
                  <w:r w:rsidRPr="00F61A5F">
                    <w:rPr>
                      <w:b/>
                      <w:i/>
                      <w:sz w:val="24"/>
                    </w:rPr>
                    <w:t>Nơi nhận:</w:t>
                  </w:r>
                </w:p>
                <w:p w:rsidR="00881F87" w:rsidRPr="00F61A5F" w:rsidRDefault="00881F87" w:rsidP="0086704E">
                  <w:pPr>
                    <w:widowControl w:val="0"/>
                    <w:jc w:val="both"/>
                    <w:rPr>
                      <w:sz w:val="22"/>
                      <w:szCs w:val="24"/>
                    </w:rPr>
                  </w:pPr>
                  <w:r w:rsidRPr="00F61A5F">
                    <w:rPr>
                      <w:sz w:val="22"/>
                      <w:szCs w:val="24"/>
                    </w:rPr>
                    <w:t>- Thường trực Tỉnh ủy;</w:t>
                  </w:r>
                </w:p>
                <w:p w:rsidR="00881F87" w:rsidRPr="00F61A5F" w:rsidRDefault="00881F87" w:rsidP="0086704E">
                  <w:pPr>
                    <w:widowControl w:val="0"/>
                    <w:jc w:val="both"/>
                    <w:rPr>
                      <w:sz w:val="22"/>
                      <w:szCs w:val="24"/>
                    </w:rPr>
                  </w:pPr>
                  <w:r w:rsidRPr="00F61A5F">
                    <w:rPr>
                      <w:sz w:val="22"/>
                      <w:szCs w:val="24"/>
                    </w:rPr>
                    <w:t>- Thường trực HĐND tỉnh;</w:t>
                  </w:r>
                </w:p>
                <w:p w:rsidR="00881F87" w:rsidRPr="00F61A5F" w:rsidRDefault="00881F87" w:rsidP="0086704E">
                  <w:pPr>
                    <w:widowControl w:val="0"/>
                    <w:jc w:val="both"/>
                    <w:rPr>
                      <w:sz w:val="22"/>
                      <w:szCs w:val="24"/>
                    </w:rPr>
                  </w:pPr>
                  <w:r w:rsidRPr="00F61A5F">
                    <w:rPr>
                      <w:sz w:val="22"/>
                      <w:szCs w:val="24"/>
                    </w:rPr>
                    <w:t>- Đại biểu HĐND tỉnh;</w:t>
                  </w:r>
                </w:p>
                <w:p w:rsidR="00881F87" w:rsidRPr="00F61A5F" w:rsidRDefault="00881F87" w:rsidP="0086704E">
                  <w:pPr>
                    <w:widowControl w:val="0"/>
                    <w:jc w:val="both"/>
                    <w:rPr>
                      <w:sz w:val="22"/>
                      <w:szCs w:val="24"/>
                    </w:rPr>
                  </w:pPr>
                  <w:r w:rsidRPr="00F61A5F">
                    <w:rPr>
                      <w:sz w:val="22"/>
                      <w:szCs w:val="24"/>
                    </w:rPr>
                    <w:t>- Các Ban Hội đồng nhân dân tỉnh;</w:t>
                  </w:r>
                </w:p>
                <w:p w:rsidR="00881F87" w:rsidRPr="00F61A5F" w:rsidRDefault="00881F87" w:rsidP="0086704E">
                  <w:pPr>
                    <w:widowControl w:val="0"/>
                    <w:jc w:val="both"/>
                    <w:rPr>
                      <w:sz w:val="22"/>
                      <w:szCs w:val="24"/>
                    </w:rPr>
                  </w:pPr>
                  <w:r w:rsidRPr="00F61A5F">
                    <w:rPr>
                      <w:sz w:val="22"/>
                      <w:szCs w:val="24"/>
                    </w:rPr>
                    <w:t>- Chủ tịch, các Phó Chủ tịch UBND tỉnh;</w:t>
                  </w:r>
                </w:p>
                <w:p w:rsidR="00881F87" w:rsidRPr="00F61A5F" w:rsidRDefault="00881F87" w:rsidP="0086704E">
                  <w:pPr>
                    <w:widowControl w:val="0"/>
                    <w:jc w:val="both"/>
                    <w:rPr>
                      <w:sz w:val="22"/>
                      <w:szCs w:val="24"/>
                    </w:rPr>
                  </w:pPr>
                  <w:r w:rsidRPr="00F61A5F">
                    <w:rPr>
                      <w:sz w:val="22"/>
                      <w:szCs w:val="24"/>
                    </w:rPr>
                    <w:t>- Sở Kế hoạch và Đầu tư;</w:t>
                  </w:r>
                </w:p>
                <w:p w:rsidR="00881F87" w:rsidRPr="00F61A5F" w:rsidRDefault="00AB4116" w:rsidP="0086704E">
                  <w:pPr>
                    <w:widowControl w:val="0"/>
                    <w:jc w:val="both"/>
                    <w:rPr>
                      <w:sz w:val="22"/>
                      <w:szCs w:val="24"/>
                    </w:rPr>
                  </w:pPr>
                  <w:r>
                    <w:rPr>
                      <w:sz w:val="22"/>
                      <w:szCs w:val="24"/>
                    </w:rPr>
                    <w:t>- Chánh</w:t>
                  </w:r>
                  <w:r>
                    <w:rPr>
                      <w:sz w:val="22"/>
                      <w:szCs w:val="24"/>
                      <w:lang w:val="en-US"/>
                    </w:rPr>
                    <w:t xml:space="preserve"> Văn phòng; </w:t>
                  </w:r>
                </w:p>
                <w:p w:rsidR="00881F87" w:rsidRPr="00F61A5F" w:rsidRDefault="00881F87" w:rsidP="0086704E">
                  <w:pPr>
                    <w:widowControl w:val="0"/>
                    <w:jc w:val="both"/>
                    <w:rPr>
                      <w:sz w:val="22"/>
                      <w:szCs w:val="24"/>
                    </w:rPr>
                  </w:pPr>
                  <w:r w:rsidRPr="00F61A5F">
                    <w:rPr>
                      <w:sz w:val="22"/>
                      <w:szCs w:val="24"/>
                    </w:rPr>
                    <w:t xml:space="preserve">- Trung tâm </w:t>
                  </w:r>
                  <w:r w:rsidR="009E522D">
                    <w:rPr>
                      <w:sz w:val="22"/>
                      <w:szCs w:val="24"/>
                      <w:lang w:val="en-US"/>
                    </w:rPr>
                    <w:t>TT -</w:t>
                  </w:r>
                  <w:r w:rsidR="00AB4116">
                    <w:rPr>
                      <w:sz w:val="22"/>
                      <w:szCs w:val="24"/>
                      <w:lang w:val="en-US"/>
                    </w:rPr>
                    <w:t xml:space="preserve"> </w:t>
                  </w:r>
                  <w:r w:rsidRPr="00F61A5F">
                    <w:rPr>
                      <w:sz w:val="22"/>
                      <w:szCs w:val="24"/>
                    </w:rPr>
                    <w:t>CB</w:t>
                  </w:r>
                  <w:r w:rsidR="00AB4116">
                    <w:rPr>
                      <w:sz w:val="22"/>
                      <w:szCs w:val="24"/>
                      <w:lang w:val="en-US"/>
                    </w:rPr>
                    <w:t xml:space="preserve"> </w:t>
                  </w:r>
                  <w:r w:rsidR="009E522D">
                    <w:rPr>
                      <w:sz w:val="22"/>
                      <w:szCs w:val="24"/>
                      <w:lang w:val="en-US"/>
                    </w:rPr>
                    <w:t>-</w:t>
                  </w:r>
                  <w:r w:rsidR="00AB4116">
                    <w:rPr>
                      <w:sz w:val="22"/>
                      <w:szCs w:val="24"/>
                      <w:lang w:val="en-US"/>
                    </w:rPr>
                    <w:t xml:space="preserve"> </w:t>
                  </w:r>
                  <w:r w:rsidRPr="00F61A5F">
                    <w:rPr>
                      <w:sz w:val="22"/>
                      <w:szCs w:val="24"/>
                    </w:rPr>
                    <w:t>TH</w:t>
                  </w:r>
                  <w:r w:rsidR="00AB4116">
                    <w:rPr>
                      <w:sz w:val="22"/>
                      <w:szCs w:val="24"/>
                      <w:lang w:val="en-US"/>
                    </w:rPr>
                    <w:t xml:space="preserve"> tỉnh</w:t>
                  </w:r>
                  <w:r w:rsidRPr="00F61A5F">
                    <w:rPr>
                      <w:sz w:val="22"/>
                      <w:szCs w:val="24"/>
                    </w:rPr>
                    <w:t>;</w:t>
                  </w:r>
                </w:p>
                <w:p w:rsidR="00E40060" w:rsidRPr="00A05674" w:rsidRDefault="00881F87" w:rsidP="005856AF">
                  <w:pPr>
                    <w:widowControl w:val="0"/>
                    <w:jc w:val="both"/>
                    <w:rPr>
                      <w:lang w:val="en-US"/>
                    </w:rPr>
                  </w:pPr>
                  <w:r w:rsidRPr="00F61A5F">
                    <w:rPr>
                      <w:sz w:val="22"/>
                      <w:szCs w:val="24"/>
                    </w:rPr>
                    <w:t>- Lưu VT, TH</w:t>
                  </w:r>
                  <w:r w:rsidR="00AB4116" w:rsidRPr="00AB4116">
                    <w:rPr>
                      <w:sz w:val="22"/>
                      <w:szCs w:val="24"/>
                      <w:vertAlign w:val="subscript"/>
                      <w:lang w:val="en-US"/>
                    </w:rPr>
                    <w:t>2</w:t>
                  </w:r>
                  <w:r w:rsidRPr="00F61A5F">
                    <w:rPr>
                      <w:sz w:val="22"/>
                      <w:szCs w:val="24"/>
                      <w:lang w:val="en-US"/>
                    </w:rPr>
                    <w:t>.</w:t>
                  </w:r>
                </w:p>
              </w:tc>
              <w:tc>
                <w:tcPr>
                  <w:tcW w:w="4394" w:type="dxa"/>
                </w:tcPr>
                <w:p w:rsidR="00881F87" w:rsidRPr="00A05674" w:rsidRDefault="00881F87" w:rsidP="0086704E">
                  <w:pPr>
                    <w:widowControl w:val="0"/>
                    <w:jc w:val="center"/>
                    <w:rPr>
                      <w:b/>
                      <w:lang w:val="nl-BE"/>
                    </w:rPr>
                  </w:pPr>
                  <w:r w:rsidRPr="00A05674">
                    <w:rPr>
                      <w:b/>
                      <w:lang w:val="nl-BE"/>
                    </w:rPr>
                    <w:t xml:space="preserve">TM. ỦY BAN NHÂN DÂN </w:t>
                  </w:r>
                </w:p>
                <w:p w:rsidR="00881F87" w:rsidRPr="00A05674" w:rsidRDefault="00881F87" w:rsidP="0086704E">
                  <w:pPr>
                    <w:widowControl w:val="0"/>
                    <w:jc w:val="center"/>
                    <w:rPr>
                      <w:b/>
                      <w:lang w:val="nl-BE"/>
                    </w:rPr>
                  </w:pPr>
                  <w:r w:rsidRPr="00A05674">
                    <w:rPr>
                      <w:b/>
                      <w:lang w:val="nl-BE"/>
                    </w:rPr>
                    <w:t xml:space="preserve">CHỦ TỊCH </w:t>
                  </w:r>
                </w:p>
                <w:p w:rsidR="00881F87" w:rsidRDefault="00881F87" w:rsidP="0086704E">
                  <w:pPr>
                    <w:widowControl w:val="0"/>
                    <w:jc w:val="center"/>
                    <w:rPr>
                      <w:b/>
                      <w:lang w:val="nl-BE"/>
                    </w:rPr>
                  </w:pPr>
                </w:p>
                <w:p w:rsidR="00881F87" w:rsidRPr="00A05674" w:rsidRDefault="00881F87" w:rsidP="0086704E">
                  <w:pPr>
                    <w:widowControl w:val="0"/>
                    <w:jc w:val="center"/>
                    <w:rPr>
                      <w:b/>
                      <w:lang w:val="nl-BE"/>
                    </w:rPr>
                  </w:pPr>
                </w:p>
                <w:p w:rsidR="00881F87" w:rsidRPr="00A05674" w:rsidRDefault="00881F87" w:rsidP="0086704E">
                  <w:pPr>
                    <w:widowControl w:val="0"/>
                    <w:jc w:val="center"/>
                    <w:rPr>
                      <w:b/>
                      <w:lang w:val="nl-BE"/>
                    </w:rPr>
                  </w:pPr>
                </w:p>
                <w:p w:rsidR="00881F87" w:rsidRPr="00A05674" w:rsidRDefault="00881F87" w:rsidP="0086704E">
                  <w:pPr>
                    <w:widowControl w:val="0"/>
                    <w:jc w:val="center"/>
                    <w:rPr>
                      <w:b/>
                      <w:lang w:val="nl-BE"/>
                    </w:rPr>
                  </w:pPr>
                </w:p>
                <w:p w:rsidR="00881F87" w:rsidRPr="00AB4116" w:rsidRDefault="00881F87" w:rsidP="00AB4116">
                  <w:pPr>
                    <w:widowControl w:val="0"/>
                    <w:ind w:hanging="534"/>
                    <w:rPr>
                      <w:b/>
                      <w:sz w:val="68"/>
                      <w:lang w:val="nl-BE"/>
                    </w:rPr>
                  </w:pPr>
                </w:p>
                <w:p w:rsidR="00881F87" w:rsidRPr="00A05674" w:rsidRDefault="00596696" w:rsidP="0086704E">
                  <w:pPr>
                    <w:widowControl w:val="0"/>
                    <w:jc w:val="center"/>
                    <w:rPr>
                      <w:lang w:val="nl-BE"/>
                    </w:rPr>
                  </w:pPr>
                  <w:r>
                    <w:rPr>
                      <w:b/>
                      <w:lang w:val="nl-BE"/>
                    </w:rPr>
                    <w:t>Trần Tiến Hưng</w:t>
                  </w:r>
                </w:p>
              </w:tc>
            </w:tr>
          </w:tbl>
          <w:p w:rsidR="001F771B" w:rsidRPr="00A0367A" w:rsidRDefault="001F771B" w:rsidP="0039781A">
            <w:pPr>
              <w:widowControl w:val="0"/>
              <w:jc w:val="both"/>
              <w:rPr>
                <w:sz w:val="24"/>
                <w:szCs w:val="24"/>
                <w:lang w:val="nl-BE"/>
              </w:rPr>
            </w:pPr>
          </w:p>
        </w:tc>
        <w:tc>
          <w:tcPr>
            <w:tcW w:w="4646" w:type="dxa"/>
          </w:tcPr>
          <w:p w:rsidR="001F771B" w:rsidRPr="00A0367A" w:rsidRDefault="001F771B" w:rsidP="0039781A">
            <w:pPr>
              <w:widowControl w:val="0"/>
              <w:jc w:val="center"/>
              <w:rPr>
                <w:b/>
                <w:lang w:val="nl-BE"/>
              </w:rPr>
            </w:pPr>
          </w:p>
        </w:tc>
      </w:tr>
    </w:tbl>
    <w:p w:rsidR="001F771B" w:rsidRPr="00A0367A" w:rsidRDefault="001F771B" w:rsidP="00454BF3">
      <w:pPr>
        <w:tabs>
          <w:tab w:val="left" w:pos="720"/>
          <w:tab w:val="left" w:pos="7761"/>
        </w:tabs>
        <w:spacing w:before="60" w:line="264" w:lineRule="auto"/>
        <w:jc w:val="both"/>
        <w:rPr>
          <w:spacing w:val="-6"/>
          <w:lang w:val="nl-BE"/>
        </w:rPr>
      </w:pPr>
    </w:p>
    <w:sectPr w:rsidR="001F771B" w:rsidRPr="00A0367A" w:rsidSect="00AB4116">
      <w:headerReference w:type="default" r:id="rId9"/>
      <w:footerReference w:type="even" r:id="rId10"/>
      <w:footerReference w:type="default" r:id="rId11"/>
      <w:pgSz w:w="11909" w:h="16834" w:code="9"/>
      <w:pgMar w:top="1134" w:right="1021" w:bottom="1134" w:left="1701" w:header="720" w:footer="720" w:gutter="0"/>
      <w:pgNumType w:chapStyle="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1665" w:rsidRDefault="00081665">
      <w:r>
        <w:separator/>
      </w:r>
    </w:p>
  </w:endnote>
  <w:endnote w:type="continuationSeparator" w:id="0">
    <w:p w:rsidR="00081665" w:rsidRDefault="000816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61C5" w:rsidRDefault="00E81887" w:rsidP="0039781A">
    <w:pPr>
      <w:pStyle w:val="Footer"/>
      <w:framePr w:wrap="around" w:vAnchor="text" w:hAnchor="margin" w:xAlign="center" w:y="1"/>
      <w:rPr>
        <w:rStyle w:val="PageNumber"/>
      </w:rPr>
    </w:pPr>
    <w:r>
      <w:rPr>
        <w:rStyle w:val="PageNumber"/>
      </w:rPr>
      <w:fldChar w:fldCharType="begin"/>
    </w:r>
    <w:r w:rsidR="002861C5">
      <w:rPr>
        <w:rStyle w:val="PageNumber"/>
      </w:rPr>
      <w:instrText xml:space="preserve">PAGE  </w:instrText>
    </w:r>
    <w:r>
      <w:rPr>
        <w:rStyle w:val="PageNumber"/>
      </w:rPr>
      <w:fldChar w:fldCharType="separate"/>
    </w:r>
    <w:r w:rsidR="00281127">
      <w:rPr>
        <w:rStyle w:val="PageNumber"/>
        <w:noProof/>
      </w:rPr>
      <w:t>2</w:t>
    </w:r>
    <w:r>
      <w:rPr>
        <w:rStyle w:val="PageNumber"/>
      </w:rPr>
      <w:fldChar w:fldCharType="end"/>
    </w:r>
  </w:p>
  <w:p w:rsidR="002861C5" w:rsidRDefault="002861C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61C5" w:rsidRDefault="002861C5" w:rsidP="0039781A">
    <w:pPr>
      <w:pStyle w:val="Footer"/>
      <w:framePr w:wrap="around" w:vAnchor="text" w:hAnchor="margin" w:xAlign="center" w:y="1"/>
      <w:rPr>
        <w:rStyle w:val="PageNumber"/>
      </w:rPr>
    </w:pPr>
  </w:p>
  <w:p w:rsidR="002861C5" w:rsidRDefault="002861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1665" w:rsidRDefault="00081665">
      <w:r>
        <w:separator/>
      </w:r>
    </w:p>
  </w:footnote>
  <w:footnote w:type="continuationSeparator" w:id="0">
    <w:p w:rsidR="00081665" w:rsidRDefault="00081665">
      <w:r>
        <w:continuationSeparator/>
      </w:r>
    </w:p>
  </w:footnote>
  <w:footnote w:id="1">
    <w:p w:rsidR="00B80709" w:rsidRPr="00B80709" w:rsidRDefault="00B80709" w:rsidP="00B80709">
      <w:pPr>
        <w:pStyle w:val="FootnoteText"/>
        <w:jc w:val="both"/>
        <w:rPr>
          <w:i/>
          <w:lang w:val="en-GB"/>
        </w:rPr>
      </w:pPr>
      <w:r w:rsidRPr="00B80709">
        <w:rPr>
          <w:rStyle w:val="FootnoteReference"/>
        </w:rPr>
        <w:footnoteRef/>
      </w:r>
      <w:r w:rsidRPr="00B80709">
        <w:t xml:space="preserve"> </w:t>
      </w:r>
      <w:r w:rsidRPr="00B80709">
        <w:rPr>
          <w:lang w:val="en-GB"/>
        </w:rPr>
        <w:t>K</w:t>
      </w:r>
      <w:r w:rsidRPr="00B80709">
        <w:rPr>
          <w:lang w:val="nl-NL" w:eastAsia="x-none"/>
        </w:rPr>
        <w:t xml:space="preserve">hoản 6 </w:t>
      </w:r>
      <w:r w:rsidRPr="00B80709">
        <w:rPr>
          <w:rFonts w:hint="eastAsia"/>
          <w:lang w:val="nl-NL" w:eastAsia="x-none"/>
        </w:rPr>
        <w:t>Đ</w:t>
      </w:r>
      <w:r w:rsidRPr="00B80709">
        <w:rPr>
          <w:lang w:val="nl-NL" w:eastAsia="x-none"/>
        </w:rPr>
        <w:t xml:space="preserve">iều 51 của Luật </w:t>
      </w:r>
      <w:r w:rsidRPr="00B80709">
        <w:rPr>
          <w:rFonts w:hint="eastAsia"/>
          <w:lang w:val="nl-NL" w:eastAsia="x-none"/>
        </w:rPr>
        <w:t>Đ</w:t>
      </w:r>
      <w:r w:rsidRPr="00B80709">
        <w:rPr>
          <w:lang w:val="nl-NL" w:eastAsia="x-none"/>
        </w:rPr>
        <w:t>ầu t</w:t>
      </w:r>
      <w:r w:rsidRPr="00B80709">
        <w:rPr>
          <w:rFonts w:hint="eastAsia"/>
          <w:lang w:val="nl-NL" w:eastAsia="x-none"/>
        </w:rPr>
        <w:t>ư</w:t>
      </w:r>
      <w:r w:rsidRPr="00B80709">
        <w:rPr>
          <w:lang w:val="nl-NL" w:eastAsia="x-none"/>
        </w:rPr>
        <w:t xml:space="preserve"> công</w:t>
      </w:r>
      <w:r>
        <w:rPr>
          <w:lang w:val="nl-NL" w:eastAsia="x-none"/>
        </w:rPr>
        <w:t xml:space="preserve"> quy định:</w:t>
      </w:r>
      <w:r w:rsidRPr="00B80709">
        <w:rPr>
          <w:i/>
        </w:rPr>
        <w:t xml:space="preserve"> </w:t>
      </w:r>
      <w:r>
        <w:rPr>
          <w:i/>
          <w:lang w:val="en-GB"/>
        </w:rPr>
        <w:t>“</w:t>
      </w:r>
      <w:r w:rsidRPr="00B80709">
        <w:rPr>
          <w:i/>
        </w:rPr>
        <w:t>Quốc hội quyết định mức vốn, việc sử dụng, thời điểm sử dụng dự phòng chung nguồn ngân sách trung ương của kế hoạch đầu tư công trung hạn quốc gia. Hội đồng nhân dân các cấp quyết định mức vốn, việc sử dụng, thời điểm sử dụng dự phòng chung kế hoạch đầu tư công trung hạn nguồn ngân sách cấp mình quản lý</w:t>
      </w:r>
      <w:r>
        <w:rPr>
          <w:i/>
          <w:lang w:val="en-GB"/>
        </w:rPr>
        <w:t>”</w:t>
      </w:r>
    </w:p>
  </w:footnote>
  <w:footnote w:id="2">
    <w:p w:rsidR="007E3C82" w:rsidRPr="00136DA7" w:rsidRDefault="007E3C82" w:rsidP="007E3C82">
      <w:pPr>
        <w:pStyle w:val="FootnoteText"/>
        <w:jc w:val="both"/>
        <w:rPr>
          <w:lang w:val="en-GB"/>
        </w:rPr>
      </w:pPr>
      <w:r>
        <w:rPr>
          <w:rStyle w:val="FootnoteReference"/>
        </w:rPr>
        <w:footnoteRef/>
      </w:r>
      <w:r>
        <w:t xml:space="preserve"> </w:t>
      </w:r>
      <w:r>
        <w:rPr>
          <w:lang w:val="en-GB"/>
        </w:rPr>
        <w:t>Quyết định số 07/2020/QĐ-UBND ngày 26/02/2020 ban hành quy định một số nội dung về quản lý, thực hiện dự án đầu tư công trên địa bàn.</w:t>
      </w:r>
    </w:p>
  </w:footnote>
  <w:footnote w:id="3">
    <w:p w:rsidR="00B9710E" w:rsidRPr="00EC1344" w:rsidRDefault="00B9710E" w:rsidP="00B9710E">
      <w:pPr>
        <w:pStyle w:val="FootnoteText"/>
        <w:jc w:val="both"/>
        <w:rPr>
          <w:lang w:val="en-GB"/>
        </w:rPr>
      </w:pPr>
      <w:r w:rsidRPr="00D70321">
        <w:rPr>
          <w:rStyle w:val="FootnoteReference"/>
        </w:rPr>
        <w:footnoteRef/>
      </w:r>
      <w:r w:rsidRPr="00D70321">
        <w:t xml:space="preserve"> </w:t>
      </w:r>
      <w:r>
        <w:rPr>
          <w:lang w:val="en-GB"/>
        </w:rPr>
        <w:t>Số bổ sung có mục tiêu từ ngân sách cấp trên cho ngân sách cấp dưới (tại đ</w:t>
      </w:r>
      <w:r w:rsidRPr="00EC1344">
        <w:rPr>
          <w:lang w:val="en-GB"/>
        </w:rPr>
        <w:t xml:space="preserve">iểm d </w:t>
      </w:r>
      <w:r w:rsidRPr="00EC1344">
        <w:rPr>
          <w:szCs w:val="28"/>
          <w:lang w:val="nl-NL"/>
        </w:rPr>
        <w:t>khoản 3 Điều 40 Luật Ngân sách nhà nước</w:t>
      </w:r>
      <w:r>
        <w:rPr>
          <w:szCs w:val="28"/>
          <w:lang w:val="nl-NL"/>
        </w:rPr>
        <w:t>)</w:t>
      </w:r>
      <w:r w:rsidRPr="00EC1344">
        <w:rPr>
          <w:szCs w:val="28"/>
          <w:lang w:val="nl-NL"/>
        </w:rPr>
        <w:t xml:space="preserve"> </w:t>
      </w:r>
      <w:r>
        <w:rPr>
          <w:szCs w:val="28"/>
          <w:lang w:val="nl-NL"/>
        </w:rPr>
        <w:t xml:space="preserve">chỉ </w:t>
      </w:r>
      <w:r w:rsidRPr="00EC1344">
        <w:rPr>
          <w:szCs w:val="28"/>
          <w:lang w:val="nl-NL"/>
        </w:rPr>
        <w:t>quy định</w:t>
      </w:r>
      <w:r w:rsidRPr="00EC1344">
        <w:rPr>
          <w:i/>
          <w:lang w:val="en-US"/>
        </w:rPr>
        <w:t xml:space="preserve"> </w:t>
      </w:r>
      <w:r w:rsidRPr="00EC1344">
        <w:rPr>
          <w:lang w:val="en-US"/>
        </w:rPr>
        <w:t>tối đa không vượt quá 30%</w:t>
      </w:r>
      <w:r>
        <w:rPr>
          <w:lang w:val="en-US"/>
        </w:rPr>
        <w:t xml:space="preserve"> đối với nguồn vốn ngân sách trung ương và không quy định cụ thể tỷ lệ đối với nguồn vốn ngân sách địa phương.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127" w:rsidRDefault="00281127">
    <w:pPr>
      <w:pStyle w:val="Header"/>
      <w:jc w:val="center"/>
    </w:pPr>
    <w:r>
      <w:fldChar w:fldCharType="begin"/>
    </w:r>
    <w:r>
      <w:instrText xml:space="preserve"> PAGE   \* MERGEFORMAT </w:instrText>
    </w:r>
    <w:r>
      <w:fldChar w:fldCharType="separate"/>
    </w:r>
    <w:r w:rsidR="00265FED">
      <w:rPr>
        <w:noProof/>
      </w:rPr>
      <w:t>15</w:t>
    </w:r>
    <w:r>
      <w:rPr>
        <w:noProof/>
      </w:rPr>
      <w:fldChar w:fldCharType="end"/>
    </w:r>
  </w:p>
  <w:p w:rsidR="00281127" w:rsidRPr="00281127" w:rsidRDefault="00281127" w:rsidP="00281127">
    <w:pPr>
      <w:pStyle w:val="Header"/>
      <w:jc w:val="center"/>
      <w:rPr>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771B"/>
    <w:rsid w:val="00001A59"/>
    <w:rsid w:val="00004D10"/>
    <w:rsid w:val="00005EB4"/>
    <w:rsid w:val="00006928"/>
    <w:rsid w:val="00013FD9"/>
    <w:rsid w:val="00015CC7"/>
    <w:rsid w:val="0001602A"/>
    <w:rsid w:val="000167D9"/>
    <w:rsid w:val="00016C3B"/>
    <w:rsid w:val="000178B0"/>
    <w:rsid w:val="00025B66"/>
    <w:rsid w:val="000260FE"/>
    <w:rsid w:val="0002702F"/>
    <w:rsid w:val="00031F1F"/>
    <w:rsid w:val="00031F65"/>
    <w:rsid w:val="00032C26"/>
    <w:rsid w:val="000344D6"/>
    <w:rsid w:val="00035667"/>
    <w:rsid w:val="0003583E"/>
    <w:rsid w:val="000361BF"/>
    <w:rsid w:val="00036E70"/>
    <w:rsid w:val="000378EB"/>
    <w:rsid w:val="000400DE"/>
    <w:rsid w:val="00041CCE"/>
    <w:rsid w:val="00042CE3"/>
    <w:rsid w:val="0004760A"/>
    <w:rsid w:val="000476BC"/>
    <w:rsid w:val="00051C47"/>
    <w:rsid w:val="0005260A"/>
    <w:rsid w:val="00054CD7"/>
    <w:rsid w:val="00055851"/>
    <w:rsid w:val="00056BE7"/>
    <w:rsid w:val="000604AF"/>
    <w:rsid w:val="0006222E"/>
    <w:rsid w:val="00062978"/>
    <w:rsid w:val="00064BF9"/>
    <w:rsid w:val="00065D54"/>
    <w:rsid w:val="000675AB"/>
    <w:rsid w:val="00067BE9"/>
    <w:rsid w:val="00067C05"/>
    <w:rsid w:val="000706D3"/>
    <w:rsid w:val="00070AE7"/>
    <w:rsid w:val="0007298D"/>
    <w:rsid w:val="00072E45"/>
    <w:rsid w:val="0007314A"/>
    <w:rsid w:val="0007480D"/>
    <w:rsid w:val="000753DB"/>
    <w:rsid w:val="0007544C"/>
    <w:rsid w:val="0007662A"/>
    <w:rsid w:val="000767E5"/>
    <w:rsid w:val="00077390"/>
    <w:rsid w:val="00081182"/>
    <w:rsid w:val="00081665"/>
    <w:rsid w:val="00083734"/>
    <w:rsid w:val="00083B8A"/>
    <w:rsid w:val="00084A11"/>
    <w:rsid w:val="00084AD0"/>
    <w:rsid w:val="00084EA9"/>
    <w:rsid w:val="00086864"/>
    <w:rsid w:val="000877DE"/>
    <w:rsid w:val="00092C7B"/>
    <w:rsid w:val="00092ECE"/>
    <w:rsid w:val="000A0A57"/>
    <w:rsid w:val="000A47DD"/>
    <w:rsid w:val="000A6D27"/>
    <w:rsid w:val="000B043C"/>
    <w:rsid w:val="000B208C"/>
    <w:rsid w:val="000B211E"/>
    <w:rsid w:val="000B29A8"/>
    <w:rsid w:val="000B3408"/>
    <w:rsid w:val="000B3454"/>
    <w:rsid w:val="000B5C9B"/>
    <w:rsid w:val="000B5F2B"/>
    <w:rsid w:val="000C072E"/>
    <w:rsid w:val="000C4643"/>
    <w:rsid w:val="000C5D01"/>
    <w:rsid w:val="000C5F1B"/>
    <w:rsid w:val="000C6B68"/>
    <w:rsid w:val="000D0665"/>
    <w:rsid w:val="000D07B2"/>
    <w:rsid w:val="000D1643"/>
    <w:rsid w:val="000D30D9"/>
    <w:rsid w:val="000D3741"/>
    <w:rsid w:val="000D3C71"/>
    <w:rsid w:val="000D48ED"/>
    <w:rsid w:val="000D79E0"/>
    <w:rsid w:val="000E0279"/>
    <w:rsid w:val="000E0FAC"/>
    <w:rsid w:val="000E3050"/>
    <w:rsid w:val="000E346F"/>
    <w:rsid w:val="000E4B1F"/>
    <w:rsid w:val="000E5033"/>
    <w:rsid w:val="000E59E5"/>
    <w:rsid w:val="000E7302"/>
    <w:rsid w:val="000F0C69"/>
    <w:rsid w:val="000F2574"/>
    <w:rsid w:val="000F35A6"/>
    <w:rsid w:val="000F58A0"/>
    <w:rsid w:val="000F5F1F"/>
    <w:rsid w:val="000F7E1E"/>
    <w:rsid w:val="0010332E"/>
    <w:rsid w:val="001061D6"/>
    <w:rsid w:val="00106563"/>
    <w:rsid w:val="001100F6"/>
    <w:rsid w:val="001103BD"/>
    <w:rsid w:val="00117B34"/>
    <w:rsid w:val="00117B6D"/>
    <w:rsid w:val="00120696"/>
    <w:rsid w:val="00120A5E"/>
    <w:rsid w:val="00120A7D"/>
    <w:rsid w:val="00121C89"/>
    <w:rsid w:val="00121F21"/>
    <w:rsid w:val="00123031"/>
    <w:rsid w:val="00123AF1"/>
    <w:rsid w:val="00123C0D"/>
    <w:rsid w:val="001244AF"/>
    <w:rsid w:val="0012560C"/>
    <w:rsid w:val="0012598A"/>
    <w:rsid w:val="001259E8"/>
    <w:rsid w:val="00125B36"/>
    <w:rsid w:val="0012607B"/>
    <w:rsid w:val="001263A3"/>
    <w:rsid w:val="001265F7"/>
    <w:rsid w:val="001307C7"/>
    <w:rsid w:val="00131ACA"/>
    <w:rsid w:val="001320C7"/>
    <w:rsid w:val="00133827"/>
    <w:rsid w:val="0013523E"/>
    <w:rsid w:val="00136162"/>
    <w:rsid w:val="00136DA7"/>
    <w:rsid w:val="0013750E"/>
    <w:rsid w:val="00137D03"/>
    <w:rsid w:val="00137DE8"/>
    <w:rsid w:val="00140331"/>
    <w:rsid w:val="001460C4"/>
    <w:rsid w:val="0014709F"/>
    <w:rsid w:val="00151782"/>
    <w:rsid w:val="001525BD"/>
    <w:rsid w:val="00154430"/>
    <w:rsid w:val="00154DED"/>
    <w:rsid w:val="00155E8F"/>
    <w:rsid w:val="00157C57"/>
    <w:rsid w:val="001603E9"/>
    <w:rsid w:val="00160BD5"/>
    <w:rsid w:val="001632E8"/>
    <w:rsid w:val="001634FF"/>
    <w:rsid w:val="001672B9"/>
    <w:rsid w:val="001674E5"/>
    <w:rsid w:val="00171224"/>
    <w:rsid w:val="00172759"/>
    <w:rsid w:val="00173473"/>
    <w:rsid w:val="0017461B"/>
    <w:rsid w:val="00175E2C"/>
    <w:rsid w:val="0017774F"/>
    <w:rsid w:val="0018145D"/>
    <w:rsid w:val="001822A2"/>
    <w:rsid w:val="001833FF"/>
    <w:rsid w:val="001835B9"/>
    <w:rsid w:val="00183B65"/>
    <w:rsid w:val="00187257"/>
    <w:rsid w:val="001875CF"/>
    <w:rsid w:val="00190DD8"/>
    <w:rsid w:val="00192361"/>
    <w:rsid w:val="00193E15"/>
    <w:rsid w:val="00195698"/>
    <w:rsid w:val="001970C4"/>
    <w:rsid w:val="00197156"/>
    <w:rsid w:val="001A00D0"/>
    <w:rsid w:val="001A18DC"/>
    <w:rsid w:val="001A2159"/>
    <w:rsid w:val="001A2638"/>
    <w:rsid w:val="001A2B56"/>
    <w:rsid w:val="001A2F43"/>
    <w:rsid w:val="001A39D9"/>
    <w:rsid w:val="001A497D"/>
    <w:rsid w:val="001A57D3"/>
    <w:rsid w:val="001A7FDE"/>
    <w:rsid w:val="001B13F2"/>
    <w:rsid w:val="001B1A1A"/>
    <w:rsid w:val="001B224F"/>
    <w:rsid w:val="001B2A96"/>
    <w:rsid w:val="001B6DBD"/>
    <w:rsid w:val="001B6E8A"/>
    <w:rsid w:val="001C4013"/>
    <w:rsid w:val="001C42BD"/>
    <w:rsid w:val="001C67E8"/>
    <w:rsid w:val="001D0C7F"/>
    <w:rsid w:val="001D27EE"/>
    <w:rsid w:val="001D3257"/>
    <w:rsid w:val="001D4F89"/>
    <w:rsid w:val="001D51CD"/>
    <w:rsid w:val="001D5916"/>
    <w:rsid w:val="001D759F"/>
    <w:rsid w:val="001E0F5E"/>
    <w:rsid w:val="001E0FCD"/>
    <w:rsid w:val="001E23D6"/>
    <w:rsid w:val="001E32D1"/>
    <w:rsid w:val="001E51C0"/>
    <w:rsid w:val="001E52C8"/>
    <w:rsid w:val="001E5B09"/>
    <w:rsid w:val="001E62F0"/>
    <w:rsid w:val="001E764B"/>
    <w:rsid w:val="001E7A18"/>
    <w:rsid w:val="001E7B84"/>
    <w:rsid w:val="001E7BB9"/>
    <w:rsid w:val="001F04C0"/>
    <w:rsid w:val="001F25F3"/>
    <w:rsid w:val="001F2738"/>
    <w:rsid w:val="001F31C2"/>
    <w:rsid w:val="001F5C4F"/>
    <w:rsid w:val="001F771B"/>
    <w:rsid w:val="001F7CC6"/>
    <w:rsid w:val="00200B3F"/>
    <w:rsid w:val="002010CB"/>
    <w:rsid w:val="0020170B"/>
    <w:rsid w:val="002019E9"/>
    <w:rsid w:val="00203764"/>
    <w:rsid w:val="00206B0F"/>
    <w:rsid w:val="00207C0E"/>
    <w:rsid w:val="002102D4"/>
    <w:rsid w:val="00213A33"/>
    <w:rsid w:val="00213EC7"/>
    <w:rsid w:val="0021681C"/>
    <w:rsid w:val="00216C39"/>
    <w:rsid w:val="002203F1"/>
    <w:rsid w:val="0022132B"/>
    <w:rsid w:val="00222416"/>
    <w:rsid w:val="00225ACD"/>
    <w:rsid w:val="002272A1"/>
    <w:rsid w:val="00230536"/>
    <w:rsid w:val="002308DA"/>
    <w:rsid w:val="00230DFA"/>
    <w:rsid w:val="002316C4"/>
    <w:rsid w:val="00231D30"/>
    <w:rsid w:val="002326B9"/>
    <w:rsid w:val="002326FD"/>
    <w:rsid w:val="00232D16"/>
    <w:rsid w:val="00232EEC"/>
    <w:rsid w:val="002330BE"/>
    <w:rsid w:val="002341E3"/>
    <w:rsid w:val="002342BF"/>
    <w:rsid w:val="00235603"/>
    <w:rsid w:val="00240196"/>
    <w:rsid w:val="0024208C"/>
    <w:rsid w:val="0024682A"/>
    <w:rsid w:val="002475F5"/>
    <w:rsid w:val="00250970"/>
    <w:rsid w:val="00250B08"/>
    <w:rsid w:val="00254561"/>
    <w:rsid w:val="00254A17"/>
    <w:rsid w:val="002561B7"/>
    <w:rsid w:val="00256249"/>
    <w:rsid w:val="00257EFC"/>
    <w:rsid w:val="00260832"/>
    <w:rsid w:val="00262319"/>
    <w:rsid w:val="002625C2"/>
    <w:rsid w:val="00262752"/>
    <w:rsid w:val="00263B13"/>
    <w:rsid w:val="002643C1"/>
    <w:rsid w:val="00264737"/>
    <w:rsid w:val="0026473F"/>
    <w:rsid w:val="00265FED"/>
    <w:rsid w:val="0026633E"/>
    <w:rsid w:val="00266E04"/>
    <w:rsid w:val="00267534"/>
    <w:rsid w:val="00267709"/>
    <w:rsid w:val="00267A29"/>
    <w:rsid w:val="00267FE7"/>
    <w:rsid w:val="002706BC"/>
    <w:rsid w:val="002707FB"/>
    <w:rsid w:val="00271C97"/>
    <w:rsid w:val="002730EA"/>
    <w:rsid w:val="002734DB"/>
    <w:rsid w:val="002736B3"/>
    <w:rsid w:val="00274035"/>
    <w:rsid w:val="00274AFB"/>
    <w:rsid w:val="00275CCC"/>
    <w:rsid w:val="002761F1"/>
    <w:rsid w:val="002775E1"/>
    <w:rsid w:val="00280185"/>
    <w:rsid w:val="00281127"/>
    <w:rsid w:val="00281CFA"/>
    <w:rsid w:val="0028319B"/>
    <w:rsid w:val="002861C5"/>
    <w:rsid w:val="002862A7"/>
    <w:rsid w:val="002872AB"/>
    <w:rsid w:val="002879B2"/>
    <w:rsid w:val="00292ADC"/>
    <w:rsid w:val="00293750"/>
    <w:rsid w:val="00293842"/>
    <w:rsid w:val="00293C85"/>
    <w:rsid w:val="002961A8"/>
    <w:rsid w:val="00296E2F"/>
    <w:rsid w:val="002A058F"/>
    <w:rsid w:val="002A22B8"/>
    <w:rsid w:val="002A312D"/>
    <w:rsid w:val="002A3FD2"/>
    <w:rsid w:val="002A522E"/>
    <w:rsid w:val="002A665C"/>
    <w:rsid w:val="002B10DB"/>
    <w:rsid w:val="002B1490"/>
    <w:rsid w:val="002B1C33"/>
    <w:rsid w:val="002B31CA"/>
    <w:rsid w:val="002B4564"/>
    <w:rsid w:val="002B4B9B"/>
    <w:rsid w:val="002B5B0E"/>
    <w:rsid w:val="002B6F6A"/>
    <w:rsid w:val="002C1168"/>
    <w:rsid w:val="002C4630"/>
    <w:rsid w:val="002C5E98"/>
    <w:rsid w:val="002D075C"/>
    <w:rsid w:val="002D112F"/>
    <w:rsid w:val="002D3D27"/>
    <w:rsid w:val="002D51EA"/>
    <w:rsid w:val="002D7346"/>
    <w:rsid w:val="002D7634"/>
    <w:rsid w:val="002E0DDE"/>
    <w:rsid w:val="002E1885"/>
    <w:rsid w:val="002E3174"/>
    <w:rsid w:val="002E31FE"/>
    <w:rsid w:val="002E33A5"/>
    <w:rsid w:val="002E3689"/>
    <w:rsid w:val="002E5102"/>
    <w:rsid w:val="002E5831"/>
    <w:rsid w:val="002E68C2"/>
    <w:rsid w:val="002E744E"/>
    <w:rsid w:val="002F0454"/>
    <w:rsid w:val="002F2ACA"/>
    <w:rsid w:val="002F49F8"/>
    <w:rsid w:val="002F4F81"/>
    <w:rsid w:val="002F5F05"/>
    <w:rsid w:val="002F6DB1"/>
    <w:rsid w:val="002F7C65"/>
    <w:rsid w:val="003013EA"/>
    <w:rsid w:val="00302FCD"/>
    <w:rsid w:val="0030300E"/>
    <w:rsid w:val="00304AB9"/>
    <w:rsid w:val="00306272"/>
    <w:rsid w:val="00306547"/>
    <w:rsid w:val="00306B06"/>
    <w:rsid w:val="00312955"/>
    <w:rsid w:val="00315362"/>
    <w:rsid w:val="00315540"/>
    <w:rsid w:val="00317D30"/>
    <w:rsid w:val="003200C0"/>
    <w:rsid w:val="00320DC5"/>
    <w:rsid w:val="00321F43"/>
    <w:rsid w:val="00324A52"/>
    <w:rsid w:val="00325AB0"/>
    <w:rsid w:val="00326270"/>
    <w:rsid w:val="003319FB"/>
    <w:rsid w:val="0033242D"/>
    <w:rsid w:val="00333342"/>
    <w:rsid w:val="00333743"/>
    <w:rsid w:val="003340B9"/>
    <w:rsid w:val="00336C3F"/>
    <w:rsid w:val="00340A75"/>
    <w:rsid w:val="003419B0"/>
    <w:rsid w:val="003425C0"/>
    <w:rsid w:val="003438D3"/>
    <w:rsid w:val="00343B6D"/>
    <w:rsid w:val="00343DD4"/>
    <w:rsid w:val="0034451E"/>
    <w:rsid w:val="0034589E"/>
    <w:rsid w:val="00346537"/>
    <w:rsid w:val="00347DB3"/>
    <w:rsid w:val="003501F1"/>
    <w:rsid w:val="00350CF1"/>
    <w:rsid w:val="00353FAA"/>
    <w:rsid w:val="00354A2E"/>
    <w:rsid w:val="00357941"/>
    <w:rsid w:val="00364131"/>
    <w:rsid w:val="003647EB"/>
    <w:rsid w:val="00365132"/>
    <w:rsid w:val="00365767"/>
    <w:rsid w:val="00365C39"/>
    <w:rsid w:val="00373D10"/>
    <w:rsid w:val="0037461A"/>
    <w:rsid w:val="0037540F"/>
    <w:rsid w:val="00376C44"/>
    <w:rsid w:val="00381609"/>
    <w:rsid w:val="00385022"/>
    <w:rsid w:val="00387630"/>
    <w:rsid w:val="00387F41"/>
    <w:rsid w:val="00391B66"/>
    <w:rsid w:val="0039332C"/>
    <w:rsid w:val="00393E80"/>
    <w:rsid w:val="00395A54"/>
    <w:rsid w:val="00396AA2"/>
    <w:rsid w:val="00397271"/>
    <w:rsid w:val="00397593"/>
    <w:rsid w:val="0039781A"/>
    <w:rsid w:val="003A0549"/>
    <w:rsid w:val="003A1175"/>
    <w:rsid w:val="003A1556"/>
    <w:rsid w:val="003A7AB7"/>
    <w:rsid w:val="003B000B"/>
    <w:rsid w:val="003B0538"/>
    <w:rsid w:val="003B3DF0"/>
    <w:rsid w:val="003B3F3E"/>
    <w:rsid w:val="003B57E7"/>
    <w:rsid w:val="003B5A2F"/>
    <w:rsid w:val="003C063F"/>
    <w:rsid w:val="003C076D"/>
    <w:rsid w:val="003C1AE5"/>
    <w:rsid w:val="003C1BDD"/>
    <w:rsid w:val="003C1C91"/>
    <w:rsid w:val="003C1D6A"/>
    <w:rsid w:val="003C21EA"/>
    <w:rsid w:val="003C31FF"/>
    <w:rsid w:val="003C64B7"/>
    <w:rsid w:val="003C6AEC"/>
    <w:rsid w:val="003C7B06"/>
    <w:rsid w:val="003D0AC8"/>
    <w:rsid w:val="003D1DE0"/>
    <w:rsid w:val="003D3A67"/>
    <w:rsid w:val="003D65FD"/>
    <w:rsid w:val="003D6826"/>
    <w:rsid w:val="003E2447"/>
    <w:rsid w:val="003E2B2F"/>
    <w:rsid w:val="003E2E77"/>
    <w:rsid w:val="003E32A0"/>
    <w:rsid w:val="003E3549"/>
    <w:rsid w:val="003E72FA"/>
    <w:rsid w:val="003E75AA"/>
    <w:rsid w:val="003E77E6"/>
    <w:rsid w:val="003F12D9"/>
    <w:rsid w:val="003F6977"/>
    <w:rsid w:val="003F7708"/>
    <w:rsid w:val="003F7A3A"/>
    <w:rsid w:val="004013D6"/>
    <w:rsid w:val="00401EB0"/>
    <w:rsid w:val="004045B5"/>
    <w:rsid w:val="00405118"/>
    <w:rsid w:val="00406E6E"/>
    <w:rsid w:val="00407D09"/>
    <w:rsid w:val="00410A19"/>
    <w:rsid w:val="00413670"/>
    <w:rsid w:val="00413B98"/>
    <w:rsid w:val="00417487"/>
    <w:rsid w:val="00417772"/>
    <w:rsid w:val="00420C61"/>
    <w:rsid w:val="00421857"/>
    <w:rsid w:val="00421894"/>
    <w:rsid w:val="00423649"/>
    <w:rsid w:val="00423845"/>
    <w:rsid w:val="00423DB2"/>
    <w:rsid w:val="00424CD5"/>
    <w:rsid w:val="00426B0E"/>
    <w:rsid w:val="004316CA"/>
    <w:rsid w:val="00431A8F"/>
    <w:rsid w:val="0043278B"/>
    <w:rsid w:val="00433FEA"/>
    <w:rsid w:val="00434410"/>
    <w:rsid w:val="0043480C"/>
    <w:rsid w:val="004363D7"/>
    <w:rsid w:val="00436A7C"/>
    <w:rsid w:val="004370FE"/>
    <w:rsid w:val="00437B88"/>
    <w:rsid w:val="00440556"/>
    <w:rsid w:val="00441A14"/>
    <w:rsid w:val="00442414"/>
    <w:rsid w:val="00444382"/>
    <w:rsid w:val="00450AED"/>
    <w:rsid w:val="004523B9"/>
    <w:rsid w:val="00453473"/>
    <w:rsid w:val="00454BF3"/>
    <w:rsid w:val="00456B0F"/>
    <w:rsid w:val="0045774E"/>
    <w:rsid w:val="00460B7E"/>
    <w:rsid w:val="00463BAC"/>
    <w:rsid w:val="0046564A"/>
    <w:rsid w:val="00465A36"/>
    <w:rsid w:val="00466345"/>
    <w:rsid w:val="00467E4A"/>
    <w:rsid w:val="00470554"/>
    <w:rsid w:val="00471FA2"/>
    <w:rsid w:val="004725E7"/>
    <w:rsid w:val="004757EE"/>
    <w:rsid w:val="00476B3F"/>
    <w:rsid w:val="004777A4"/>
    <w:rsid w:val="00481C9B"/>
    <w:rsid w:val="0048207F"/>
    <w:rsid w:val="004832B3"/>
    <w:rsid w:val="0048379A"/>
    <w:rsid w:val="0048424B"/>
    <w:rsid w:val="00484953"/>
    <w:rsid w:val="0048727B"/>
    <w:rsid w:val="00490BCC"/>
    <w:rsid w:val="00491B29"/>
    <w:rsid w:val="00494333"/>
    <w:rsid w:val="00494EE0"/>
    <w:rsid w:val="00495DFE"/>
    <w:rsid w:val="00495E96"/>
    <w:rsid w:val="004960C0"/>
    <w:rsid w:val="00497A04"/>
    <w:rsid w:val="004A0B64"/>
    <w:rsid w:val="004A1166"/>
    <w:rsid w:val="004A21A5"/>
    <w:rsid w:val="004A3606"/>
    <w:rsid w:val="004A3AB5"/>
    <w:rsid w:val="004A4C7A"/>
    <w:rsid w:val="004A5379"/>
    <w:rsid w:val="004A64B5"/>
    <w:rsid w:val="004A731D"/>
    <w:rsid w:val="004B0173"/>
    <w:rsid w:val="004B28A1"/>
    <w:rsid w:val="004B2A70"/>
    <w:rsid w:val="004B3382"/>
    <w:rsid w:val="004B47DD"/>
    <w:rsid w:val="004B52EA"/>
    <w:rsid w:val="004B5D3C"/>
    <w:rsid w:val="004B5FB9"/>
    <w:rsid w:val="004B6D6F"/>
    <w:rsid w:val="004B752E"/>
    <w:rsid w:val="004B7774"/>
    <w:rsid w:val="004B783A"/>
    <w:rsid w:val="004C1CB0"/>
    <w:rsid w:val="004C5FE0"/>
    <w:rsid w:val="004C65B8"/>
    <w:rsid w:val="004D0649"/>
    <w:rsid w:val="004D0890"/>
    <w:rsid w:val="004D21AA"/>
    <w:rsid w:val="004D2CFB"/>
    <w:rsid w:val="004D3774"/>
    <w:rsid w:val="004D5522"/>
    <w:rsid w:val="004D5F2A"/>
    <w:rsid w:val="004E0362"/>
    <w:rsid w:val="004E09DC"/>
    <w:rsid w:val="004E60CB"/>
    <w:rsid w:val="004F1F6E"/>
    <w:rsid w:val="004F2179"/>
    <w:rsid w:val="004F4FC1"/>
    <w:rsid w:val="004F6785"/>
    <w:rsid w:val="004F6D71"/>
    <w:rsid w:val="004F7821"/>
    <w:rsid w:val="005000D0"/>
    <w:rsid w:val="005005C7"/>
    <w:rsid w:val="0050232E"/>
    <w:rsid w:val="005028B0"/>
    <w:rsid w:val="00502980"/>
    <w:rsid w:val="005042AE"/>
    <w:rsid w:val="0050557D"/>
    <w:rsid w:val="005056A4"/>
    <w:rsid w:val="00505A3C"/>
    <w:rsid w:val="0050643F"/>
    <w:rsid w:val="00510DE8"/>
    <w:rsid w:val="00510E7A"/>
    <w:rsid w:val="00511BD3"/>
    <w:rsid w:val="00517F94"/>
    <w:rsid w:val="00520CBA"/>
    <w:rsid w:val="00522465"/>
    <w:rsid w:val="0052352B"/>
    <w:rsid w:val="00524724"/>
    <w:rsid w:val="00525A6C"/>
    <w:rsid w:val="005267C7"/>
    <w:rsid w:val="00530783"/>
    <w:rsid w:val="00533435"/>
    <w:rsid w:val="0053423C"/>
    <w:rsid w:val="00535EC7"/>
    <w:rsid w:val="00541977"/>
    <w:rsid w:val="00541C36"/>
    <w:rsid w:val="005422AD"/>
    <w:rsid w:val="005426DC"/>
    <w:rsid w:val="005426E8"/>
    <w:rsid w:val="00543484"/>
    <w:rsid w:val="005434D1"/>
    <w:rsid w:val="00543D73"/>
    <w:rsid w:val="0054456F"/>
    <w:rsid w:val="00544A4E"/>
    <w:rsid w:val="005459D3"/>
    <w:rsid w:val="005463BD"/>
    <w:rsid w:val="005508D9"/>
    <w:rsid w:val="005528B8"/>
    <w:rsid w:val="005539D4"/>
    <w:rsid w:val="005549E4"/>
    <w:rsid w:val="00556B0E"/>
    <w:rsid w:val="00557583"/>
    <w:rsid w:val="00557EF7"/>
    <w:rsid w:val="005634E3"/>
    <w:rsid w:val="00566120"/>
    <w:rsid w:val="00567211"/>
    <w:rsid w:val="005677D0"/>
    <w:rsid w:val="00571242"/>
    <w:rsid w:val="00572EAD"/>
    <w:rsid w:val="0057713B"/>
    <w:rsid w:val="00577F53"/>
    <w:rsid w:val="0058057C"/>
    <w:rsid w:val="00583B6C"/>
    <w:rsid w:val="00584656"/>
    <w:rsid w:val="005856AF"/>
    <w:rsid w:val="00590CCA"/>
    <w:rsid w:val="0059270F"/>
    <w:rsid w:val="0059522F"/>
    <w:rsid w:val="00595778"/>
    <w:rsid w:val="00595F3F"/>
    <w:rsid w:val="00596151"/>
    <w:rsid w:val="00596696"/>
    <w:rsid w:val="005972DA"/>
    <w:rsid w:val="005A21AF"/>
    <w:rsid w:val="005A2E75"/>
    <w:rsid w:val="005A2FEC"/>
    <w:rsid w:val="005A3504"/>
    <w:rsid w:val="005A76E2"/>
    <w:rsid w:val="005B0D71"/>
    <w:rsid w:val="005B0E1A"/>
    <w:rsid w:val="005B17BD"/>
    <w:rsid w:val="005B3153"/>
    <w:rsid w:val="005B5341"/>
    <w:rsid w:val="005B5A36"/>
    <w:rsid w:val="005B74AF"/>
    <w:rsid w:val="005C3F54"/>
    <w:rsid w:val="005C49BD"/>
    <w:rsid w:val="005C4CED"/>
    <w:rsid w:val="005C65D0"/>
    <w:rsid w:val="005C7DFD"/>
    <w:rsid w:val="005C7EC0"/>
    <w:rsid w:val="005D04D4"/>
    <w:rsid w:val="005D1653"/>
    <w:rsid w:val="005D1737"/>
    <w:rsid w:val="005D2B1A"/>
    <w:rsid w:val="005D338E"/>
    <w:rsid w:val="005D3CC6"/>
    <w:rsid w:val="005D63DE"/>
    <w:rsid w:val="005D64E6"/>
    <w:rsid w:val="005D6B94"/>
    <w:rsid w:val="005E060A"/>
    <w:rsid w:val="005E09BC"/>
    <w:rsid w:val="005E26E1"/>
    <w:rsid w:val="005E49B2"/>
    <w:rsid w:val="005E7437"/>
    <w:rsid w:val="005F0395"/>
    <w:rsid w:val="005F1C13"/>
    <w:rsid w:val="005F4CB3"/>
    <w:rsid w:val="006003EE"/>
    <w:rsid w:val="00600883"/>
    <w:rsid w:val="0060304A"/>
    <w:rsid w:val="00603B03"/>
    <w:rsid w:val="00604AC4"/>
    <w:rsid w:val="006055F2"/>
    <w:rsid w:val="00606344"/>
    <w:rsid w:val="0061146A"/>
    <w:rsid w:val="00611723"/>
    <w:rsid w:val="006155DD"/>
    <w:rsid w:val="006226CD"/>
    <w:rsid w:val="00622D2E"/>
    <w:rsid w:val="00630154"/>
    <w:rsid w:val="00630B10"/>
    <w:rsid w:val="00631D3C"/>
    <w:rsid w:val="00633762"/>
    <w:rsid w:val="00633871"/>
    <w:rsid w:val="00634C06"/>
    <w:rsid w:val="00637156"/>
    <w:rsid w:val="006404F6"/>
    <w:rsid w:val="00640A16"/>
    <w:rsid w:val="00641818"/>
    <w:rsid w:val="00641B78"/>
    <w:rsid w:val="0064279F"/>
    <w:rsid w:val="00643BEC"/>
    <w:rsid w:val="006475F6"/>
    <w:rsid w:val="00647D3C"/>
    <w:rsid w:val="00652BE7"/>
    <w:rsid w:val="00655943"/>
    <w:rsid w:val="00655ED2"/>
    <w:rsid w:val="00660052"/>
    <w:rsid w:val="006605A2"/>
    <w:rsid w:val="00660746"/>
    <w:rsid w:val="00660864"/>
    <w:rsid w:val="00661542"/>
    <w:rsid w:val="00661929"/>
    <w:rsid w:val="00661FAF"/>
    <w:rsid w:val="00663D58"/>
    <w:rsid w:val="00664613"/>
    <w:rsid w:val="006657B4"/>
    <w:rsid w:val="006659FC"/>
    <w:rsid w:val="00667B4C"/>
    <w:rsid w:val="00671581"/>
    <w:rsid w:val="00676111"/>
    <w:rsid w:val="006803FD"/>
    <w:rsid w:val="00680897"/>
    <w:rsid w:val="00683B0B"/>
    <w:rsid w:val="00684C2C"/>
    <w:rsid w:val="006854BF"/>
    <w:rsid w:val="0069005B"/>
    <w:rsid w:val="006928C2"/>
    <w:rsid w:val="00694ACE"/>
    <w:rsid w:val="00695093"/>
    <w:rsid w:val="00695C6F"/>
    <w:rsid w:val="00696FBA"/>
    <w:rsid w:val="006977E3"/>
    <w:rsid w:val="006A1CF3"/>
    <w:rsid w:val="006A3844"/>
    <w:rsid w:val="006A4F70"/>
    <w:rsid w:val="006A7148"/>
    <w:rsid w:val="006A7CE6"/>
    <w:rsid w:val="006B0DF4"/>
    <w:rsid w:val="006B45A0"/>
    <w:rsid w:val="006B47E6"/>
    <w:rsid w:val="006B784C"/>
    <w:rsid w:val="006C0654"/>
    <w:rsid w:val="006C2E38"/>
    <w:rsid w:val="006C2F14"/>
    <w:rsid w:val="006C5A80"/>
    <w:rsid w:val="006C6372"/>
    <w:rsid w:val="006D188F"/>
    <w:rsid w:val="006D34EE"/>
    <w:rsid w:val="006D35FF"/>
    <w:rsid w:val="006D7E71"/>
    <w:rsid w:val="006E3463"/>
    <w:rsid w:val="006E377C"/>
    <w:rsid w:val="006E7544"/>
    <w:rsid w:val="006F0829"/>
    <w:rsid w:val="006F0C3D"/>
    <w:rsid w:val="006F0D77"/>
    <w:rsid w:val="006F0EF6"/>
    <w:rsid w:val="006F0F4F"/>
    <w:rsid w:val="006F23C7"/>
    <w:rsid w:val="006F5F7F"/>
    <w:rsid w:val="007007F4"/>
    <w:rsid w:val="00700E69"/>
    <w:rsid w:val="0070159B"/>
    <w:rsid w:val="00701F02"/>
    <w:rsid w:val="00703DCB"/>
    <w:rsid w:val="00705636"/>
    <w:rsid w:val="00705ADA"/>
    <w:rsid w:val="00705D61"/>
    <w:rsid w:val="00705FC0"/>
    <w:rsid w:val="00706D89"/>
    <w:rsid w:val="00706DCC"/>
    <w:rsid w:val="00707A39"/>
    <w:rsid w:val="00711F08"/>
    <w:rsid w:val="00713956"/>
    <w:rsid w:val="00713A51"/>
    <w:rsid w:val="0071761C"/>
    <w:rsid w:val="00720960"/>
    <w:rsid w:val="00720FBB"/>
    <w:rsid w:val="00721FC1"/>
    <w:rsid w:val="00722B3D"/>
    <w:rsid w:val="00722BAC"/>
    <w:rsid w:val="0072308F"/>
    <w:rsid w:val="007247F0"/>
    <w:rsid w:val="00724A32"/>
    <w:rsid w:val="007256B0"/>
    <w:rsid w:val="00730477"/>
    <w:rsid w:val="00731CCA"/>
    <w:rsid w:val="00731ECA"/>
    <w:rsid w:val="007326E1"/>
    <w:rsid w:val="00732B72"/>
    <w:rsid w:val="0073345B"/>
    <w:rsid w:val="007342DB"/>
    <w:rsid w:val="0074089D"/>
    <w:rsid w:val="00742145"/>
    <w:rsid w:val="0074303F"/>
    <w:rsid w:val="007449D3"/>
    <w:rsid w:val="00745291"/>
    <w:rsid w:val="00745A4D"/>
    <w:rsid w:val="0074737D"/>
    <w:rsid w:val="00750166"/>
    <w:rsid w:val="007519B8"/>
    <w:rsid w:val="00752CBD"/>
    <w:rsid w:val="00752FF1"/>
    <w:rsid w:val="007531ED"/>
    <w:rsid w:val="007547EB"/>
    <w:rsid w:val="007569C2"/>
    <w:rsid w:val="00757706"/>
    <w:rsid w:val="00757BD4"/>
    <w:rsid w:val="00761BFE"/>
    <w:rsid w:val="0076222A"/>
    <w:rsid w:val="00762915"/>
    <w:rsid w:val="00762ADC"/>
    <w:rsid w:val="007654CF"/>
    <w:rsid w:val="0076588F"/>
    <w:rsid w:val="00765DC5"/>
    <w:rsid w:val="00767C5E"/>
    <w:rsid w:val="007710B3"/>
    <w:rsid w:val="00771CC9"/>
    <w:rsid w:val="00771D10"/>
    <w:rsid w:val="0077294F"/>
    <w:rsid w:val="00776467"/>
    <w:rsid w:val="00777562"/>
    <w:rsid w:val="00781A0B"/>
    <w:rsid w:val="0078265B"/>
    <w:rsid w:val="00782861"/>
    <w:rsid w:val="0078321B"/>
    <w:rsid w:val="007851E6"/>
    <w:rsid w:val="0078551A"/>
    <w:rsid w:val="00787AE2"/>
    <w:rsid w:val="00790E8A"/>
    <w:rsid w:val="007913DC"/>
    <w:rsid w:val="00792C1F"/>
    <w:rsid w:val="007949CF"/>
    <w:rsid w:val="00794CC3"/>
    <w:rsid w:val="00795AA9"/>
    <w:rsid w:val="007A1529"/>
    <w:rsid w:val="007A16C8"/>
    <w:rsid w:val="007A434D"/>
    <w:rsid w:val="007A439B"/>
    <w:rsid w:val="007B11A9"/>
    <w:rsid w:val="007B21E2"/>
    <w:rsid w:val="007B315D"/>
    <w:rsid w:val="007B5A88"/>
    <w:rsid w:val="007B7FD7"/>
    <w:rsid w:val="007C0292"/>
    <w:rsid w:val="007C172C"/>
    <w:rsid w:val="007C48D9"/>
    <w:rsid w:val="007C5BAC"/>
    <w:rsid w:val="007C7D72"/>
    <w:rsid w:val="007D08E7"/>
    <w:rsid w:val="007D25FE"/>
    <w:rsid w:val="007D3753"/>
    <w:rsid w:val="007D5E83"/>
    <w:rsid w:val="007D652D"/>
    <w:rsid w:val="007D6867"/>
    <w:rsid w:val="007D7279"/>
    <w:rsid w:val="007E173D"/>
    <w:rsid w:val="007E27BC"/>
    <w:rsid w:val="007E342C"/>
    <w:rsid w:val="007E3ABE"/>
    <w:rsid w:val="007E3C82"/>
    <w:rsid w:val="007E726E"/>
    <w:rsid w:val="007E7FD1"/>
    <w:rsid w:val="007F4701"/>
    <w:rsid w:val="007F4AC0"/>
    <w:rsid w:val="007F5576"/>
    <w:rsid w:val="007F6442"/>
    <w:rsid w:val="007F6C5F"/>
    <w:rsid w:val="007F7D3C"/>
    <w:rsid w:val="00801804"/>
    <w:rsid w:val="00802EE8"/>
    <w:rsid w:val="00804365"/>
    <w:rsid w:val="008043A6"/>
    <w:rsid w:val="008043AD"/>
    <w:rsid w:val="00806524"/>
    <w:rsid w:val="008117E8"/>
    <w:rsid w:val="008122B4"/>
    <w:rsid w:val="0081241A"/>
    <w:rsid w:val="0081543F"/>
    <w:rsid w:val="00815554"/>
    <w:rsid w:val="00815770"/>
    <w:rsid w:val="00815CD6"/>
    <w:rsid w:val="00816467"/>
    <w:rsid w:val="0081727D"/>
    <w:rsid w:val="00831A57"/>
    <w:rsid w:val="008331F0"/>
    <w:rsid w:val="00840B15"/>
    <w:rsid w:val="008415E7"/>
    <w:rsid w:val="00841CE9"/>
    <w:rsid w:val="00843798"/>
    <w:rsid w:val="008437DE"/>
    <w:rsid w:val="00844978"/>
    <w:rsid w:val="00844BED"/>
    <w:rsid w:val="00851194"/>
    <w:rsid w:val="008528D4"/>
    <w:rsid w:val="00852CEE"/>
    <w:rsid w:val="008535C7"/>
    <w:rsid w:val="00853B9F"/>
    <w:rsid w:val="008578CE"/>
    <w:rsid w:val="00863146"/>
    <w:rsid w:val="0086642A"/>
    <w:rsid w:val="00866810"/>
    <w:rsid w:val="0086704E"/>
    <w:rsid w:val="00867EF4"/>
    <w:rsid w:val="0087043C"/>
    <w:rsid w:val="008707EB"/>
    <w:rsid w:val="00870CA6"/>
    <w:rsid w:val="00871D45"/>
    <w:rsid w:val="00872F39"/>
    <w:rsid w:val="008741C4"/>
    <w:rsid w:val="00874429"/>
    <w:rsid w:val="00874998"/>
    <w:rsid w:val="008752A0"/>
    <w:rsid w:val="00875F17"/>
    <w:rsid w:val="0087614C"/>
    <w:rsid w:val="00876D53"/>
    <w:rsid w:val="00876D82"/>
    <w:rsid w:val="008773AE"/>
    <w:rsid w:val="0088036F"/>
    <w:rsid w:val="00881F7F"/>
    <w:rsid w:val="00881F87"/>
    <w:rsid w:val="00882439"/>
    <w:rsid w:val="0088456F"/>
    <w:rsid w:val="00885CF5"/>
    <w:rsid w:val="00887E2E"/>
    <w:rsid w:val="00890E00"/>
    <w:rsid w:val="00891590"/>
    <w:rsid w:val="00891F7D"/>
    <w:rsid w:val="008937FC"/>
    <w:rsid w:val="0089531B"/>
    <w:rsid w:val="00896113"/>
    <w:rsid w:val="0089757F"/>
    <w:rsid w:val="008978C4"/>
    <w:rsid w:val="00897D5F"/>
    <w:rsid w:val="008A019D"/>
    <w:rsid w:val="008A078F"/>
    <w:rsid w:val="008A0904"/>
    <w:rsid w:val="008A245D"/>
    <w:rsid w:val="008A63E1"/>
    <w:rsid w:val="008A7D5B"/>
    <w:rsid w:val="008B0ED9"/>
    <w:rsid w:val="008B1938"/>
    <w:rsid w:val="008B1D2E"/>
    <w:rsid w:val="008B22D8"/>
    <w:rsid w:val="008B2BBB"/>
    <w:rsid w:val="008B2C63"/>
    <w:rsid w:val="008B491F"/>
    <w:rsid w:val="008B5E65"/>
    <w:rsid w:val="008B5FF2"/>
    <w:rsid w:val="008B7E35"/>
    <w:rsid w:val="008C1725"/>
    <w:rsid w:val="008C29A9"/>
    <w:rsid w:val="008C2CE1"/>
    <w:rsid w:val="008C2E39"/>
    <w:rsid w:val="008C344A"/>
    <w:rsid w:val="008C3D74"/>
    <w:rsid w:val="008C5695"/>
    <w:rsid w:val="008D0230"/>
    <w:rsid w:val="008D153B"/>
    <w:rsid w:val="008D4D91"/>
    <w:rsid w:val="008D61DA"/>
    <w:rsid w:val="008D7AF2"/>
    <w:rsid w:val="008E180D"/>
    <w:rsid w:val="008E1B5B"/>
    <w:rsid w:val="008E30DA"/>
    <w:rsid w:val="008E3646"/>
    <w:rsid w:val="008E37BB"/>
    <w:rsid w:val="008E6EAC"/>
    <w:rsid w:val="008F12BA"/>
    <w:rsid w:val="008F2A2C"/>
    <w:rsid w:val="008F359C"/>
    <w:rsid w:val="008F3BB8"/>
    <w:rsid w:val="008F3C15"/>
    <w:rsid w:val="008F55AF"/>
    <w:rsid w:val="008F5DC2"/>
    <w:rsid w:val="008F6A7C"/>
    <w:rsid w:val="008F7D98"/>
    <w:rsid w:val="00901AD9"/>
    <w:rsid w:val="009050C4"/>
    <w:rsid w:val="00906AB1"/>
    <w:rsid w:val="0090739E"/>
    <w:rsid w:val="00911E50"/>
    <w:rsid w:val="00911F40"/>
    <w:rsid w:val="00913AA9"/>
    <w:rsid w:val="00914B56"/>
    <w:rsid w:val="00915876"/>
    <w:rsid w:val="00915B83"/>
    <w:rsid w:val="00916C34"/>
    <w:rsid w:val="0091784A"/>
    <w:rsid w:val="00920467"/>
    <w:rsid w:val="00920EAB"/>
    <w:rsid w:val="00922885"/>
    <w:rsid w:val="00922B65"/>
    <w:rsid w:val="00922D24"/>
    <w:rsid w:val="00922EDD"/>
    <w:rsid w:val="009236FB"/>
    <w:rsid w:val="00926BA5"/>
    <w:rsid w:val="0093070A"/>
    <w:rsid w:val="00933932"/>
    <w:rsid w:val="00933FBA"/>
    <w:rsid w:val="00934081"/>
    <w:rsid w:val="00934503"/>
    <w:rsid w:val="00934FDA"/>
    <w:rsid w:val="009376D1"/>
    <w:rsid w:val="00941183"/>
    <w:rsid w:val="00941EE9"/>
    <w:rsid w:val="00944B6F"/>
    <w:rsid w:val="00945707"/>
    <w:rsid w:val="0094717D"/>
    <w:rsid w:val="0095070B"/>
    <w:rsid w:val="00951A8B"/>
    <w:rsid w:val="00952AC2"/>
    <w:rsid w:val="00952D5C"/>
    <w:rsid w:val="00952D5D"/>
    <w:rsid w:val="00954411"/>
    <w:rsid w:val="0095524E"/>
    <w:rsid w:val="00957E22"/>
    <w:rsid w:val="00960492"/>
    <w:rsid w:val="009613F6"/>
    <w:rsid w:val="0096481F"/>
    <w:rsid w:val="0096675E"/>
    <w:rsid w:val="009707D0"/>
    <w:rsid w:val="00973A53"/>
    <w:rsid w:val="00973B87"/>
    <w:rsid w:val="00974C8D"/>
    <w:rsid w:val="00975420"/>
    <w:rsid w:val="00977476"/>
    <w:rsid w:val="00977B70"/>
    <w:rsid w:val="009829E5"/>
    <w:rsid w:val="00985254"/>
    <w:rsid w:val="009904E8"/>
    <w:rsid w:val="00992D9D"/>
    <w:rsid w:val="009931EF"/>
    <w:rsid w:val="009953BF"/>
    <w:rsid w:val="009955F7"/>
    <w:rsid w:val="00996D12"/>
    <w:rsid w:val="00996F4B"/>
    <w:rsid w:val="009973E5"/>
    <w:rsid w:val="009973FE"/>
    <w:rsid w:val="00997667"/>
    <w:rsid w:val="009977D3"/>
    <w:rsid w:val="009A22B3"/>
    <w:rsid w:val="009A2542"/>
    <w:rsid w:val="009A25FB"/>
    <w:rsid w:val="009A306C"/>
    <w:rsid w:val="009A3423"/>
    <w:rsid w:val="009A407F"/>
    <w:rsid w:val="009A69E0"/>
    <w:rsid w:val="009A7115"/>
    <w:rsid w:val="009B034A"/>
    <w:rsid w:val="009B08C3"/>
    <w:rsid w:val="009B3861"/>
    <w:rsid w:val="009B50E4"/>
    <w:rsid w:val="009B5C81"/>
    <w:rsid w:val="009B7B9E"/>
    <w:rsid w:val="009C06B9"/>
    <w:rsid w:val="009C1442"/>
    <w:rsid w:val="009C1D26"/>
    <w:rsid w:val="009C2DDA"/>
    <w:rsid w:val="009C36B0"/>
    <w:rsid w:val="009C4CF0"/>
    <w:rsid w:val="009C6214"/>
    <w:rsid w:val="009D046B"/>
    <w:rsid w:val="009D266F"/>
    <w:rsid w:val="009D26DF"/>
    <w:rsid w:val="009D5C90"/>
    <w:rsid w:val="009D76E6"/>
    <w:rsid w:val="009E28D3"/>
    <w:rsid w:val="009E45F6"/>
    <w:rsid w:val="009E522D"/>
    <w:rsid w:val="009E5376"/>
    <w:rsid w:val="009E6BA0"/>
    <w:rsid w:val="009F2546"/>
    <w:rsid w:val="009F2AE0"/>
    <w:rsid w:val="009F344B"/>
    <w:rsid w:val="009F34F3"/>
    <w:rsid w:val="009F61C1"/>
    <w:rsid w:val="00A024EB"/>
    <w:rsid w:val="00A0367A"/>
    <w:rsid w:val="00A043B6"/>
    <w:rsid w:val="00A05CA2"/>
    <w:rsid w:val="00A05DA3"/>
    <w:rsid w:val="00A11C9F"/>
    <w:rsid w:val="00A1292A"/>
    <w:rsid w:val="00A12F26"/>
    <w:rsid w:val="00A1645D"/>
    <w:rsid w:val="00A17552"/>
    <w:rsid w:val="00A22203"/>
    <w:rsid w:val="00A23D89"/>
    <w:rsid w:val="00A23FEF"/>
    <w:rsid w:val="00A257EB"/>
    <w:rsid w:val="00A27357"/>
    <w:rsid w:val="00A274BC"/>
    <w:rsid w:val="00A3025E"/>
    <w:rsid w:val="00A31B0A"/>
    <w:rsid w:val="00A31C26"/>
    <w:rsid w:val="00A328A1"/>
    <w:rsid w:val="00A331A2"/>
    <w:rsid w:val="00A3425A"/>
    <w:rsid w:val="00A361BA"/>
    <w:rsid w:val="00A367DC"/>
    <w:rsid w:val="00A3719A"/>
    <w:rsid w:val="00A41C5A"/>
    <w:rsid w:val="00A423B8"/>
    <w:rsid w:val="00A42F10"/>
    <w:rsid w:val="00A43992"/>
    <w:rsid w:val="00A46EA1"/>
    <w:rsid w:val="00A47ACC"/>
    <w:rsid w:val="00A516F1"/>
    <w:rsid w:val="00A54AFB"/>
    <w:rsid w:val="00A57108"/>
    <w:rsid w:val="00A622FA"/>
    <w:rsid w:val="00A625AA"/>
    <w:rsid w:val="00A631C1"/>
    <w:rsid w:val="00A66610"/>
    <w:rsid w:val="00A7145E"/>
    <w:rsid w:val="00A724F0"/>
    <w:rsid w:val="00A72AB3"/>
    <w:rsid w:val="00A74DB4"/>
    <w:rsid w:val="00A761B7"/>
    <w:rsid w:val="00A772C3"/>
    <w:rsid w:val="00A77481"/>
    <w:rsid w:val="00A77A1D"/>
    <w:rsid w:val="00A804EC"/>
    <w:rsid w:val="00A87AA9"/>
    <w:rsid w:val="00A900D3"/>
    <w:rsid w:val="00A92896"/>
    <w:rsid w:val="00A9366F"/>
    <w:rsid w:val="00A95AE7"/>
    <w:rsid w:val="00AA1CAA"/>
    <w:rsid w:val="00AA254E"/>
    <w:rsid w:val="00AA4114"/>
    <w:rsid w:val="00AA4E87"/>
    <w:rsid w:val="00AB15D9"/>
    <w:rsid w:val="00AB287F"/>
    <w:rsid w:val="00AB3F5D"/>
    <w:rsid w:val="00AB4116"/>
    <w:rsid w:val="00AB53AE"/>
    <w:rsid w:val="00AB5FA7"/>
    <w:rsid w:val="00AB6FCF"/>
    <w:rsid w:val="00AC036B"/>
    <w:rsid w:val="00AC3123"/>
    <w:rsid w:val="00AC32B3"/>
    <w:rsid w:val="00AC3329"/>
    <w:rsid w:val="00AC3810"/>
    <w:rsid w:val="00AC4009"/>
    <w:rsid w:val="00AC6F50"/>
    <w:rsid w:val="00AD05E2"/>
    <w:rsid w:val="00AD12EE"/>
    <w:rsid w:val="00AD4CB3"/>
    <w:rsid w:val="00AD5740"/>
    <w:rsid w:val="00AD6617"/>
    <w:rsid w:val="00AE2EF4"/>
    <w:rsid w:val="00AE3CEF"/>
    <w:rsid w:val="00AE58D4"/>
    <w:rsid w:val="00AE6253"/>
    <w:rsid w:val="00AE6E34"/>
    <w:rsid w:val="00AF0055"/>
    <w:rsid w:val="00AF0185"/>
    <w:rsid w:val="00AF0346"/>
    <w:rsid w:val="00AF261C"/>
    <w:rsid w:val="00AF26D4"/>
    <w:rsid w:val="00AF2B78"/>
    <w:rsid w:val="00AF3BEE"/>
    <w:rsid w:val="00AF5125"/>
    <w:rsid w:val="00B00B6B"/>
    <w:rsid w:val="00B00E92"/>
    <w:rsid w:val="00B026FE"/>
    <w:rsid w:val="00B02DF1"/>
    <w:rsid w:val="00B0341F"/>
    <w:rsid w:val="00B05A1E"/>
    <w:rsid w:val="00B07B19"/>
    <w:rsid w:val="00B100DA"/>
    <w:rsid w:val="00B10493"/>
    <w:rsid w:val="00B10951"/>
    <w:rsid w:val="00B11088"/>
    <w:rsid w:val="00B1172C"/>
    <w:rsid w:val="00B11E0E"/>
    <w:rsid w:val="00B13EB0"/>
    <w:rsid w:val="00B171B1"/>
    <w:rsid w:val="00B205D3"/>
    <w:rsid w:val="00B20E2B"/>
    <w:rsid w:val="00B23218"/>
    <w:rsid w:val="00B23AD5"/>
    <w:rsid w:val="00B24688"/>
    <w:rsid w:val="00B24DA6"/>
    <w:rsid w:val="00B253AC"/>
    <w:rsid w:val="00B25E58"/>
    <w:rsid w:val="00B26974"/>
    <w:rsid w:val="00B27D70"/>
    <w:rsid w:val="00B33503"/>
    <w:rsid w:val="00B34759"/>
    <w:rsid w:val="00B34C6D"/>
    <w:rsid w:val="00B35BE7"/>
    <w:rsid w:val="00B3687D"/>
    <w:rsid w:val="00B373EC"/>
    <w:rsid w:val="00B413DB"/>
    <w:rsid w:val="00B439E5"/>
    <w:rsid w:val="00B44131"/>
    <w:rsid w:val="00B44809"/>
    <w:rsid w:val="00B453EC"/>
    <w:rsid w:val="00B46620"/>
    <w:rsid w:val="00B46A98"/>
    <w:rsid w:val="00B50351"/>
    <w:rsid w:val="00B523F8"/>
    <w:rsid w:val="00B53CC2"/>
    <w:rsid w:val="00B53EC9"/>
    <w:rsid w:val="00B54E93"/>
    <w:rsid w:val="00B55872"/>
    <w:rsid w:val="00B56FAE"/>
    <w:rsid w:val="00B57233"/>
    <w:rsid w:val="00B578E2"/>
    <w:rsid w:val="00B57EE4"/>
    <w:rsid w:val="00B60CE2"/>
    <w:rsid w:val="00B60D07"/>
    <w:rsid w:val="00B610B9"/>
    <w:rsid w:val="00B64EFD"/>
    <w:rsid w:val="00B671A1"/>
    <w:rsid w:val="00B70B47"/>
    <w:rsid w:val="00B70CF7"/>
    <w:rsid w:val="00B71F51"/>
    <w:rsid w:val="00B75E3B"/>
    <w:rsid w:val="00B75F7A"/>
    <w:rsid w:val="00B7659E"/>
    <w:rsid w:val="00B776F2"/>
    <w:rsid w:val="00B8042D"/>
    <w:rsid w:val="00B80709"/>
    <w:rsid w:val="00B81EF9"/>
    <w:rsid w:val="00B8455F"/>
    <w:rsid w:val="00B84850"/>
    <w:rsid w:val="00B84C0C"/>
    <w:rsid w:val="00B85666"/>
    <w:rsid w:val="00B85745"/>
    <w:rsid w:val="00B87669"/>
    <w:rsid w:val="00B87945"/>
    <w:rsid w:val="00B90AD5"/>
    <w:rsid w:val="00B9196E"/>
    <w:rsid w:val="00B923B4"/>
    <w:rsid w:val="00B92A73"/>
    <w:rsid w:val="00B93084"/>
    <w:rsid w:val="00B946E2"/>
    <w:rsid w:val="00B9590F"/>
    <w:rsid w:val="00B9710E"/>
    <w:rsid w:val="00B9746B"/>
    <w:rsid w:val="00BA0AB5"/>
    <w:rsid w:val="00BA4A11"/>
    <w:rsid w:val="00BA53A1"/>
    <w:rsid w:val="00BA59FC"/>
    <w:rsid w:val="00BA667F"/>
    <w:rsid w:val="00BA7464"/>
    <w:rsid w:val="00BB0712"/>
    <w:rsid w:val="00BB16BD"/>
    <w:rsid w:val="00BB37D4"/>
    <w:rsid w:val="00BB7DC9"/>
    <w:rsid w:val="00BC1070"/>
    <w:rsid w:val="00BC2521"/>
    <w:rsid w:val="00BC4997"/>
    <w:rsid w:val="00BC4E1A"/>
    <w:rsid w:val="00BC7184"/>
    <w:rsid w:val="00BC7B3B"/>
    <w:rsid w:val="00BD019A"/>
    <w:rsid w:val="00BD2EC9"/>
    <w:rsid w:val="00BD5E21"/>
    <w:rsid w:val="00BD67CB"/>
    <w:rsid w:val="00BD72D5"/>
    <w:rsid w:val="00BE01EA"/>
    <w:rsid w:val="00BE1480"/>
    <w:rsid w:val="00BE1C62"/>
    <w:rsid w:val="00BE515E"/>
    <w:rsid w:val="00BF025D"/>
    <w:rsid w:val="00BF13B5"/>
    <w:rsid w:val="00BF1ABA"/>
    <w:rsid w:val="00BF5261"/>
    <w:rsid w:val="00BF6E8B"/>
    <w:rsid w:val="00BF7087"/>
    <w:rsid w:val="00BF76B6"/>
    <w:rsid w:val="00C001B7"/>
    <w:rsid w:val="00C014A5"/>
    <w:rsid w:val="00C015DB"/>
    <w:rsid w:val="00C035C0"/>
    <w:rsid w:val="00C05CE0"/>
    <w:rsid w:val="00C06CD6"/>
    <w:rsid w:val="00C07FDC"/>
    <w:rsid w:val="00C178A8"/>
    <w:rsid w:val="00C17DF6"/>
    <w:rsid w:val="00C2060E"/>
    <w:rsid w:val="00C21B2A"/>
    <w:rsid w:val="00C21EC6"/>
    <w:rsid w:val="00C22B1D"/>
    <w:rsid w:val="00C240D4"/>
    <w:rsid w:val="00C24D16"/>
    <w:rsid w:val="00C265CF"/>
    <w:rsid w:val="00C269A9"/>
    <w:rsid w:val="00C2723B"/>
    <w:rsid w:val="00C27517"/>
    <w:rsid w:val="00C30B44"/>
    <w:rsid w:val="00C31468"/>
    <w:rsid w:val="00C3196D"/>
    <w:rsid w:val="00C33B78"/>
    <w:rsid w:val="00C348A7"/>
    <w:rsid w:val="00C35699"/>
    <w:rsid w:val="00C36784"/>
    <w:rsid w:val="00C37D80"/>
    <w:rsid w:val="00C40790"/>
    <w:rsid w:val="00C41031"/>
    <w:rsid w:val="00C43388"/>
    <w:rsid w:val="00C4490F"/>
    <w:rsid w:val="00C44960"/>
    <w:rsid w:val="00C464E2"/>
    <w:rsid w:val="00C469C0"/>
    <w:rsid w:val="00C46E24"/>
    <w:rsid w:val="00C47745"/>
    <w:rsid w:val="00C5178E"/>
    <w:rsid w:val="00C537C0"/>
    <w:rsid w:val="00C53A99"/>
    <w:rsid w:val="00C6427D"/>
    <w:rsid w:val="00C65F38"/>
    <w:rsid w:val="00C668FB"/>
    <w:rsid w:val="00C67186"/>
    <w:rsid w:val="00C70140"/>
    <w:rsid w:val="00C71B14"/>
    <w:rsid w:val="00C7254D"/>
    <w:rsid w:val="00C72FEF"/>
    <w:rsid w:val="00C73873"/>
    <w:rsid w:val="00C753F4"/>
    <w:rsid w:val="00C75422"/>
    <w:rsid w:val="00C76942"/>
    <w:rsid w:val="00C80E1A"/>
    <w:rsid w:val="00C82AC0"/>
    <w:rsid w:val="00C856EE"/>
    <w:rsid w:val="00C91B41"/>
    <w:rsid w:val="00C921D8"/>
    <w:rsid w:val="00C926B4"/>
    <w:rsid w:val="00C92D0C"/>
    <w:rsid w:val="00C93E2E"/>
    <w:rsid w:val="00C961B1"/>
    <w:rsid w:val="00CA18A1"/>
    <w:rsid w:val="00CA1FFD"/>
    <w:rsid w:val="00CA2F18"/>
    <w:rsid w:val="00CB274C"/>
    <w:rsid w:val="00CB5C4B"/>
    <w:rsid w:val="00CB5F9B"/>
    <w:rsid w:val="00CB672B"/>
    <w:rsid w:val="00CB780A"/>
    <w:rsid w:val="00CB7D69"/>
    <w:rsid w:val="00CC1977"/>
    <w:rsid w:val="00CC1F3D"/>
    <w:rsid w:val="00CC3840"/>
    <w:rsid w:val="00CC411B"/>
    <w:rsid w:val="00CC5E67"/>
    <w:rsid w:val="00CD0702"/>
    <w:rsid w:val="00CD0BF7"/>
    <w:rsid w:val="00CD1BF3"/>
    <w:rsid w:val="00CD2C79"/>
    <w:rsid w:val="00CD35FB"/>
    <w:rsid w:val="00CD3C47"/>
    <w:rsid w:val="00CD4083"/>
    <w:rsid w:val="00CD5A41"/>
    <w:rsid w:val="00CD743F"/>
    <w:rsid w:val="00CD7583"/>
    <w:rsid w:val="00CE0299"/>
    <w:rsid w:val="00CE0AAC"/>
    <w:rsid w:val="00CE4CAA"/>
    <w:rsid w:val="00CE6D13"/>
    <w:rsid w:val="00CE7B96"/>
    <w:rsid w:val="00CF1019"/>
    <w:rsid w:val="00CF1252"/>
    <w:rsid w:val="00CF2427"/>
    <w:rsid w:val="00CF2841"/>
    <w:rsid w:val="00CF38C2"/>
    <w:rsid w:val="00CF71A5"/>
    <w:rsid w:val="00CF7486"/>
    <w:rsid w:val="00D01217"/>
    <w:rsid w:val="00D01620"/>
    <w:rsid w:val="00D03E02"/>
    <w:rsid w:val="00D075C7"/>
    <w:rsid w:val="00D10875"/>
    <w:rsid w:val="00D109C3"/>
    <w:rsid w:val="00D11875"/>
    <w:rsid w:val="00D1343F"/>
    <w:rsid w:val="00D15486"/>
    <w:rsid w:val="00D22C1F"/>
    <w:rsid w:val="00D250A7"/>
    <w:rsid w:val="00D250B3"/>
    <w:rsid w:val="00D2579E"/>
    <w:rsid w:val="00D257AC"/>
    <w:rsid w:val="00D31968"/>
    <w:rsid w:val="00D31EFF"/>
    <w:rsid w:val="00D33EB0"/>
    <w:rsid w:val="00D344EB"/>
    <w:rsid w:val="00D35FD1"/>
    <w:rsid w:val="00D36B27"/>
    <w:rsid w:val="00D44AE2"/>
    <w:rsid w:val="00D44E13"/>
    <w:rsid w:val="00D47F4D"/>
    <w:rsid w:val="00D51909"/>
    <w:rsid w:val="00D51A1C"/>
    <w:rsid w:val="00D54B52"/>
    <w:rsid w:val="00D550D1"/>
    <w:rsid w:val="00D555FF"/>
    <w:rsid w:val="00D55EA3"/>
    <w:rsid w:val="00D56AF5"/>
    <w:rsid w:val="00D56B5D"/>
    <w:rsid w:val="00D578F5"/>
    <w:rsid w:val="00D60333"/>
    <w:rsid w:val="00D61258"/>
    <w:rsid w:val="00D62B28"/>
    <w:rsid w:val="00D62E99"/>
    <w:rsid w:val="00D632DE"/>
    <w:rsid w:val="00D64042"/>
    <w:rsid w:val="00D65F2A"/>
    <w:rsid w:val="00D66100"/>
    <w:rsid w:val="00D66320"/>
    <w:rsid w:val="00D70321"/>
    <w:rsid w:val="00D70C36"/>
    <w:rsid w:val="00D72397"/>
    <w:rsid w:val="00D730E0"/>
    <w:rsid w:val="00D745E6"/>
    <w:rsid w:val="00D745F5"/>
    <w:rsid w:val="00D765AF"/>
    <w:rsid w:val="00D80FA0"/>
    <w:rsid w:val="00D81E1E"/>
    <w:rsid w:val="00D84122"/>
    <w:rsid w:val="00D873B5"/>
    <w:rsid w:val="00D87AA2"/>
    <w:rsid w:val="00D87E3A"/>
    <w:rsid w:val="00D92BC9"/>
    <w:rsid w:val="00D93039"/>
    <w:rsid w:val="00D94DA3"/>
    <w:rsid w:val="00D96578"/>
    <w:rsid w:val="00D966FB"/>
    <w:rsid w:val="00D96A83"/>
    <w:rsid w:val="00D96DE0"/>
    <w:rsid w:val="00DA1361"/>
    <w:rsid w:val="00DA2157"/>
    <w:rsid w:val="00DA3573"/>
    <w:rsid w:val="00DA435C"/>
    <w:rsid w:val="00DA44E5"/>
    <w:rsid w:val="00DB08C2"/>
    <w:rsid w:val="00DB26FB"/>
    <w:rsid w:val="00DB3ABD"/>
    <w:rsid w:val="00DB4BA9"/>
    <w:rsid w:val="00DB50D5"/>
    <w:rsid w:val="00DB6D14"/>
    <w:rsid w:val="00DB6E5A"/>
    <w:rsid w:val="00DC1143"/>
    <w:rsid w:val="00DC3EC0"/>
    <w:rsid w:val="00DC5A6D"/>
    <w:rsid w:val="00DC7577"/>
    <w:rsid w:val="00DD0CA2"/>
    <w:rsid w:val="00DD0F13"/>
    <w:rsid w:val="00DD1E34"/>
    <w:rsid w:val="00DD2CD3"/>
    <w:rsid w:val="00DD4BEA"/>
    <w:rsid w:val="00DD5065"/>
    <w:rsid w:val="00DD5E3A"/>
    <w:rsid w:val="00DD7865"/>
    <w:rsid w:val="00DD7FF1"/>
    <w:rsid w:val="00DE208F"/>
    <w:rsid w:val="00DE4C12"/>
    <w:rsid w:val="00DE5049"/>
    <w:rsid w:val="00DE79EC"/>
    <w:rsid w:val="00DE7D89"/>
    <w:rsid w:val="00DF04FB"/>
    <w:rsid w:val="00DF24F8"/>
    <w:rsid w:val="00DF3946"/>
    <w:rsid w:val="00DF3AC7"/>
    <w:rsid w:val="00DF4052"/>
    <w:rsid w:val="00DF473E"/>
    <w:rsid w:val="00DF4C39"/>
    <w:rsid w:val="00E00143"/>
    <w:rsid w:val="00E01D84"/>
    <w:rsid w:val="00E0306F"/>
    <w:rsid w:val="00E04684"/>
    <w:rsid w:val="00E04787"/>
    <w:rsid w:val="00E05C7D"/>
    <w:rsid w:val="00E06347"/>
    <w:rsid w:val="00E101EB"/>
    <w:rsid w:val="00E114B4"/>
    <w:rsid w:val="00E12C8F"/>
    <w:rsid w:val="00E12F32"/>
    <w:rsid w:val="00E178CA"/>
    <w:rsid w:val="00E20EB4"/>
    <w:rsid w:val="00E22B8F"/>
    <w:rsid w:val="00E23A32"/>
    <w:rsid w:val="00E30D0C"/>
    <w:rsid w:val="00E30DB4"/>
    <w:rsid w:val="00E30F48"/>
    <w:rsid w:val="00E343B3"/>
    <w:rsid w:val="00E357B4"/>
    <w:rsid w:val="00E37C29"/>
    <w:rsid w:val="00E37E03"/>
    <w:rsid w:val="00E40060"/>
    <w:rsid w:val="00E40FC2"/>
    <w:rsid w:val="00E42D62"/>
    <w:rsid w:val="00E453C6"/>
    <w:rsid w:val="00E46710"/>
    <w:rsid w:val="00E51E32"/>
    <w:rsid w:val="00E53612"/>
    <w:rsid w:val="00E53757"/>
    <w:rsid w:val="00E53EEB"/>
    <w:rsid w:val="00E55358"/>
    <w:rsid w:val="00E56C53"/>
    <w:rsid w:val="00E579EA"/>
    <w:rsid w:val="00E6012B"/>
    <w:rsid w:val="00E602DE"/>
    <w:rsid w:val="00E61279"/>
    <w:rsid w:val="00E634E0"/>
    <w:rsid w:val="00E63E11"/>
    <w:rsid w:val="00E665A8"/>
    <w:rsid w:val="00E665C0"/>
    <w:rsid w:val="00E667CB"/>
    <w:rsid w:val="00E66E07"/>
    <w:rsid w:val="00E677DA"/>
    <w:rsid w:val="00E71063"/>
    <w:rsid w:val="00E7117B"/>
    <w:rsid w:val="00E71E81"/>
    <w:rsid w:val="00E72FBC"/>
    <w:rsid w:val="00E730C8"/>
    <w:rsid w:val="00E73450"/>
    <w:rsid w:val="00E74E9A"/>
    <w:rsid w:val="00E76127"/>
    <w:rsid w:val="00E76140"/>
    <w:rsid w:val="00E800EC"/>
    <w:rsid w:val="00E81887"/>
    <w:rsid w:val="00E82DF3"/>
    <w:rsid w:val="00E851D3"/>
    <w:rsid w:val="00E8589F"/>
    <w:rsid w:val="00E85AB9"/>
    <w:rsid w:val="00E917DF"/>
    <w:rsid w:val="00E91DB1"/>
    <w:rsid w:val="00E973C7"/>
    <w:rsid w:val="00EA0C78"/>
    <w:rsid w:val="00EA1FBA"/>
    <w:rsid w:val="00EA2AC7"/>
    <w:rsid w:val="00EA3802"/>
    <w:rsid w:val="00EA6FE8"/>
    <w:rsid w:val="00EA79A7"/>
    <w:rsid w:val="00EB06A9"/>
    <w:rsid w:val="00EB14C1"/>
    <w:rsid w:val="00EB2E00"/>
    <w:rsid w:val="00EB307B"/>
    <w:rsid w:val="00EB33EA"/>
    <w:rsid w:val="00EB445E"/>
    <w:rsid w:val="00EB5845"/>
    <w:rsid w:val="00EB5DE2"/>
    <w:rsid w:val="00EB7CD4"/>
    <w:rsid w:val="00EC075A"/>
    <w:rsid w:val="00EC0E3C"/>
    <w:rsid w:val="00EC1344"/>
    <w:rsid w:val="00EC2F57"/>
    <w:rsid w:val="00EC3F69"/>
    <w:rsid w:val="00EC46AD"/>
    <w:rsid w:val="00EC5972"/>
    <w:rsid w:val="00EC5D72"/>
    <w:rsid w:val="00ED1AB4"/>
    <w:rsid w:val="00ED2982"/>
    <w:rsid w:val="00ED2CDA"/>
    <w:rsid w:val="00EE10EA"/>
    <w:rsid w:val="00EE2B7B"/>
    <w:rsid w:val="00EE35C2"/>
    <w:rsid w:val="00EE3728"/>
    <w:rsid w:val="00EE43E4"/>
    <w:rsid w:val="00EE6421"/>
    <w:rsid w:val="00EE6622"/>
    <w:rsid w:val="00EE73C5"/>
    <w:rsid w:val="00EF0ACC"/>
    <w:rsid w:val="00EF12E8"/>
    <w:rsid w:val="00EF1423"/>
    <w:rsid w:val="00EF3117"/>
    <w:rsid w:val="00EF3491"/>
    <w:rsid w:val="00EF3B24"/>
    <w:rsid w:val="00EF66ED"/>
    <w:rsid w:val="00EF760F"/>
    <w:rsid w:val="00F00903"/>
    <w:rsid w:val="00F00BC9"/>
    <w:rsid w:val="00F01716"/>
    <w:rsid w:val="00F01D6D"/>
    <w:rsid w:val="00F038FE"/>
    <w:rsid w:val="00F11D71"/>
    <w:rsid w:val="00F14970"/>
    <w:rsid w:val="00F154AA"/>
    <w:rsid w:val="00F15E99"/>
    <w:rsid w:val="00F16C22"/>
    <w:rsid w:val="00F173EA"/>
    <w:rsid w:val="00F21CB3"/>
    <w:rsid w:val="00F22272"/>
    <w:rsid w:val="00F229FA"/>
    <w:rsid w:val="00F2373C"/>
    <w:rsid w:val="00F251C9"/>
    <w:rsid w:val="00F27428"/>
    <w:rsid w:val="00F27480"/>
    <w:rsid w:val="00F30313"/>
    <w:rsid w:val="00F31CA4"/>
    <w:rsid w:val="00F34986"/>
    <w:rsid w:val="00F3503F"/>
    <w:rsid w:val="00F36A2F"/>
    <w:rsid w:val="00F36D59"/>
    <w:rsid w:val="00F37374"/>
    <w:rsid w:val="00F40383"/>
    <w:rsid w:val="00F40748"/>
    <w:rsid w:val="00F412DE"/>
    <w:rsid w:val="00F41B56"/>
    <w:rsid w:val="00F41EBC"/>
    <w:rsid w:val="00F42F4B"/>
    <w:rsid w:val="00F43233"/>
    <w:rsid w:val="00F44ADD"/>
    <w:rsid w:val="00F47DF0"/>
    <w:rsid w:val="00F50E88"/>
    <w:rsid w:val="00F51B0D"/>
    <w:rsid w:val="00F54147"/>
    <w:rsid w:val="00F5447F"/>
    <w:rsid w:val="00F54DDB"/>
    <w:rsid w:val="00F601B0"/>
    <w:rsid w:val="00F63D5A"/>
    <w:rsid w:val="00F6462F"/>
    <w:rsid w:val="00F64A65"/>
    <w:rsid w:val="00F65F1E"/>
    <w:rsid w:val="00F66458"/>
    <w:rsid w:val="00F66FB8"/>
    <w:rsid w:val="00F714F3"/>
    <w:rsid w:val="00F717FD"/>
    <w:rsid w:val="00F71996"/>
    <w:rsid w:val="00F7310D"/>
    <w:rsid w:val="00F7346B"/>
    <w:rsid w:val="00F753AE"/>
    <w:rsid w:val="00F75C55"/>
    <w:rsid w:val="00F76694"/>
    <w:rsid w:val="00F766AA"/>
    <w:rsid w:val="00F76BD0"/>
    <w:rsid w:val="00F774F7"/>
    <w:rsid w:val="00F823AA"/>
    <w:rsid w:val="00F86E52"/>
    <w:rsid w:val="00F925FE"/>
    <w:rsid w:val="00F92D7B"/>
    <w:rsid w:val="00F94C18"/>
    <w:rsid w:val="00F957B1"/>
    <w:rsid w:val="00F96501"/>
    <w:rsid w:val="00F96C5D"/>
    <w:rsid w:val="00F96C81"/>
    <w:rsid w:val="00F97CD9"/>
    <w:rsid w:val="00FA1349"/>
    <w:rsid w:val="00FA1B2A"/>
    <w:rsid w:val="00FA3616"/>
    <w:rsid w:val="00FA3A34"/>
    <w:rsid w:val="00FA3AFA"/>
    <w:rsid w:val="00FA4911"/>
    <w:rsid w:val="00FA57FE"/>
    <w:rsid w:val="00FA5895"/>
    <w:rsid w:val="00FA5F8C"/>
    <w:rsid w:val="00FA5FE3"/>
    <w:rsid w:val="00FA6F88"/>
    <w:rsid w:val="00FB0955"/>
    <w:rsid w:val="00FB2A7F"/>
    <w:rsid w:val="00FB36AD"/>
    <w:rsid w:val="00FB3E3B"/>
    <w:rsid w:val="00FB4295"/>
    <w:rsid w:val="00FB44D2"/>
    <w:rsid w:val="00FB4AD5"/>
    <w:rsid w:val="00FB5166"/>
    <w:rsid w:val="00FB53D9"/>
    <w:rsid w:val="00FB5756"/>
    <w:rsid w:val="00FB5D5F"/>
    <w:rsid w:val="00FB7283"/>
    <w:rsid w:val="00FB7394"/>
    <w:rsid w:val="00FB7CFF"/>
    <w:rsid w:val="00FC0AD4"/>
    <w:rsid w:val="00FC1157"/>
    <w:rsid w:val="00FC130C"/>
    <w:rsid w:val="00FC1960"/>
    <w:rsid w:val="00FC416B"/>
    <w:rsid w:val="00FC768F"/>
    <w:rsid w:val="00FC7C8D"/>
    <w:rsid w:val="00FD0D20"/>
    <w:rsid w:val="00FD27A6"/>
    <w:rsid w:val="00FD6044"/>
    <w:rsid w:val="00FD61AA"/>
    <w:rsid w:val="00FD6CC5"/>
    <w:rsid w:val="00FE04A7"/>
    <w:rsid w:val="00FE059A"/>
    <w:rsid w:val="00FE1983"/>
    <w:rsid w:val="00FE3ADE"/>
    <w:rsid w:val="00FE4CB4"/>
    <w:rsid w:val="00FE5107"/>
    <w:rsid w:val="00FE5888"/>
    <w:rsid w:val="00FF0FB0"/>
    <w:rsid w:val="00FF1089"/>
    <w:rsid w:val="00FF1AFA"/>
    <w:rsid w:val="00FF2E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81887"/>
    <w:rPr>
      <w:sz w:val="28"/>
      <w:szCs w:val="28"/>
      <w:lang w:val="vi-VN" w:eastAsia="ko-KR"/>
    </w:rPr>
  </w:style>
  <w:style w:type="paragraph" w:styleId="Heading1">
    <w:name w:val="heading 1"/>
    <w:basedOn w:val="Normal"/>
    <w:next w:val="Normal"/>
    <w:qFormat/>
    <w:rsid w:val="008937FC"/>
    <w:pPr>
      <w:keepNext/>
      <w:tabs>
        <w:tab w:val="num" w:pos="0"/>
      </w:tabs>
      <w:suppressAutoHyphens/>
      <w:jc w:val="center"/>
      <w:outlineLvl w:val="0"/>
    </w:pPr>
    <w:rPr>
      <w:rFonts w:eastAsia="Times New Roman"/>
      <w:b/>
      <w:iCs/>
      <w:color w:val="000000"/>
      <w:spacing w:val="-2"/>
      <w:sz w:val="32"/>
      <w:szCs w:val="20"/>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1F771B"/>
    <w:pPr>
      <w:ind w:firstLine="720"/>
      <w:jc w:val="both"/>
    </w:pPr>
    <w:rPr>
      <w:rFonts w:eastAsia="Times New Roman"/>
      <w:spacing w:val="6"/>
      <w:lang w:val="en-US" w:eastAsia="en-US"/>
    </w:rPr>
  </w:style>
  <w:style w:type="paragraph" w:styleId="Footer">
    <w:name w:val="footer"/>
    <w:basedOn w:val="Normal"/>
    <w:link w:val="FooterChar"/>
    <w:rsid w:val="001F771B"/>
    <w:pPr>
      <w:tabs>
        <w:tab w:val="center" w:pos="4320"/>
        <w:tab w:val="right" w:pos="8640"/>
      </w:tabs>
    </w:pPr>
    <w:rPr>
      <w:sz w:val="24"/>
      <w:szCs w:val="24"/>
      <w:lang w:val="en-US" w:eastAsia="en-US"/>
    </w:rPr>
  </w:style>
  <w:style w:type="character" w:customStyle="1" w:styleId="FooterChar">
    <w:name w:val="Footer Char"/>
    <w:link w:val="Footer"/>
    <w:rsid w:val="001F771B"/>
    <w:rPr>
      <w:sz w:val="24"/>
      <w:szCs w:val="24"/>
      <w:lang w:val="en-US" w:eastAsia="en-US" w:bidi="ar-SA"/>
    </w:rPr>
  </w:style>
  <w:style w:type="character" w:styleId="PageNumber">
    <w:name w:val="page number"/>
    <w:basedOn w:val="DefaultParagraphFont"/>
    <w:rsid w:val="001F771B"/>
  </w:style>
  <w:style w:type="paragraph" w:styleId="NormalWeb">
    <w:name w:val="Normal (Web)"/>
    <w:basedOn w:val="Normal"/>
    <w:uiPriority w:val="99"/>
    <w:rsid w:val="001F771B"/>
    <w:pPr>
      <w:spacing w:before="100" w:beforeAutospacing="1" w:after="100" w:afterAutospacing="1"/>
    </w:pPr>
    <w:rPr>
      <w:rFonts w:eastAsia="Times New Roman"/>
      <w:sz w:val="24"/>
      <w:szCs w:val="24"/>
      <w:lang w:val="en-US" w:eastAsia="en-US"/>
    </w:rPr>
  </w:style>
  <w:style w:type="paragraph" w:styleId="BodyText2">
    <w:name w:val="Body Text 2"/>
    <w:basedOn w:val="Normal"/>
    <w:link w:val="BodyText2Char"/>
    <w:rsid w:val="001F771B"/>
    <w:pPr>
      <w:spacing w:after="120" w:line="480" w:lineRule="auto"/>
    </w:pPr>
    <w:rPr>
      <w:sz w:val="24"/>
      <w:szCs w:val="24"/>
    </w:rPr>
  </w:style>
  <w:style w:type="character" w:customStyle="1" w:styleId="BodyText2Char">
    <w:name w:val="Body Text 2 Char"/>
    <w:link w:val="BodyText2"/>
    <w:rsid w:val="001F771B"/>
    <w:rPr>
      <w:sz w:val="24"/>
      <w:szCs w:val="24"/>
      <w:lang w:bidi="ar-SA"/>
    </w:rPr>
  </w:style>
  <w:style w:type="paragraph" w:styleId="FootnoteText">
    <w:name w:val="footnote text"/>
    <w:basedOn w:val="Normal"/>
    <w:link w:val="FootnoteTextChar"/>
    <w:rsid w:val="0003583E"/>
    <w:rPr>
      <w:sz w:val="20"/>
      <w:szCs w:val="20"/>
    </w:rPr>
  </w:style>
  <w:style w:type="character" w:customStyle="1" w:styleId="FootnoteTextChar">
    <w:name w:val="Footnote Text Char"/>
    <w:link w:val="FootnoteText"/>
    <w:rsid w:val="0003583E"/>
    <w:rPr>
      <w:lang w:val="vi-VN" w:eastAsia="ko-KR"/>
    </w:rPr>
  </w:style>
  <w:style w:type="character" w:styleId="FootnoteReference">
    <w:name w:val="footnote reference"/>
    <w:rsid w:val="0003583E"/>
    <w:rPr>
      <w:vertAlign w:val="superscript"/>
    </w:rPr>
  </w:style>
  <w:style w:type="character" w:customStyle="1" w:styleId="BodyTextIndentChar">
    <w:name w:val="Body Text Indent Char"/>
    <w:link w:val="BodyTextIndent"/>
    <w:rsid w:val="0028319B"/>
    <w:rPr>
      <w:rFonts w:eastAsia="Times New Roman"/>
      <w:spacing w:val="6"/>
      <w:sz w:val="28"/>
      <w:szCs w:val="28"/>
    </w:rPr>
  </w:style>
  <w:style w:type="character" w:customStyle="1" w:styleId="04BodyChar">
    <w:name w:val="04. Body Char"/>
    <w:link w:val="04Body"/>
    <w:locked/>
    <w:rsid w:val="00B453EC"/>
    <w:rPr>
      <w:sz w:val="28"/>
      <w:szCs w:val="26"/>
    </w:rPr>
  </w:style>
  <w:style w:type="paragraph" w:customStyle="1" w:styleId="04Body">
    <w:name w:val="04. Body"/>
    <w:basedOn w:val="Normal"/>
    <w:link w:val="04BodyChar"/>
    <w:qFormat/>
    <w:rsid w:val="00B453EC"/>
    <w:pPr>
      <w:spacing w:before="120" w:after="120" w:line="264" w:lineRule="auto"/>
      <w:ind w:firstLine="720"/>
      <w:jc w:val="both"/>
    </w:pPr>
    <w:rPr>
      <w:szCs w:val="26"/>
    </w:rPr>
  </w:style>
  <w:style w:type="paragraph" w:styleId="Header">
    <w:name w:val="header"/>
    <w:basedOn w:val="Normal"/>
    <w:link w:val="HeaderChar"/>
    <w:uiPriority w:val="99"/>
    <w:rsid w:val="00281127"/>
    <w:pPr>
      <w:tabs>
        <w:tab w:val="center" w:pos="4680"/>
        <w:tab w:val="right" w:pos="9360"/>
      </w:tabs>
    </w:pPr>
  </w:style>
  <w:style w:type="character" w:customStyle="1" w:styleId="HeaderChar">
    <w:name w:val="Header Char"/>
    <w:link w:val="Header"/>
    <w:uiPriority w:val="99"/>
    <w:rsid w:val="00281127"/>
    <w:rPr>
      <w:sz w:val="28"/>
      <w:szCs w:val="28"/>
      <w:lang w:val="vi-VN" w:eastAsia="ko-KR"/>
    </w:rPr>
  </w:style>
  <w:style w:type="paragraph" w:customStyle="1" w:styleId="AAABODY">
    <w:name w:val="AAA_BODY"/>
    <w:basedOn w:val="Normal"/>
    <w:rsid w:val="002D7634"/>
    <w:pPr>
      <w:spacing w:before="80" w:after="80" w:line="269" w:lineRule="auto"/>
      <w:ind w:firstLine="567"/>
      <w:jc w:val="both"/>
    </w:pPr>
    <w:rPr>
      <w:rFonts w:ascii=".VnTime" w:eastAsia="Times New Roman" w:hAnsi=".VnTime"/>
      <w:color w:val="000000"/>
      <w:lang w:val="fr-FR" w:eastAsia="en-US"/>
    </w:rPr>
  </w:style>
  <w:style w:type="character" w:styleId="CommentReference">
    <w:name w:val="annotation reference"/>
    <w:rsid w:val="00421894"/>
    <w:rPr>
      <w:sz w:val="16"/>
      <w:szCs w:val="16"/>
    </w:rPr>
  </w:style>
  <w:style w:type="paragraph" w:styleId="CommentText">
    <w:name w:val="annotation text"/>
    <w:basedOn w:val="Normal"/>
    <w:link w:val="CommentTextChar"/>
    <w:rsid w:val="00421894"/>
    <w:rPr>
      <w:rFonts w:ascii=".VnTime" w:eastAsia="Times New Roman" w:hAnsi=".VnTime"/>
      <w:sz w:val="20"/>
      <w:szCs w:val="20"/>
      <w:lang w:val="en-US" w:eastAsia="en-US"/>
    </w:rPr>
  </w:style>
  <w:style w:type="character" w:customStyle="1" w:styleId="CommentTextChar">
    <w:name w:val="Comment Text Char"/>
    <w:link w:val="CommentText"/>
    <w:rsid w:val="00421894"/>
    <w:rPr>
      <w:rFonts w:ascii=".VnTime" w:eastAsia="Times New Roman" w:hAnsi=".VnTime"/>
    </w:rPr>
  </w:style>
  <w:style w:type="paragraph" w:styleId="BalloonText">
    <w:name w:val="Balloon Text"/>
    <w:basedOn w:val="Normal"/>
    <w:link w:val="BalloonTextChar"/>
    <w:rsid w:val="004D2CFB"/>
    <w:rPr>
      <w:rFonts w:ascii="Tahoma" w:hAnsi="Tahoma" w:cs="Tahoma"/>
      <w:sz w:val="16"/>
      <w:szCs w:val="16"/>
    </w:rPr>
  </w:style>
  <w:style w:type="character" w:customStyle="1" w:styleId="BalloonTextChar">
    <w:name w:val="Balloon Text Char"/>
    <w:link w:val="BalloonText"/>
    <w:rsid w:val="004D2CFB"/>
    <w:rPr>
      <w:rFonts w:ascii="Tahoma" w:hAnsi="Tahoma" w:cs="Tahoma"/>
      <w:sz w:val="16"/>
      <w:szCs w:val="16"/>
      <w:lang w:val="vi-VN" w:eastAsia="ko-KR"/>
    </w:rPr>
  </w:style>
  <w:style w:type="character" w:customStyle="1" w:styleId="Other">
    <w:name w:val="Other_"/>
    <w:link w:val="Other0"/>
    <w:uiPriority w:val="99"/>
    <w:rsid w:val="00BF5261"/>
    <w:rPr>
      <w:sz w:val="26"/>
      <w:szCs w:val="26"/>
      <w:shd w:val="clear" w:color="auto" w:fill="FFFFFF"/>
    </w:rPr>
  </w:style>
  <w:style w:type="paragraph" w:customStyle="1" w:styleId="Other0">
    <w:name w:val="Other"/>
    <w:basedOn w:val="Normal"/>
    <w:link w:val="Other"/>
    <w:uiPriority w:val="99"/>
    <w:rsid w:val="00BF5261"/>
    <w:pPr>
      <w:widowControl w:val="0"/>
      <w:shd w:val="clear" w:color="auto" w:fill="FFFFFF"/>
      <w:spacing w:after="100" w:line="310" w:lineRule="auto"/>
      <w:ind w:firstLine="400"/>
    </w:pPr>
    <w:rPr>
      <w:sz w:val="26"/>
      <w:szCs w:val="26"/>
      <w:lang w:val="en-US" w:eastAsia="en-US"/>
    </w:rPr>
  </w:style>
  <w:style w:type="character" w:customStyle="1" w:styleId="BodyTextChar1">
    <w:name w:val="Body Text Char1"/>
    <w:uiPriority w:val="99"/>
    <w:rsid w:val="00BF5261"/>
    <w:rPr>
      <w:rFonts w:ascii="Times New Roman" w:hAnsi="Times New Roman" w:cs="Times New Roman"/>
      <w:sz w:val="26"/>
      <w:szCs w:val="26"/>
      <w:u w:val="none"/>
    </w:rPr>
  </w:style>
  <w:style w:type="character" w:customStyle="1" w:styleId="Tablecaption">
    <w:name w:val="Table caption_"/>
    <w:link w:val="Tablecaption0"/>
    <w:uiPriority w:val="99"/>
    <w:rsid w:val="00BF5261"/>
    <w:rPr>
      <w:sz w:val="26"/>
      <w:szCs w:val="26"/>
      <w:shd w:val="clear" w:color="auto" w:fill="FFFFFF"/>
    </w:rPr>
  </w:style>
  <w:style w:type="paragraph" w:customStyle="1" w:styleId="Tablecaption0">
    <w:name w:val="Table caption"/>
    <w:basedOn w:val="Normal"/>
    <w:link w:val="Tablecaption"/>
    <w:uiPriority w:val="99"/>
    <w:rsid w:val="00BF5261"/>
    <w:pPr>
      <w:widowControl w:val="0"/>
      <w:shd w:val="clear" w:color="auto" w:fill="FFFFFF"/>
      <w:spacing w:line="312" w:lineRule="auto"/>
      <w:ind w:firstLine="580"/>
    </w:pPr>
    <w:rPr>
      <w:sz w:val="26"/>
      <w:szCs w:val="2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81887"/>
    <w:rPr>
      <w:sz w:val="28"/>
      <w:szCs w:val="28"/>
      <w:lang w:val="vi-VN" w:eastAsia="ko-KR"/>
    </w:rPr>
  </w:style>
  <w:style w:type="paragraph" w:styleId="Heading1">
    <w:name w:val="heading 1"/>
    <w:basedOn w:val="Normal"/>
    <w:next w:val="Normal"/>
    <w:qFormat/>
    <w:rsid w:val="008937FC"/>
    <w:pPr>
      <w:keepNext/>
      <w:tabs>
        <w:tab w:val="num" w:pos="0"/>
      </w:tabs>
      <w:suppressAutoHyphens/>
      <w:jc w:val="center"/>
      <w:outlineLvl w:val="0"/>
    </w:pPr>
    <w:rPr>
      <w:rFonts w:eastAsia="Times New Roman"/>
      <w:b/>
      <w:iCs/>
      <w:color w:val="000000"/>
      <w:spacing w:val="-2"/>
      <w:sz w:val="32"/>
      <w:szCs w:val="20"/>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1F771B"/>
    <w:pPr>
      <w:ind w:firstLine="720"/>
      <w:jc w:val="both"/>
    </w:pPr>
    <w:rPr>
      <w:rFonts w:eastAsia="Times New Roman"/>
      <w:spacing w:val="6"/>
      <w:lang w:val="en-US" w:eastAsia="en-US"/>
    </w:rPr>
  </w:style>
  <w:style w:type="paragraph" w:styleId="Footer">
    <w:name w:val="footer"/>
    <w:basedOn w:val="Normal"/>
    <w:link w:val="FooterChar"/>
    <w:rsid w:val="001F771B"/>
    <w:pPr>
      <w:tabs>
        <w:tab w:val="center" w:pos="4320"/>
        <w:tab w:val="right" w:pos="8640"/>
      </w:tabs>
    </w:pPr>
    <w:rPr>
      <w:sz w:val="24"/>
      <w:szCs w:val="24"/>
      <w:lang w:val="en-US" w:eastAsia="en-US"/>
    </w:rPr>
  </w:style>
  <w:style w:type="character" w:customStyle="1" w:styleId="FooterChar">
    <w:name w:val="Footer Char"/>
    <w:link w:val="Footer"/>
    <w:rsid w:val="001F771B"/>
    <w:rPr>
      <w:sz w:val="24"/>
      <w:szCs w:val="24"/>
      <w:lang w:val="en-US" w:eastAsia="en-US" w:bidi="ar-SA"/>
    </w:rPr>
  </w:style>
  <w:style w:type="character" w:styleId="PageNumber">
    <w:name w:val="page number"/>
    <w:basedOn w:val="DefaultParagraphFont"/>
    <w:rsid w:val="001F771B"/>
  </w:style>
  <w:style w:type="paragraph" w:styleId="NormalWeb">
    <w:name w:val="Normal (Web)"/>
    <w:basedOn w:val="Normal"/>
    <w:uiPriority w:val="99"/>
    <w:rsid w:val="001F771B"/>
    <w:pPr>
      <w:spacing w:before="100" w:beforeAutospacing="1" w:after="100" w:afterAutospacing="1"/>
    </w:pPr>
    <w:rPr>
      <w:rFonts w:eastAsia="Times New Roman"/>
      <w:sz w:val="24"/>
      <w:szCs w:val="24"/>
      <w:lang w:val="en-US" w:eastAsia="en-US"/>
    </w:rPr>
  </w:style>
  <w:style w:type="paragraph" w:styleId="BodyText2">
    <w:name w:val="Body Text 2"/>
    <w:basedOn w:val="Normal"/>
    <w:link w:val="BodyText2Char"/>
    <w:rsid w:val="001F771B"/>
    <w:pPr>
      <w:spacing w:after="120" w:line="480" w:lineRule="auto"/>
    </w:pPr>
    <w:rPr>
      <w:sz w:val="24"/>
      <w:szCs w:val="24"/>
    </w:rPr>
  </w:style>
  <w:style w:type="character" w:customStyle="1" w:styleId="BodyText2Char">
    <w:name w:val="Body Text 2 Char"/>
    <w:link w:val="BodyText2"/>
    <w:rsid w:val="001F771B"/>
    <w:rPr>
      <w:sz w:val="24"/>
      <w:szCs w:val="24"/>
      <w:lang w:bidi="ar-SA"/>
    </w:rPr>
  </w:style>
  <w:style w:type="paragraph" w:styleId="FootnoteText">
    <w:name w:val="footnote text"/>
    <w:basedOn w:val="Normal"/>
    <w:link w:val="FootnoteTextChar"/>
    <w:rsid w:val="0003583E"/>
    <w:rPr>
      <w:sz w:val="20"/>
      <w:szCs w:val="20"/>
    </w:rPr>
  </w:style>
  <w:style w:type="character" w:customStyle="1" w:styleId="FootnoteTextChar">
    <w:name w:val="Footnote Text Char"/>
    <w:link w:val="FootnoteText"/>
    <w:rsid w:val="0003583E"/>
    <w:rPr>
      <w:lang w:val="vi-VN" w:eastAsia="ko-KR"/>
    </w:rPr>
  </w:style>
  <w:style w:type="character" w:styleId="FootnoteReference">
    <w:name w:val="footnote reference"/>
    <w:rsid w:val="0003583E"/>
    <w:rPr>
      <w:vertAlign w:val="superscript"/>
    </w:rPr>
  </w:style>
  <w:style w:type="character" w:customStyle="1" w:styleId="BodyTextIndentChar">
    <w:name w:val="Body Text Indent Char"/>
    <w:link w:val="BodyTextIndent"/>
    <w:rsid w:val="0028319B"/>
    <w:rPr>
      <w:rFonts w:eastAsia="Times New Roman"/>
      <w:spacing w:val="6"/>
      <w:sz w:val="28"/>
      <w:szCs w:val="28"/>
    </w:rPr>
  </w:style>
  <w:style w:type="character" w:customStyle="1" w:styleId="04BodyChar">
    <w:name w:val="04. Body Char"/>
    <w:link w:val="04Body"/>
    <w:locked/>
    <w:rsid w:val="00B453EC"/>
    <w:rPr>
      <w:sz w:val="28"/>
      <w:szCs w:val="26"/>
    </w:rPr>
  </w:style>
  <w:style w:type="paragraph" w:customStyle="1" w:styleId="04Body">
    <w:name w:val="04. Body"/>
    <w:basedOn w:val="Normal"/>
    <w:link w:val="04BodyChar"/>
    <w:qFormat/>
    <w:rsid w:val="00B453EC"/>
    <w:pPr>
      <w:spacing w:before="120" w:after="120" w:line="264" w:lineRule="auto"/>
      <w:ind w:firstLine="720"/>
      <w:jc w:val="both"/>
    </w:pPr>
    <w:rPr>
      <w:szCs w:val="26"/>
    </w:rPr>
  </w:style>
  <w:style w:type="paragraph" w:styleId="Header">
    <w:name w:val="header"/>
    <w:basedOn w:val="Normal"/>
    <w:link w:val="HeaderChar"/>
    <w:uiPriority w:val="99"/>
    <w:rsid w:val="00281127"/>
    <w:pPr>
      <w:tabs>
        <w:tab w:val="center" w:pos="4680"/>
        <w:tab w:val="right" w:pos="9360"/>
      </w:tabs>
    </w:pPr>
  </w:style>
  <w:style w:type="character" w:customStyle="1" w:styleId="HeaderChar">
    <w:name w:val="Header Char"/>
    <w:link w:val="Header"/>
    <w:uiPriority w:val="99"/>
    <w:rsid w:val="00281127"/>
    <w:rPr>
      <w:sz w:val="28"/>
      <w:szCs w:val="28"/>
      <w:lang w:val="vi-VN" w:eastAsia="ko-KR"/>
    </w:rPr>
  </w:style>
  <w:style w:type="paragraph" w:customStyle="1" w:styleId="AAABODY">
    <w:name w:val="AAA_BODY"/>
    <w:basedOn w:val="Normal"/>
    <w:rsid w:val="002D7634"/>
    <w:pPr>
      <w:spacing w:before="80" w:after="80" w:line="269" w:lineRule="auto"/>
      <w:ind w:firstLine="567"/>
      <w:jc w:val="both"/>
    </w:pPr>
    <w:rPr>
      <w:rFonts w:ascii=".VnTime" w:eastAsia="Times New Roman" w:hAnsi=".VnTime"/>
      <w:color w:val="000000"/>
      <w:lang w:val="fr-FR" w:eastAsia="en-US"/>
    </w:rPr>
  </w:style>
  <w:style w:type="character" w:styleId="CommentReference">
    <w:name w:val="annotation reference"/>
    <w:rsid w:val="00421894"/>
    <w:rPr>
      <w:sz w:val="16"/>
      <w:szCs w:val="16"/>
    </w:rPr>
  </w:style>
  <w:style w:type="paragraph" w:styleId="CommentText">
    <w:name w:val="annotation text"/>
    <w:basedOn w:val="Normal"/>
    <w:link w:val="CommentTextChar"/>
    <w:rsid w:val="00421894"/>
    <w:rPr>
      <w:rFonts w:ascii=".VnTime" w:eastAsia="Times New Roman" w:hAnsi=".VnTime"/>
      <w:sz w:val="20"/>
      <w:szCs w:val="20"/>
      <w:lang w:val="en-US" w:eastAsia="en-US"/>
    </w:rPr>
  </w:style>
  <w:style w:type="character" w:customStyle="1" w:styleId="CommentTextChar">
    <w:name w:val="Comment Text Char"/>
    <w:link w:val="CommentText"/>
    <w:rsid w:val="00421894"/>
    <w:rPr>
      <w:rFonts w:ascii=".VnTime" w:eastAsia="Times New Roman" w:hAnsi=".VnTime"/>
    </w:rPr>
  </w:style>
  <w:style w:type="paragraph" w:styleId="BalloonText">
    <w:name w:val="Balloon Text"/>
    <w:basedOn w:val="Normal"/>
    <w:link w:val="BalloonTextChar"/>
    <w:rsid w:val="004D2CFB"/>
    <w:rPr>
      <w:rFonts w:ascii="Tahoma" w:hAnsi="Tahoma" w:cs="Tahoma"/>
      <w:sz w:val="16"/>
      <w:szCs w:val="16"/>
    </w:rPr>
  </w:style>
  <w:style w:type="character" w:customStyle="1" w:styleId="BalloonTextChar">
    <w:name w:val="Balloon Text Char"/>
    <w:link w:val="BalloonText"/>
    <w:rsid w:val="004D2CFB"/>
    <w:rPr>
      <w:rFonts w:ascii="Tahoma" w:hAnsi="Tahoma" w:cs="Tahoma"/>
      <w:sz w:val="16"/>
      <w:szCs w:val="16"/>
      <w:lang w:val="vi-VN" w:eastAsia="ko-KR"/>
    </w:rPr>
  </w:style>
  <w:style w:type="character" w:customStyle="1" w:styleId="Other">
    <w:name w:val="Other_"/>
    <w:link w:val="Other0"/>
    <w:uiPriority w:val="99"/>
    <w:rsid w:val="00BF5261"/>
    <w:rPr>
      <w:sz w:val="26"/>
      <w:szCs w:val="26"/>
      <w:shd w:val="clear" w:color="auto" w:fill="FFFFFF"/>
    </w:rPr>
  </w:style>
  <w:style w:type="paragraph" w:customStyle="1" w:styleId="Other0">
    <w:name w:val="Other"/>
    <w:basedOn w:val="Normal"/>
    <w:link w:val="Other"/>
    <w:uiPriority w:val="99"/>
    <w:rsid w:val="00BF5261"/>
    <w:pPr>
      <w:widowControl w:val="0"/>
      <w:shd w:val="clear" w:color="auto" w:fill="FFFFFF"/>
      <w:spacing w:after="100" w:line="310" w:lineRule="auto"/>
      <w:ind w:firstLine="400"/>
    </w:pPr>
    <w:rPr>
      <w:sz w:val="26"/>
      <w:szCs w:val="26"/>
      <w:lang w:val="en-US" w:eastAsia="en-US"/>
    </w:rPr>
  </w:style>
  <w:style w:type="character" w:customStyle="1" w:styleId="BodyTextChar1">
    <w:name w:val="Body Text Char1"/>
    <w:uiPriority w:val="99"/>
    <w:rsid w:val="00BF5261"/>
    <w:rPr>
      <w:rFonts w:ascii="Times New Roman" w:hAnsi="Times New Roman" w:cs="Times New Roman"/>
      <w:sz w:val="26"/>
      <w:szCs w:val="26"/>
      <w:u w:val="none"/>
    </w:rPr>
  </w:style>
  <w:style w:type="character" w:customStyle="1" w:styleId="Tablecaption">
    <w:name w:val="Table caption_"/>
    <w:link w:val="Tablecaption0"/>
    <w:uiPriority w:val="99"/>
    <w:rsid w:val="00BF5261"/>
    <w:rPr>
      <w:sz w:val="26"/>
      <w:szCs w:val="26"/>
      <w:shd w:val="clear" w:color="auto" w:fill="FFFFFF"/>
    </w:rPr>
  </w:style>
  <w:style w:type="paragraph" w:customStyle="1" w:styleId="Tablecaption0">
    <w:name w:val="Table caption"/>
    <w:basedOn w:val="Normal"/>
    <w:link w:val="Tablecaption"/>
    <w:uiPriority w:val="99"/>
    <w:rsid w:val="00BF5261"/>
    <w:pPr>
      <w:widowControl w:val="0"/>
      <w:shd w:val="clear" w:color="auto" w:fill="FFFFFF"/>
      <w:spacing w:line="312" w:lineRule="auto"/>
      <w:ind w:firstLine="580"/>
    </w:pPr>
    <w:rPr>
      <w:sz w:val="26"/>
      <w:szCs w:val="2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68730">
      <w:bodyDiv w:val="1"/>
      <w:marLeft w:val="0"/>
      <w:marRight w:val="0"/>
      <w:marTop w:val="0"/>
      <w:marBottom w:val="0"/>
      <w:divBdr>
        <w:top w:val="none" w:sz="0" w:space="0" w:color="auto"/>
        <w:left w:val="none" w:sz="0" w:space="0" w:color="auto"/>
        <w:bottom w:val="none" w:sz="0" w:space="0" w:color="auto"/>
        <w:right w:val="none" w:sz="0" w:space="0" w:color="auto"/>
      </w:divBdr>
    </w:div>
    <w:div w:id="1300258322">
      <w:bodyDiv w:val="1"/>
      <w:marLeft w:val="0"/>
      <w:marRight w:val="0"/>
      <w:marTop w:val="0"/>
      <w:marBottom w:val="0"/>
      <w:divBdr>
        <w:top w:val="none" w:sz="0" w:space="0" w:color="auto"/>
        <w:left w:val="none" w:sz="0" w:space="0" w:color="auto"/>
        <w:bottom w:val="none" w:sz="0" w:space="0" w:color="auto"/>
        <w:right w:val="none" w:sz="0" w:space="0" w:color="auto"/>
      </w:divBdr>
    </w:div>
    <w:div w:id="1307664803">
      <w:bodyDiv w:val="1"/>
      <w:marLeft w:val="0"/>
      <w:marRight w:val="0"/>
      <w:marTop w:val="0"/>
      <w:marBottom w:val="0"/>
      <w:divBdr>
        <w:top w:val="none" w:sz="0" w:space="0" w:color="auto"/>
        <w:left w:val="none" w:sz="0" w:space="0" w:color="auto"/>
        <w:bottom w:val="none" w:sz="0" w:space="0" w:color="auto"/>
        <w:right w:val="none" w:sz="0" w:space="0" w:color="auto"/>
      </w:divBdr>
    </w:div>
    <w:div w:id="1500848718">
      <w:bodyDiv w:val="1"/>
      <w:marLeft w:val="0"/>
      <w:marRight w:val="0"/>
      <w:marTop w:val="0"/>
      <w:marBottom w:val="0"/>
      <w:divBdr>
        <w:top w:val="none" w:sz="0" w:space="0" w:color="auto"/>
        <w:left w:val="none" w:sz="0" w:space="0" w:color="auto"/>
        <w:bottom w:val="none" w:sz="0" w:space="0" w:color="auto"/>
        <w:right w:val="none" w:sz="0" w:space="0" w:color="auto"/>
      </w:divBdr>
    </w:div>
    <w:div w:id="1520898841">
      <w:bodyDiv w:val="1"/>
      <w:marLeft w:val="0"/>
      <w:marRight w:val="0"/>
      <w:marTop w:val="0"/>
      <w:marBottom w:val="0"/>
      <w:divBdr>
        <w:top w:val="none" w:sz="0" w:space="0" w:color="auto"/>
        <w:left w:val="none" w:sz="0" w:space="0" w:color="auto"/>
        <w:bottom w:val="none" w:sz="0" w:space="0" w:color="auto"/>
        <w:right w:val="none" w:sz="0" w:space="0" w:color="auto"/>
      </w:divBdr>
    </w:div>
    <w:div w:id="2091923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EA11BF-B5FA-4217-9B95-0C67F927C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4427</Words>
  <Characters>25240</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UBND TỈNH NGHỆ AN</vt:lpstr>
    </vt:vector>
  </TitlesOfParts>
  <Company/>
  <LinksUpToDate>false</LinksUpToDate>
  <CharactersWithSpaces>29608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NGHỆ AN</dc:title>
  <dc:creator>Admin</dc:creator>
  <cp:lastModifiedBy>H2C</cp:lastModifiedBy>
  <cp:revision>4</cp:revision>
  <cp:lastPrinted>2020-12-03T03:41:00Z</cp:lastPrinted>
  <dcterms:created xsi:type="dcterms:W3CDTF">2020-12-03T03:15:00Z</dcterms:created>
  <dcterms:modified xsi:type="dcterms:W3CDTF">2020-12-03T03:41:00Z</dcterms:modified>
</cp:coreProperties>
</file>