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35" w:type="dxa"/>
        <w:tblInd w:w="-318" w:type="dxa"/>
        <w:shd w:val="clear" w:color="auto" w:fill="FFFFFF"/>
        <w:tblCellMar>
          <w:left w:w="0" w:type="dxa"/>
          <w:right w:w="0" w:type="dxa"/>
        </w:tblCellMar>
        <w:tblLook w:val="04A0" w:firstRow="1" w:lastRow="0" w:firstColumn="1" w:lastColumn="0" w:noHBand="0" w:noVBand="1"/>
      </w:tblPr>
      <w:tblGrid>
        <w:gridCol w:w="10035"/>
      </w:tblGrid>
      <w:tr w:rsidR="00E473E7" w:rsidRPr="00CA63EC" w14:paraId="6C9B9805" w14:textId="77777777" w:rsidTr="00806B63">
        <w:trPr>
          <w:trHeight w:val="850"/>
        </w:trPr>
        <w:tc>
          <w:tcPr>
            <w:tcW w:w="10035" w:type="dxa"/>
            <w:shd w:val="clear" w:color="auto" w:fill="FFFFFF"/>
            <w:tcMar>
              <w:top w:w="0" w:type="dxa"/>
              <w:left w:w="108" w:type="dxa"/>
              <w:bottom w:w="0" w:type="dxa"/>
              <w:right w:w="108" w:type="dxa"/>
            </w:tcMar>
          </w:tcPr>
          <w:tbl>
            <w:tblPr>
              <w:tblW w:w="9390" w:type="dxa"/>
              <w:shd w:val="clear" w:color="auto" w:fill="FFFFFF"/>
              <w:tblCellMar>
                <w:left w:w="0" w:type="dxa"/>
                <w:right w:w="0" w:type="dxa"/>
              </w:tblCellMar>
              <w:tblLook w:val="04A0" w:firstRow="1" w:lastRow="0" w:firstColumn="1" w:lastColumn="0" w:noHBand="0" w:noVBand="1"/>
            </w:tblPr>
            <w:tblGrid>
              <w:gridCol w:w="3615"/>
              <w:gridCol w:w="5775"/>
            </w:tblGrid>
            <w:tr w:rsidR="00E473E7" w:rsidRPr="002604C4" w14:paraId="57B91B96" w14:textId="77777777" w:rsidTr="00806B63">
              <w:trPr>
                <w:trHeight w:val="850"/>
              </w:trPr>
              <w:tc>
                <w:tcPr>
                  <w:tcW w:w="3615" w:type="dxa"/>
                  <w:shd w:val="clear" w:color="auto" w:fill="FFFFFF"/>
                  <w:tcMar>
                    <w:top w:w="0" w:type="dxa"/>
                    <w:left w:w="108" w:type="dxa"/>
                    <w:bottom w:w="0" w:type="dxa"/>
                    <w:right w:w="108" w:type="dxa"/>
                  </w:tcMar>
                </w:tcPr>
                <w:p w14:paraId="6C070991" w14:textId="77777777" w:rsidR="00E473E7" w:rsidRPr="00CA63EC" w:rsidRDefault="00E473E7" w:rsidP="005F7E92">
                  <w:pPr>
                    <w:jc w:val="center"/>
                    <w:rPr>
                      <w:rFonts w:asciiTheme="majorHAnsi" w:hAnsiTheme="majorHAnsi" w:cstheme="majorHAnsi"/>
                      <w:b/>
                      <w:bCs/>
                      <w:sz w:val="26"/>
                      <w:szCs w:val="26"/>
                      <w:lang w:val="vi-VN"/>
                    </w:rPr>
                  </w:pPr>
                  <w:r w:rsidRPr="00CA63EC">
                    <w:rPr>
                      <w:rFonts w:asciiTheme="majorHAnsi" w:hAnsiTheme="majorHAnsi" w:cstheme="majorHAnsi"/>
                      <w:b/>
                      <w:bCs/>
                      <w:sz w:val="26"/>
                      <w:szCs w:val="26"/>
                      <w:lang w:val="vi-VN"/>
                    </w:rPr>
                    <w:t>ỦY BAN NHÂN DÂN</w:t>
                  </w:r>
                </w:p>
                <w:p w14:paraId="6506EFEB" w14:textId="77777777" w:rsidR="00E473E7" w:rsidRPr="00CA63EC" w:rsidRDefault="00E473E7" w:rsidP="005F7E92">
                  <w:pPr>
                    <w:jc w:val="center"/>
                    <w:rPr>
                      <w:rFonts w:asciiTheme="majorHAnsi" w:hAnsiTheme="majorHAnsi" w:cstheme="majorHAnsi"/>
                      <w:b/>
                      <w:bCs/>
                      <w:lang w:val="vi-VN"/>
                    </w:rPr>
                  </w:pPr>
                  <w:r w:rsidRPr="00CA63EC">
                    <w:rPr>
                      <w:rFonts w:asciiTheme="majorHAnsi" w:hAnsiTheme="majorHAnsi" w:cstheme="majorHAnsi"/>
                      <w:b/>
                      <w:bCs/>
                      <w:sz w:val="26"/>
                      <w:szCs w:val="26"/>
                      <w:lang w:val="vi-VN"/>
                    </w:rPr>
                    <w:t>TỈNH HÀ TĨNH</w:t>
                  </w:r>
                </w:p>
                <w:p w14:paraId="562EE81B" w14:textId="77777777" w:rsidR="00E473E7" w:rsidRPr="00CA63EC" w:rsidRDefault="00B174E8" w:rsidP="005F7E92">
                  <w:pPr>
                    <w:jc w:val="center"/>
                    <w:rPr>
                      <w:rFonts w:asciiTheme="majorHAnsi" w:hAnsiTheme="majorHAnsi" w:cstheme="majorHAnsi"/>
                      <w:lang w:val="vi-VN"/>
                    </w:rPr>
                  </w:pPr>
                  <w:r>
                    <w:rPr>
                      <w:rFonts w:asciiTheme="majorHAnsi" w:hAnsiTheme="majorHAnsi" w:cstheme="majorHAnsi"/>
                      <w:b/>
                      <w:bCs/>
                      <w:noProof/>
                    </w:rPr>
                    <mc:AlternateContent>
                      <mc:Choice Requires="wps">
                        <w:drawing>
                          <wp:anchor distT="4294967295" distB="4294967295" distL="114300" distR="114300" simplePos="0" relativeHeight="251681792" behindDoc="0" locked="0" layoutInCell="1" allowOverlap="1" wp14:anchorId="0D8DE379" wp14:editId="175C4385">
                            <wp:simplePos x="0" y="0"/>
                            <wp:positionH relativeFrom="column">
                              <wp:posOffset>765810</wp:posOffset>
                            </wp:positionH>
                            <wp:positionV relativeFrom="paragraph">
                              <wp:posOffset>26669</wp:posOffset>
                            </wp:positionV>
                            <wp:extent cx="614045" cy="0"/>
                            <wp:effectExtent l="0" t="0" r="14605" b="190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EFF81" id="Line 2"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3pt,2.1pt" to="108.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"/>
                        </w:pict>
                      </mc:Fallback>
                    </mc:AlternateContent>
                  </w:r>
                </w:p>
              </w:tc>
              <w:tc>
                <w:tcPr>
                  <w:tcW w:w="5775" w:type="dxa"/>
                  <w:shd w:val="clear" w:color="auto" w:fill="FFFFFF"/>
                  <w:tcMar>
                    <w:top w:w="0" w:type="dxa"/>
                    <w:left w:w="108" w:type="dxa"/>
                    <w:bottom w:w="0" w:type="dxa"/>
                    <w:right w:w="108" w:type="dxa"/>
                  </w:tcMar>
                </w:tcPr>
                <w:p w14:paraId="608B3690" w14:textId="77777777" w:rsidR="00E473E7" w:rsidRPr="00CA63EC" w:rsidRDefault="00B174E8" w:rsidP="005F7E92">
                  <w:pPr>
                    <w:jc w:val="center"/>
                    <w:rPr>
                      <w:rFonts w:asciiTheme="majorHAnsi" w:hAnsiTheme="majorHAnsi" w:cstheme="majorHAnsi"/>
                      <w:lang w:val="vi-VN"/>
                    </w:rPr>
                  </w:pPr>
                  <w:r>
                    <w:rPr>
                      <w:rFonts w:asciiTheme="majorHAnsi" w:hAnsiTheme="majorHAnsi" w:cstheme="majorHAnsi"/>
                      <w:b/>
                      <w:bCs/>
                      <w:noProof/>
                      <w:sz w:val="26"/>
                      <w:szCs w:val="26"/>
                    </w:rPr>
                    <mc:AlternateContent>
                      <mc:Choice Requires="wps">
                        <w:drawing>
                          <wp:anchor distT="4294967295" distB="4294967295" distL="114300" distR="114300" simplePos="0" relativeHeight="251682816" behindDoc="0" locked="0" layoutInCell="1" allowOverlap="1" wp14:anchorId="4996FF63" wp14:editId="40D04A0A">
                            <wp:simplePos x="0" y="0"/>
                            <wp:positionH relativeFrom="column">
                              <wp:posOffset>756920</wp:posOffset>
                            </wp:positionH>
                            <wp:positionV relativeFrom="paragraph">
                              <wp:posOffset>424815</wp:posOffset>
                            </wp:positionV>
                            <wp:extent cx="2078990" cy="0"/>
                            <wp:effectExtent l="0" t="0" r="16510" b="1905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8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1ADD0C" id="_x0000_t32" coordsize="21600,21600" o:spt="32" o:oned="t" path="m,l21600,21600e" filled="f">
                            <v:path arrowok="t" fillok="f" o:connecttype="none"/>
                            <o:lock v:ext="edit" shapetype="t"/>
                          </v:shapetype>
                          <v:shape id="AutoShape 3" o:spid="_x0000_s1026" type="#_x0000_t32" style="position:absolute;margin-left:59.6pt;margin-top:33.45pt;width:163.7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"/>
                        </w:pict>
                      </mc:Fallback>
                    </mc:AlternateContent>
                  </w:r>
                  <w:r w:rsidR="00E473E7" w:rsidRPr="00CA63EC">
                    <w:rPr>
                      <w:rFonts w:asciiTheme="majorHAnsi" w:hAnsiTheme="majorHAnsi" w:cstheme="majorHAnsi"/>
                      <w:b/>
                      <w:bCs/>
                      <w:sz w:val="26"/>
                      <w:szCs w:val="26"/>
                      <w:lang w:val="vi-VN"/>
                    </w:rPr>
                    <w:t>CỘNG HÒA XÃ HỘI CHỦ NGHĨA VIỆT NAM</w:t>
                  </w:r>
                  <w:r w:rsidR="00E473E7" w:rsidRPr="00CA63EC">
                    <w:rPr>
                      <w:rFonts w:asciiTheme="majorHAnsi" w:hAnsiTheme="majorHAnsi" w:cstheme="majorHAnsi"/>
                      <w:b/>
                      <w:bCs/>
                      <w:sz w:val="26"/>
                      <w:szCs w:val="26"/>
                      <w:lang w:val="vi-VN"/>
                    </w:rPr>
                    <w:br/>
                  </w:r>
                  <w:r w:rsidR="00E473E7" w:rsidRPr="00CA63EC">
                    <w:rPr>
                      <w:rFonts w:asciiTheme="majorHAnsi" w:hAnsiTheme="majorHAnsi" w:cstheme="majorHAnsi"/>
                      <w:b/>
                      <w:bCs/>
                      <w:lang w:val="vi-VN"/>
                    </w:rPr>
                    <w:t>Độc lập - Tự do - Hạnh phúc</w:t>
                  </w:r>
                  <w:r w:rsidR="00E473E7" w:rsidRPr="00CA63EC">
                    <w:rPr>
                      <w:rFonts w:asciiTheme="majorHAnsi" w:hAnsiTheme="majorHAnsi" w:cstheme="majorHAnsi"/>
                      <w:b/>
                      <w:bCs/>
                      <w:lang w:val="vi-VN"/>
                    </w:rPr>
                    <w:br/>
                  </w:r>
                </w:p>
              </w:tc>
            </w:tr>
            <w:tr w:rsidR="00E473E7" w:rsidRPr="002604C4" w14:paraId="481B196C" w14:textId="77777777" w:rsidTr="00806B63">
              <w:trPr>
                <w:trHeight w:val="413"/>
              </w:trPr>
              <w:tc>
                <w:tcPr>
                  <w:tcW w:w="3615" w:type="dxa"/>
                  <w:shd w:val="clear" w:color="auto" w:fill="FFFFFF"/>
                  <w:tcMar>
                    <w:top w:w="0" w:type="dxa"/>
                    <w:left w:w="108" w:type="dxa"/>
                    <w:bottom w:w="0" w:type="dxa"/>
                    <w:right w:w="108" w:type="dxa"/>
                  </w:tcMar>
                </w:tcPr>
                <w:p w14:paraId="73642B32" w14:textId="77777777" w:rsidR="00E473E7" w:rsidRDefault="00E473E7" w:rsidP="005F7E92">
                  <w:pPr>
                    <w:jc w:val="center"/>
                    <w:rPr>
                      <w:rFonts w:asciiTheme="majorHAnsi" w:hAnsiTheme="majorHAnsi" w:cstheme="majorHAnsi"/>
                      <w:lang w:val="vi-VN"/>
                    </w:rPr>
                  </w:pPr>
                  <w:r w:rsidRPr="000F4B84">
                    <w:rPr>
                      <w:rFonts w:asciiTheme="majorHAnsi" w:hAnsiTheme="majorHAnsi" w:cstheme="majorHAnsi"/>
                      <w:lang w:val="vi-VN"/>
                    </w:rPr>
                    <w:t>Số:</w:t>
                  </w:r>
                  <w:r w:rsidR="00337279">
                    <w:rPr>
                      <w:rFonts w:asciiTheme="majorHAnsi" w:hAnsiTheme="majorHAnsi" w:cstheme="majorHAnsi"/>
                    </w:rPr>
                    <w:t xml:space="preserve"> 133</w:t>
                  </w:r>
                  <w:r>
                    <w:rPr>
                      <w:rFonts w:asciiTheme="majorHAnsi" w:hAnsiTheme="majorHAnsi" w:cstheme="majorHAnsi"/>
                      <w:lang w:val="vi-VN"/>
                    </w:rPr>
                    <w:t>/TTr-UBND</w:t>
                  </w:r>
                </w:p>
                <w:p w14:paraId="64DA17F8" w14:textId="77777777" w:rsidR="00E473E7" w:rsidRPr="005716BB" w:rsidRDefault="00E473E7" w:rsidP="005F7E92">
                  <w:pPr>
                    <w:jc w:val="center"/>
                    <w:rPr>
                      <w:rFonts w:asciiTheme="majorHAnsi" w:hAnsiTheme="majorHAnsi" w:cstheme="majorHAnsi"/>
                      <w:sz w:val="22"/>
                      <w:szCs w:val="22"/>
                      <w:lang w:val="vi-VN"/>
                    </w:rPr>
                  </w:pPr>
                </w:p>
              </w:tc>
              <w:tc>
                <w:tcPr>
                  <w:tcW w:w="5775" w:type="dxa"/>
                  <w:shd w:val="clear" w:color="auto" w:fill="FFFFFF"/>
                  <w:tcMar>
                    <w:top w:w="0" w:type="dxa"/>
                    <w:left w:w="108" w:type="dxa"/>
                    <w:bottom w:w="0" w:type="dxa"/>
                    <w:right w:w="108" w:type="dxa"/>
                  </w:tcMar>
                </w:tcPr>
                <w:p w14:paraId="1DD67A36" w14:textId="77777777" w:rsidR="00E473E7" w:rsidRPr="00CA63EC" w:rsidRDefault="00E473E7" w:rsidP="005F7E92">
                  <w:pPr>
                    <w:jc w:val="center"/>
                    <w:rPr>
                      <w:rFonts w:asciiTheme="majorHAnsi" w:hAnsiTheme="majorHAnsi" w:cstheme="majorHAnsi"/>
                      <w:lang w:val="vi-VN"/>
                    </w:rPr>
                  </w:pPr>
                  <w:r w:rsidRPr="00FA4990">
                    <w:rPr>
                      <w:rFonts w:asciiTheme="majorHAnsi" w:hAnsiTheme="majorHAnsi" w:cstheme="majorHAnsi"/>
                      <w:i/>
                      <w:iCs/>
                      <w:lang w:val="vi-VN"/>
                    </w:rPr>
                    <w:t>Hà Tĩnh, ngày</w:t>
                  </w:r>
                  <w:r w:rsidR="00337279">
                    <w:rPr>
                      <w:rFonts w:asciiTheme="majorHAnsi" w:hAnsiTheme="majorHAnsi" w:cstheme="majorHAnsi"/>
                      <w:i/>
                      <w:iCs/>
                    </w:rPr>
                    <w:t xml:space="preserve"> 14 </w:t>
                  </w:r>
                  <w:r w:rsidRPr="00FA4990">
                    <w:rPr>
                      <w:rFonts w:asciiTheme="majorHAnsi" w:hAnsiTheme="majorHAnsi" w:cstheme="majorHAnsi"/>
                      <w:i/>
                      <w:iCs/>
                      <w:lang w:val="vi-VN"/>
                    </w:rPr>
                    <w:t xml:space="preserve">tháng </w:t>
                  </w:r>
                  <w:r w:rsidR="00263AE1">
                    <w:rPr>
                      <w:rFonts w:asciiTheme="majorHAnsi" w:hAnsiTheme="majorHAnsi" w:cstheme="majorHAnsi"/>
                      <w:i/>
                      <w:iCs/>
                    </w:rPr>
                    <w:t>4</w:t>
                  </w:r>
                  <w:r>
                    <w:rPr>
                      <w:rFonts w:asciiTheme="majorHAnsi" w:hAnsiTheme="majorHAnsi" w:cstheme="majorHAnsi"/>
                      <w:i/>
                      <w:iCs/>
                      <w:lang w:val="vi-VN"/>
                    </w:rPr>
                    <w:t xml:space="preserve"> </w:t>
                  </w:r>
                  <w:r w:rsidRPr="00FA4990">
                    <w:rPr>
                      <w:rFonts w:asciiTheme="majorHAnsi" w:hAnsiTheme="majorHAnsi" w:cstheme="majorHAnsi"/>
                      <w:i/>
                      <w:iCs/>
                      <w:lang w:val="vi-VN"/>
                    </w:rPr>
                    <w:t xml:space="preserve"> năm 20</w:t>
                  </w:r>
                  <w:r w:rsidRPr="00CA63EC">
                    <w:rPr>
                      <w:rFonts w:asciiTheme="majorHAnsi" w:hAnsiTheme="majorHAnsi" w:cstheme="majorHAnsi"/>
                      <w:i/>
                      <w:iCs/>
                      <w:lang w:val="vi-VN"/>
                    </w:rPr>
                    <w:t>20</w:t>
                  </w:r>
                </w:p>
              </w:tc>
            </w:tr>
          </w:tbl>
          <w:p w14:paraId="52AB19BA" w14:textId="77777777" w:rsidR="00E473E7" w:rsidRPr="00FA4990" w:rsidRDefault="00E473E7" w:rsidP="005F7E92">
            <w:pPr>
              <w:rPr>
                <w:rFonts w:asciiTheme="majorHAnsi" w:hAnsiTheme="majorHAnsi" w:cstheme="majorHAnsi"/>
                <w:lang w:val="vi-VN"/>
              </w:rPr>
            </w:pPr>
          </w:p>
          <w:p w14:paraId="0906D814" w14:textId="77777777" w:rsidR="00E473E7" w:rsidRPr="005B55F6" w:rsidRDefault="00E473E7" w:rsidP="005F7E92">
            <w:pPr>
              <w:ind w:right="708"/>
              <w:jc w:val="center"/>
              <w:rPr>
                <w:rFonts w:asciiTheme="majorHAnsi" w:hAnsiTheme="majorHAnsi" w:cstheme="majorHAnsi"/>
                <w:b/>
                <w:lang w:val="vi-VN"/>
              </w:rPr>
            </w:pPr>
            <w:r w:rsidRPr="005B55F6">
              <w:rPr>
                <w:rFonts w:asciiTheme="majorHAnsi" w:hAnsiTheme="majorHAnsi" w:cstheme="majorHAnsi"/>
                <w:b/>
                <w:lang w:val="vi-VN"/>
              </w:rPr>
              <w:t>TỜ TRÌNH</w:t>
            </w:r>
          </w:p>
          <w:p w14:paraId="669C3322" w14:textId="77777777" w:rsidR="003673E3" w:rsidRDefault="00E473E7" w:rsidP="005F7E92">
            <w:pPr>
              <w:jc w:val="center"/>
              <w:rPr>
                <w:rFonts w:asciiTheme="majorHAnsi" w:hAnsiTheme="majorHAnsi" w:cstheme="majorHAnsi"/>
                <w:b/>
              </w:rPr>
            </w:pPr>
            <w:r w:rsidRPr="005B55F6">
              <w:rPr>
                <w:rFonts w:asciiTheme="majorHAnsi" w:hAnsiTheme="majorHAnsi" w:cstheme="majorHAnsi"/>
                <w:b/>
                <w:lang w:val="vi-VN"/>
              </w:rPr>
              <w:t>V/v ban hành Nghị quyết phân bổ kế hoạch vốn ngân sách Trung ương</w:t>
            </w:r>
          </w:p>
          <w:p w14:paraId="11627E37" w14:textId="77777777" w:rsidR="00E473E7" w:rsidRPr="005B55F6" w:rsidRDefault="00E473E7" w:rsidP="005F7E92">
            <w:pPr>
              <w:jc w:val="center"/>
              <w:rPr>
                <w:rFonts w:asciiTheme="majorHAnsi" w:hAnsiTheme="majorHAnsi" w:cstheme="majorHAnsi"/>
                <w:b/>
                <w:lang w:val="vi-VN"/>
              </w:rPr>
            </w:pPr>
            <w:r w:rsidRPr="005B55F6">
              <w:rPr>
                <w:rFonts w:asciiTheme="majorHAnsi" w:hAnsiTheme="majorHAnsi" w:cstheme="majorHAnsi"/>
                <w:b/>
                <w:lang w:val="vi-VN"/>
              </w:rPr>
              <w:t xml:space="preserve"> thực hiện các Chương trình mục tiêu quốc gia năm 2020</w:t>
            </w:r>
          </w:p>
          <w:p w14:paraId="0A90B5D0" w14:textId="77777777" w:rsidR="00E473E7" w:rsidRPr="00CA63EC" w:rsidRDefault="00B174E8" w:rsidP="005F7E92">
            <w:pPr>
              <w:jc w:val="center"/>
              <w:rPr>
                <w:rFonts w:asciiTheme="majorHAnsi" w:hAnsiTheme="majorHAnsi" w:cstheme="majorHAnsi"/>
                <w:lang w:val="vi-VN"/>
              </w:rPr>
            </w:pPr>
            <w:r>
              <w:rPr>
                <w:rFonts w:asciiTheme="majorHAnsi" w:hAnsiTheme="majorHAnsi" w:cstheme="majorHAnsi"/>
                <w:b/>
                <w:bCs/>
                <w:noProof/>
                <w:sz w:val="26"/>
                <w:szCs w:val="26"/>
              </w:rPr>
              <mc:AlternateContent>
                <mc:Choice Requires="wps">
                  <w:drawing>
                    <wp:anchor distT="0" distB="0" distL="114300" distR="114300" simplePos="0" relativeHeight="251684864" behindDoc="0" locked="0" layoutInCell="1" allowOverlap="1" wp14:anchorId="11B529A4" wp14:editId="6E0B4168">
                      <wp:simplePos x="0" y="0"/>
                      <wp:positionH relativeFrom="column">
                        <wp:posOffset>1939925</wp:posOffset>
                      </wp:positionH>
                      <wp:positionV relativeFrom="paragraph">
                        <wp:posOffset>66675</wp:posOffset>
                      </wp:positionV>
                      <wp:extent cx="2121535" cy="0"/>
                      <wp:effectExtent l="6350" t="9525" r="5715" b="9525"/>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1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FE3647" id="AutoShape 23" o:spid="_x0000_s1026" type="#_x0000_t32" style="position:absolute;margin-left:152.75pt;margin-top:5.25pt;width:167.0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"/>
                  </w:pict>
                </mc:Fallback>
              </mc:AlternateContent>
            </w:r>
          </w:p>
        </w:tc>
      </w:tr>
      <w:tr w:rsidR="00E473E7" w:rsidRPr="005716BB" w14:paraId="03345481" w14:textId="77777777" w:rsidTr="004F259C">
        <w:trPr>
          <w:trHeight w:val="128"/>
        </w:trPr>
        <w:tc>
          <w:tcPr>
            <w:tcW w:w="10035" w:type="dxa"/>
            <w:shd w:val="clear" w:color="auto" w:fill="FFFFFF"/>
            <w:tcMar>
              <w:top w:w="0" w:type="dxa"/>
              <w:left w:w="108" w:type="dxa"/>
              <w:bottom w:w="0" w:type="dxa"/>
              <w:right w:w="108" w:type="dxa"/>
            </w:tcMar>
          </w:tcPr>
          <w:p w14:paraId="2823DF25" w14:textId="77777777" w:rsidR="00E473E7" w:rsidRPr="00E473E7" w:rsidRDefault="00E473E7" w:rsidP="00E473E7">
            <w:pPr>
              <w:rPr>
                <w:rFonts w:asciiTheme="majorHAnsi" w:hAnsiTheme="majorHAnsi" w:cstheme="majorHAnsi"/>
                <w:sz w:val="2"/>
                <w:szCs w:val="2"/>
                <w:lang w:val="vi-VN"/>
              </w:rPr>
            </w:pPr>
          </w:p>
        </w:tc>
      </w:tr>
    </w:tbl>
    <w:p w14:paraId="099A85F9" w14:textId="77777777" w:rsidR="003642F3" w:rsidRDefault="00E473E7" w:rsidP="00E473E7">
      <w:pPr>
        <w:spacing w:before="60" w:after="60"/>
        <w:jc w:val="both"/>
        <w:rPr>
          <w:rFonts w:asciiTheme="majorHAnsi" w:hAnsiTheme="majorHAnsi" w:cstheme="majorHAnsi"/>
          <w:color w:val="000000"/>
        </w:rPr>
      </w:pPr>
      <w:r>
        <w:rPr>
          <w:rFonts w:asciiTheme="majorHAnsi" w:hAnsiTheme="majorHAnsi" w:cstheme="majorHAnsi"/>
          <w:color w:val="000000"/>
          <w:lang w:val="vi-VN"/>
        </w:rPr>
        <w:tab/>
      </w:r>
    </w:p>
    <w:p w14:paraId="08126247" w14:textId="77777777" w:rsidR="00CA63EC" w:rsidRPr="00CA63EC" w:rsidRDefault="003642F3" w:rsidP="00E473E7">
      <w:pPr>
        <w:spacing w:before="60" w:after="60"/>
        <w:jc w:val="both"/>
        <w:rPr>
          <w:rFonts w:asciiTheme="majorHAnsi" w:hAnsiTheme="majorHAnsi" w:cstheme="majorHAnsi"/>
          <w:color w:val="000000"/>
          <w:lang w:val="vi-VN" w:eastAsia="vi-VN"/>
        </w:rPr>
      </w:pPr>
      <w:r>
        <w:rPr>
          <w:rFonts w:asciiTheme="majorHAnsi" w:hAnsiTheme="majorHAnsi" w:cstheme="majorHAnsi"/>
          <w:color w:val="000000"/>
        </w:rPr>
        <w:tab/>
      </w:r>
      <w:r w:rsidR="0030553D">
        <w:rPr>
          <w:rFonts w:asciiTheme="majorHAnsi" w:hAnsiTheme="majorHAnsi" w:cstheme="majorHAnsi"/>
          <w:color w:val="000000"/>
          <w:lang w:val="it-IT"/>
        </w:rPr>
        <w:t>Tại</w:t>
      </w:r>
      <w:r w:rsidR="00CA63EC" w:rsidRPr="00CA63EC">
        <w:rPr>
          <w:rFonts w:asciiTheme="majorHAnsi" w:hAnsiTheme="majorHAnsi" w:cstheme="majorHAnsi"/>
          <w:color w:val="000000"/>
          <w:lang w:val="it-IT"/>
        </w:rPr>
        <w:t xml:space="preserve"> </w:t>
      </w:r>
      <w:r w:rsidR="00CA63EC" w:rsidRPr="00CA63EC">
        <w:rPr>
          <w:rFonts w:asciiTheme="majorHAnsi" w:hAnsiTheme="majorHAnsi" w:cstheme="majorHAnsi"/>
          <w:color w:val="000000"/>
          <w:lang w:val="vi-VN"/>
        </w:rPr>
        <w:t>kỳ họp thứ 13 HĐND tỉnh khóa XVII</w:t>
      </w:r>
      <w:r w:rsidR="00CA63EC" w:rsidRPr="00CA63EC">
        <w:rPr>
          <w:rFonts w:asciiTheme="majorHAnsi" w:hAnsiTheme="majorHAnsi" w:cstheme="majorHAnsi"/>
          <w:bCs/>
          <w:lang w:val="it-IT"/>
        </w:rPr>
        <w:t>, Ủy ban nhân dân tỉnh</w:t>
      </w:r>
      <w:r w:rsidR="00CA63EC" w:rsidRPr="00CA63EC">
        <w:rPr>
          <w:rFonts w:asciiTheme="majorHAnsi" w:hAnsiTheme="majorHAnsi" w:cstheme="majorHAnsi"/>
          <w:bCs/>
          <w:lang w:val="vi-VN"/>
        </w:rPr>
        <w:t xml:space="preserve"> đã báo cáo và</w:t>
      </w:r>
      <w:r w:rsidR="00CA63EC" w:rsidRPr="00CA63EC">
        <w:rPr>
          <w:rFonts w:asciiTheme="majorHAnsi" w:hAnsiTheme="majorHAnsi" w:cstheme="majorHAnsi"/>
          <w:bCs/>
          <w:lang w:val="it-IT"/>
        </w:rPr>
        <w:t xml:space="preserve"> trình Hội đồng nhân dân tỉnh </w:t>
      </w:r>
      <w:r w:rsidR="00CA63EC" w:rsidRPr="00CA63EC">
        <w:rPr>
          <w:rFonts w:asciiTheme="majorHAnsi" w:hAnsiTheme="majorHAnsi" w:cstheme="majorHAnsi"/>
          <w:color w:val="000000"/>
          <w:lang w:val="it-IT" w:eastAsia="vi-VN"/>
        </w:rPr>
        <w:t xml:space="preserve">phương án </w:t>
      </w:r>
      <w:r w:rsidR="00CA63EC" w:rsidRPr="00CA63EC">
        <w:rPr>
          <w:rFonts w:asciiTheme="majorHAnsi" w:hAnsiTheme="majorHAnsi" w:cstheme="majorHAnsi"/>
          <w:color w:val="000000"/>
          <w:lang w:val="vi-VN" w:eastAsia="vi-VN"/>
        </w:rPr>
        <w:t xml:space="preserve">phân bổ chi tiết </w:t>
      </w:r>
      <w:r w:rsidR="00CA63EC" w:rsidRPr="00CA63EC">
        <w:rPr>
          <w:rFonts w:asciiTheme="majorHAnsi" w:hAnsiTheme="majorHAnsi" w:cstheme="majorHAnsi"/>
          <w:color w:val="000000"/>
          <w:lang w:val="it-IT" w:eastAsia="vi-VN"/>
        </w:rPr>
        <w:t xml:space="preserve">nguồn </w:t>
      </w:r>
      <w:r w:rsidR="00CA63EC" w:rsidRPr="00CA63EC">
        <w:rPr>
          <w:rFonts w:asciiTheme="majorHAnsi" w:hAnsiTheme="majorHAnsi" w:cstheme="majorHAnsi"/>
          <w:color w:val="000000"/>
          <w:lang w:val="vi-VN" w:eastAsia="vi-VN"/>
        </w:rPr>
        <w:t xml:space="preserve">vốn </w:t>
      </w:r>
      <w:r w:rsidR="00CA63EC" w:rsidRPr="00CA63EC">
        <w:rPr>
          <w:rFonts w:asciiTheme="majorHAnsi" w:hAnsiTheme="majorHAnsi" w:cstheme="majorHAnsi"/>
          <w:color w:val="000000"/>
          <w:lang w:val="it-IT" w:eastAsia="vi-VN"/>
        </w:rPr>
        <w:t xml:space="preserve">Ngân sách Trung ương hỗ trợ thực hiện </w:t>
      </w:r>
      <w:r w:rsidR="00CA63EC" w:rsidRPr="00CA63EC">
        <w:rPr>
          <w:rFonts w:asciiTheme="majorHAnsi" w:hAnsiTheme="majorHAnsi" w:cstheme="majorHAnsi"/>
          <w:color w:val="000000"/>
          <w:lang w:val="vi-VN" w:eastAsia="vi-VN"/>
        </w:rPr>
        <w:t xml:space="preserve">các </w:t>
      </w:r>
      <w:r w:rsidR="00CA63EC" w:rsidRPr="00CA63EC">
        <w:rPr>
          <w:rFonts w:asciiTheme="majorHAnsi" w:hAnsiTheme="majorHAnsi" w:cstheme="majorHAnsi"/>
          <w:color w:val="000000"/>
          <w:lang w:val="it-IT" w:eastAsia="vi-VN"/>
        </w:rPr>
        <w:t xml:space="preserve">Chương trình </w:t>
      </w:r>
      <w:r w:rsidR="00CA63EC" w:rsidRPr="00CA63EC">
        <w:rPr>
          <w:rFonts w:asciiTheme="majorHAnsi" w:hAnsiTheme="majorHAnsi" w:cstheme="majorHAnsi"/>
          <w:color w:val="000000"/>
          <w:lang w:val="vi-VN" w:eastAsia="vi-VN"/>
        </w:rPr>
        <w:t xml:space="preserve">mục tiêu quốc gia năm 2020 tại Tờ trình số 93/TTr-UBND ngày 20/3/2020. Tuy vậy, </w:t>
      </w:r>
      <w:r w:rsidR="00263AE1">
        <w:rPr>
          <w:rFonts w:asciiTheme="majorHAnsi" w:hAnsiTheme="majorHAnsi" w:cstheme="majorHAnsi"/>
          <w:color w:val="000000"/>
          <w:lang w:eastAsia="vi-VN"/>
        </w:rPr>
        <w:t>còn</w:t>
      </w:r>
      <w:r w:rsidR="00CA63EC" w:rsidRPr="00CA63EC">
        <w:rPr>
          <w:rFonts w:asciiTheme="majorHAnsi" w:hAnsiTheme="majorHAnsi" w:cstheme="majorHAnsi"/>
          <w:color w:val="000000"/>
          <w:lang w:val="vi-VN" w:eastAsia="vi-VN"/>
        </w:rPr>
        <w:t xml:space="preserve"> có</w:t>
      </w:r>
      <w:r w:rsidR="00144D96">
        <w:rPr>
          <w:rFonts w:asciiTheme="majorHAnsi" w:hAnsiTheme="majorHAnsi" w:cstheme="majorHAnsi"/>
          <w:color w:val="000000"/>
          <w:lang w:val="vi-VN" w:eastAsia="vi-VN"/>
        </w:rPr>
        <w:t xml:space="preserve"> một số nội dung chưa được các </w:t>
      </w:r>
      <w:r w:rsidR="00144D96">
        <w:rPr>
          <w:rFonts w:asciiTheme="majorHAnsi" w:hAnsiTheme="majorHAnsi" w:cstheme="majorHAnsi"/>
          <w:color w:val="000000"/>
          <w:lang w:eastAsia="vi-VN"/>
        </w:rPr>
        <w:t>đ</w:t>
      </w:r>
      <w:r w:rsidR="00CA63EC" w:rsidRPr="00CA63EC">
        <w:rPr>
          <w:rFonts w:asciiTheme="majorHAnsi" w:hAnsiTheme="majorHAnsi" w:cstheme="majorHAnsi"/>
          <w:color w:val="000000"/>
          <w:lang w:val="vi-VN" w:eastAsia="vi-VN"/>
        </w:rPr>
        <w:t>ại biểu Hội đồng nhân dân tỉnh thống nhất.</w:t>
      </w:r>
    </w:p>
    <w:p w14:paraId="4450E678" w14:textId="77777777" w:rsidR="00CA63EC" w:rsidRPr="0030553D" w:rsidRDefault="00144D96" w:rsidP="00CA63EC">
      <w:pPr>
        <w:spacing w:before="60" w:after="60"/>
        <w:ind w:firstLine="709"/>
        <w:jc w:val="both"/>
        <w:rPr>
          <w:rFonts w:asciiTheme="majorHAnsi" w:hAnsiTheme="majorHAnsi" w:cstheme="majorHAnsi"/>
          <w:color w:val="000000"/>
          <w:lang w:eastAsia="vi-VN"/>
        </w:rPr>
      </w:pPr>
      <w:r>
        <w:rPr>
          <w:rFonts w:asciiTheme="majorHAnsi" w:hAnsiTheme="majorHAnsi" w:cstheme="majorHAnsi"/>
          <w:color w:val="000000"/>
          <w:lang w:val="vi-VN" w:eastAsia="vi-VN"/>
        </w:rPr>
        <w:t xml:space="preserve">Tiếp thu ý kiến </w:t>
      </w:r>
      <w:r>
        <w:rPr>
          <w:rFonts w:asciiTheme="majorHAnsi" w:hAnsiTheme="majorHAnsi" w:cstheme="majorHAnsi"/>
          <w:lang w:val="vi-VN"/>
        </w:rPr>
        <w:t xml:space="preserve">các </w:t>
      </w:r>
      <w:r>
        <w:rPr>
          <w:rFonts w:asciiTheme="majorHAnsi" w:hAnsiTheme="majorHAnsi" w:cstheme="majorHAnsi"/>
        </w:rPr>
        <w:t>đ</w:t>
      </w:r>
      <w:r w:rsidR="00CA63EC" w:rsidRPr="00CA63EC">
        <w:rPr>
          <w:rFonts w:asciiTheme="majorHAnsi" w:hAnsiTheme="majorHAnsi" w:cstheme="majorHAnsi"/>
          <w:lang w:val="vi-VN"/>
        </w:rPr>
        <w:t>ạ</w:t>
      </w:r>
      <w:r>
        <w:rPr>
          <w:rFonts w:asciiTheme="majorHAnsi" w:hAnsiTheme="majorHAnsi" w:cstheme="majorHAnsi"/>
          <w:lang w:val="vi-VN"/>
        </w:rPr>
        <w:t>i biểu Hội đồng nhân dân tỉnh</w:t>
      </w:r>
      <w:r>
        <w:rPr>
          <w:rFonts w:asciiTheme="majorHAnsi" w:hAnsiTheme="majorHAnsi" w:cstheme="majorHAnsi"/>
        </w:rPr>
        <w:t>,</w:t>
      </w:r>
      <w:r w:rsidR="00CA63EC" w:rsidRPr="00CA63EC">
        <w:rPr>
          <w:rFonts w:asciiTheme="majorHAnsi" w:hAnsiTheme="majorHAnsi" w:cstheme="majorHAnsi"/>
          <w:lang w:val="vi-VN"/>
        </w:rPr>
        <w:t xml:space="preserve"> Báo cáo thẩm tra của Ban Kinh tế </w:t>
      </w:r>
      <w:r w:rsidR="000428A3" w:rsidRPr="000428A3">
        <w:rPr>
          <w:rFonts w:asciiTheme="majorHAnsi" w:hAnsiTheme="majorHAnsi" w:cstheme="majorHAnsi"/>
          <w:lang w:val="vi-VN"/>
        </w:rPr>
        <w:t>- N</w:t>
      </w:r>
      <w:r w:rsidR="00CA63EC" w:rsidRPr="00CA63EC">
        <w:rPr>
          <w:rFonts w:asciiTheme="majorHAnsi" w:hAnsiTheme="majorHAnsi" w:cstheme="majorHAnsi"/>
          <w:lang w:val="vi-VN"/>
        </w:rPr>
        <w:t>gân sách Hội đồng nhân dân tỉnh tại Văn bản số 118/BC-HĐND ngày 23/3/2020, UBND tỉnh đã chỉ đạ</w:t>
      </w:r>
      <w:r>
        <w:rPr>
          <w:rFonts w:asciiTheme="majorHAnsi" w:hAnsiTheme="majorHAnsi" w:cstheme="majorHAnsi"/>
          <w:lang w:val="vi-VN"/>
        </w:rPr>
        <w:t>o các ngành rà soát</w:t>
      </w:r>
      <w:r w:rsidR="0030553D">
        <w:rPr>
          <w:rFonts w:asciiTheme="majorHAnsi" w:hAnsiTheme="majorHAnsi" w:cstheme="majorHAnsi"/>
        </w:rPr>
        <w:t>, hoàn thiện</w:t>
      </w:r>
      <w:r w:rsidR="00CA63EC" w:rsidRPr="00CA63EC">
        <w:rPr>
          <w:rFonts w:asciiTheme="majorHAnsi" w:hAnsiTheme="majorHAnsi" w:cstheme="majorHAnsi"/>
          <w:lang w:val="vi-VN"/>
        </w:rPr>
        <w:t xml:space="preserve"> </w:t>
      </w:r>
      <w:r w:rsidR="00CA63EC" w:rsidRPr="00CA63EC">
        <w:rPr>
          <w:rFonts w:asciiTheme="majorHAnsi" w:hAnsiTheme="majorHAnsi" w:cstheme="majorHAnsi"/>
          <w:color w:val="000000"/>
          <w:lang w:val="it-IT" w:eastAsia="vi-VN"/>
        </w:rPr>
        <w:t xml:space="preserve">phương án </w:t>
      </w:r>
      <w:r w:rsidR="00CA63EC" w:rsidRPr="00CA63EC">
        <w:rPr>
          <w:rFonts w:asciiTheme="majorHAnsi" w:hAnsiTheme="majorHAnsi" w:cstheme="majorHAnsi"/>
          <w:color w:val="000000"/>
          <w:lang w:val="vi-VN" w:eastAsia="vi-VN"/>
        </w:rPr>
        <w:t xml:space="preserve">phân bổ chi tiết </w:t>
      </w:r>
      <w:r w:rsidR="00CA63EC" w:rsidRPr="00CA63EC">
        <w:rPr>
          <w:rFonts w:asciiTheme="majorHAnsi" w:hAnsiTheme="majorHAnsi" w:cstheme="majorHAnsi"/>
          <w:color w:val="000000"/>
          <w:lang w:val="it-IT" w:eastAsia="vi-VN"/>
        </w:rPr>
        <w:t xml:space="preserve">nguồn </w:t>
      </w:r>
      <w:r w:rsidR="00CA63EC" w:rsidRPr="00CA63EC">
        <w:rPr>
          <w:rFonts w:asciiTheme="majorHAnsi" w:hAnsiTheme="majorHAnsi" w:cstheme="majorHAnsi"/>
          <w:color w:val="000000"/>
          <w:lang w:val="vi-VN" w:eastAsia="vi-VN"/>
        </w:rPr>
        <w:t xml:space="preserve">vốn </w:t>
      </w:r>
      <w:r>
        <w:rPr>
          <w:rFonts w:asciiTheme="majorHAnsi" w:hAnsiTheme="majorHAnsi" w:cstheme="majorHAnsi"/>
          <w:color w:val="000000"/>
          <w:lang w:val="it-IT" w:eastAsia="vi-VN"/>
        </w:rPr>
        <w:t>n</w:t>
      </w:r>
      <w:r w:rsidR="00CA63EC" w:rsidRPr="00CA63EC">
        <w:rPr>
          <w:rFonts w:asciiTheme="majorHAnsi" w:hAnsiTheme="majorHAnsi" w:cstheme="majorHAnsi"/>
          <w:color w:val="000000"/>
          <w:lang w:val="it-IT" w:eastAsia="vi-VN"/>
        </w:rPr>
        <w:t xml:space="preserve">gân sách Trung ương hỗ trợ thực hiện </w:t>
      </w:r>
      <w:r w:rsidR="00CA63EC" w:rsidRPr="00CA63EC">
        <w:rPr>
          <w:rFonts w:asciiTheme="majorHAnsi" w:hAnsiTheme="majorHAnsi" w:cstheme="majorHAnsi"/>
          <w:color w:val="000000"/>
          <w:lang w:val="vi-VN" w:eastAsia="vi-VN"/>
        </w:rPr>
        <w:t xml:space="preserve">các </w:t>
      </w:r>
      <w:r w:rsidR="00CA63EC" w:rsidRPr="00CA63EC">
        <w:rPr>
          <w:rFonts w:asciiTheme="majorHAnsi" w:hAnsiTheme="majorHAnsi" w:cstheme="majorHAnsi"/>
          <w:color w:val="000000"/>
          <w:lang w:val="it-IT" w:eastAsia="vi-VN"/>
        </w:rPr>
        <w:t xml:space="preserve">Chương trình </w:t>
      </w:r>
      <w:r w:rsidR="00CA63EC" w:rsidRPr="00CA63EC">
        <w:rPr>
          <w:rFonts w:asciiTheme="majorHAnsi" w:hAnsiTheme="majorHAnsi" w:cstheme="majorHAnsi"/>
          <w:color w:val="000000"/>
          <w:lang w:val="vi-VN" w:eastAsia="vi-VN"/>
        </w:rPr>
        <w:t>mục tiê</w:t>
      </w:r>
      <w:r w:rsidR="0030553D">
        <w:rPr>
          <w:rFonts w:asciiTheme="majorHAnsi" w:hAnsiTheme="majorHAnsi" w:cstheme="majorHAnsi"/>
          <w:color w:val="000000"/>
          <w:lang w:val="vi-VN" w:eastAsia="vi-VN"/>
        </w:rPr>
        <w:t>u quốc gia năm 2020</w:t>
      </w:r>
      <w:r w:rsidR="0030553D">
        <w:rPr>
          <w:rFonts w:asciiTheme="majorHAnsi" w:hAnsiTheme="majorHAnsi" w:cstheme="majorHAnsi"/>
          <w:color w:val="000000"/>
          <w:lang w:eastAsia="vi-VN"/>
        </w:rPr>
        <w:t xml:space="preserve"> để trình kỳ họp thứ 14 HĐND tỉnh.</w:t>
      </w:r>
    </w:p>
    <w:p w14:paraId="6EA66C60" w14:textId="77777777" w:rsidR="00CA63EC" w:rsidRPr="00CA63EC" w:rsidRDefault="00221722" w:rsidP="00CA63EC">
      <w:pPr>
        <w:spacing w:before="60" w:after="60"/>
        <w:ind w:firstLine="709"/>
        <w:jc w:val="both"/>
        <w:rPr>
          <w:rFonts w:asciiTheme="majorHAnsi" w:hAnsiTheme="majorHAnsi" w:cstheme="majorHAnsi"/>
          <w:color w:val="000000"/>
          <w:lang w:val="vi-VN" w:eastAsia="vi-VN"/>
        </w:rPr>
      </w:pPr>
      <w:r>
        <w:rPr>
          <w:rFonts w:asciiTheme="majorHAnsi" w:hAnsiTheme="majorHAnsi" w:cstheme="majorHAnsi"/>
          <w:color w:val="000000"/>
          <w:lang w:val="vi-VN" w:eastAsia="vi-VN"/>
        </w:rPr>
        <w:t>Về cơ bản giữ nguyên các nội dung t</w:t>
      </w:r>
      <w:r>
        <w:rPr>
          <w:rFonts w:asciiTheme="majorHAnsi" w:hAnsiTheme="majorHAnsi" w:cstheme="majorHAnsi"/>
          <w:color w:val="000000"/>
          <w:lang w:eastAsia="vi-VN"/>
        </w:rPr>
        <w:t>ại</w:t>
      </w:r>
      <w:r w:rsidR="00CA63EC" w:rsidRPr="00CA63EC">
        <w:rPr>
          <w:rFonts w:asciiTheme="majorHAnsi" w:hAnsiTheme="majorHAnsi" w:cstheme="majorHAnsi"/>
          <w:color w:val="000000"/>
          <w:lang w:val="vi-VN" w:eastAsia="vi-VN"/>
        </w:rPr>
        <w:t xml:space="preserve"> Tờ trình số 93/TTr-UBND ngày 20/3/2020 của UBND tỉnh; một số nội dung </w:t>
      </w:r>
      <w:r w:rsidR="00FA4990">
        <w:rPr>
          <w:rFonts w:asciiTheme="majorHAnsi" w:hAnsiTheme="majorHAnsi" w:cstheme="majorHAnsi"/>
          <w:color w:val="000000"/>
          <w:lang w:val="vi-VN" w:eastAsia="vi-VN"/>
        </w:rPr>
        <w:t xml:space="preserve">cần rà soát </w:t>
      </w:r>
      <w:r w:rsidR="00CA63EC" w:rsidRPr="00CA63EC">
        <w:rPr>
          <w:rFonts w:asciiTheme="majorHAnsi" w:hAnsiTheme="majorHAnsi" w:cstheme="majorHAnsi"/>
          <w:color w:val="000000"/>
          <w:lang w:val="vi-VN" w:eastAsia="vi-VN"/>
        </w:rPr>
        <w:t xml:space="preserve">theo yêu cầu, </w:t>
      </w:r>
      <w:r w:rsidR="00FA4990">
        <w:rPr>
          <w:rFonts w:asciiTheme="majorHAnsi" w:hAnsiTheme="majorHAnsi" w:cstheme="majorHAnsi"/>
          <w:color w:val="000000"/>
          <w:lang w:val="vi-VN" w:eastAsia="vi-VN"/>
        </w:rPr>
        <w:t xml:space="preserve">UBND tỉnh </w:t>
      </w:r>
      <w:r w:rsidR="00CA63EC" w:rsidRPr="00CA63EC">
        <w:rPr>
          <w:rFonts w:asciiTheme="majorHAnsi" w:hAnsiTheme="majorHAnsi" w:cstheme="majorHAnsi"/>
          <w:color w:val="000000"/>
          <w:lang w:val="vi-VN" w:eastAsia="vi-VN"/>
        </w:rPr>
        <w:t xml:space="preserve">xin làm rõ như sau: </w:t>
      </w:r>
    </w:p>
    <w:p w14:paraId="01988F92" w14:textId="77777777" w:rsidR="00CA63EC" w:rsidRPr="00144D96" w:rsidRDefault="00144D96" w:rsidP="00CA63EC">
      <w:pPr>
        <w:spacing w:before="60" w:after="60"/>
        <w:ind w:firstLine="709"/>
        <w:jc w:val="both"/>
        <w:rPr>
          <w:rFonts w:asciiTheme="majorHAnsi" w:hAnsiTheme="majorHAnsi" w:cstheme="majorHAnsi"/>
          <w:b/>
          <w:color w:val="000000"/>
          <w:lang w:eastAsia="vi-VN"/>
        </w:rPr>
      </w:pPr>
      <w:r>
        <w:rPr>
          <w:rFonts w:asciiTheme="majorHAnsi" w:hAnsiTheme="majorHAnsi" w:cstheme="majorHAnsi"/>
          <w:b/>
          <w:color w:val="000000"/>
          <w:lang w:eastAsia="vi-VN"/>
        </w:rPr>
        <w:t>I</w:t>
      </w:r>
      <w:r w:rsidR="00CA63EC" w:rsidRPr="00080840">
        <w:rPr>
          <w:rFonts w:asciiTheme="majorHAnsi" w:hAnsiTheme="majorHAnsi" w:cstheme="majorHAnsi"/>
          <w:b/>
          <w:color w:val="000000"/>
          <w:lang w:val="vi-VN" w:eastAsia="vi-VN"/>
        </w:rPr>
        <w:t xml:space="preserve">. </w:t>
      </w:r>
      <w:r w:rsidR="00080840">
        <w:rPr>
          <w:rFonts w:asciiTheme="majorHAnsi" w:hAnsiTheme="majorHAnsi" w:cstheme="majorHAnsi"/>
          <w:b/>
          <w:color w:val="000000"/>
          <w:lang w:val="vi-VN" w:eastAsia="vi-VN"/>
        </w:rPr>
        <w:t>Về</w:t>
      </w:r>
      <w:r w:rsidR="00CA63EC" w:rsidRPr="00080840">
        <w:rPr>
          <w:rFonts w:asciiTheme="majorHAnsi" w:hAnsiTheme="majorHAnsi" w:cstheme="majorHAnsi"/>
          <w:b/>
          <w:color w:val="000000"/>
          <w:lang w:val="vi-VN" w:eastAsia="vi-VN"/>
        </w:rPr>
        <w:t xml:space="preserve"> các</w:t>
      </w:r>
      <w:r>
        <w:rPr>
          <w:rFonts w:asciiTheme="majorHAnsi" w:hAnsiTheme="majorHAnsi" w:cstheme="majorHAnsi"/>
          <w:b/>
          <w:color w:val="000000"/>
          <w:lang w:eastAsia="vi-VN"/>
        </w:rPr>
        <w:t xml:space="preserve"> nội dung</w:t>
      </w:r>
      <w:r>
        <w:rPr>
          <w:rFonts w:asciiTheme="majorHAnsi" w:hAnsiTheme="majorHAnsi" w:cstheme="majorHAnsi"/>
          <w:b/>
          <w:color w:val="000000"/>
          <w:lang w:val="vi-VN" w:eastAsia="vi-VN"/>
        </w:rPr>
        <w:t xml:space="preserve"> đề nghị rà soá</w:t>
      </w:r>
      <w:r>
        <w:rPr>
          <w:rFonts w:asciiTheme="majorHAnsi" w:hAnsiTheme="majorHAnsi" w:cstheme="majorHAnsi"/>
          <w:b/>
          <w:color w:val="000000"/>
          <w:lang w:eastAsia="vi-VN"/>
        </w:rPr>
        <w:t>t</w:t>
      </w:r>
    </w:p>
    <w:p w14:paraId="54C88EB5" w14:textId="77777777" w:rsidR="00080840" w:rsidRPr="00CA63EC" w:rsidRDefault="00144D96" w:rsidP="00080840">
      <w:pPr>
        <w:spacing w:before="60" w:after="60"/>
        <w:ind w:firstLine="709"/>
        <w:jc w:val="both"/>
        <w:rPr>
          <w:rFonts w:asciiTheme="majorHAnsi" w:hAnsiTheme="majorHAnsi" w:cstheme="majorHAnsi"/>
          <w:color w:val="000000"/>
          <w:lang w:val="vi-VN" w:eastAsia="vi-VN"/>
        </w:rPr>
      </w:pPr>
      <w:r>
        <w:rPr>
          <w:rFonts w:asciiTheme="majorHAnsi" w:hAnsiTheme="majorHAnsi" w:cstheme="majorHAnsi"/>
          <w:color w:val="000000"/>
          <w:lang w:val="vi-VN" w:eastAsia="vi-VN"/>
        </w:rPr>
        <w:t>1</w:t>
      </w:r>
      <w:r>
        <w:rPr>
          <w:rFonts w:asciiTheme="majorHAnsi" w:hAnsiTheme="majorHAnsi" w:cstheme="majorHAnsi"/>
          <w:color w:val="000000"/>
          <w:lang w:eastAsia="vi-VN"/>
        </w:rPr>
        <w:t>.</w:t>
      </w:r>
      <w:r w:rsidR="00080840" w:rsidRPr="00CA63EC">
        <w:rPr>
          <w:rFonts w:asciiTheme="majorHAnsi" w:hAnsiTheme="majorHAnsi" w:cstheme="majorHAnsi"/>
          <w:color w:val="000000"/>
          <w:lang w:val="vi-VN" w:eastAsia="vi-VN"/>
        </w:rPr>
        <w:t xml:space="preserve"> </w:t>
      </w:r>
      <w:r w:rsidR="00080840">
        <w:rPr>
          <w:rFonts w:asciiTheme="majorHAnsi" w:hAnsiTheme="majorHAnsi" w:cstheme="majorHAnsi"/>
          <w:color w:val="000000"/>
          <w:lang w:val="vi-VN" w:eastAsia="vi-VN"/>
        </w:rPr>
        <w:t>Đối với n</w:t>
      </w:r>
      <w:r w:rsidR="00080840" w:rsidRPr="00CA63EC">
        <w:rPr>
          <w:rFonts w:asciiTheme="majorHAnsi" w:hAnsiTheme="majorHAnsi" w:cstheme="majorHAnsi"/>
          <w:color w:val="000000"/>
          <w:lang w:val="vi-VN" w:eastAsia="vi-VN"/>
        </w:rPr>
        <w:t xml:space="preserve">ội dung </w:t>
      </w:r>
      <w:r w:rsidR="000F4B84" w:rsidRPr="000F4B84">
        <w:rPr>
          <w:rFonts w:asciiTheme="majorHAnsi" w:hAnsiTheme="majorHAnsi" w:cstheme="majorHAnsi"/>
          <w:color w:val="000000"/>
          <w:lang w:val="vi-VN" w:eastAsia="vi-VN"/>
        </w:rPr>
        <w:t xml:space="preserve">đề nghị </w:t>
      </w:r>
      <w:r w:rsidR="00080840" w:rsidRPr="00CA63EC">
        <w:rPr>
          <w:rFonts w:asciiTheme="majorHAnsi" w:hAnsiTheme="majorHAnsi" w:cstheme="majorHAnsi"/>
          <w:i/>
          <w:color w:val="000000"/>
          <w:lang w:val="vi-VN" w:eastAsia="vi-VN"/>
        </w:rPr>
        <w:t>“bổ sung nội dung phân bổ 27.899 triệu đồng vốn đầu tư từ ngân sách Trung ương thực hiện Chương trình MTQG giảm nghèo bền vững năm 2020 hỗ trợ đầu tư cơ sở hạ tầng các xã đặc biệt khó khăn vùng bãi ngang ven biển đã được Thường trực Hội đồng nhân dân tỉnh thống nhất tại Văn bản số 816/HĐND ngày 31/12/2019”</w:t>
      </w:r>
      <w:r w:rsidR="00080840" w:rsidRPr="00CA63EC">
        <w:rPr>
          <w:rFonts w:asciiTheme="majorHAnsi" w:hAnsiTheme="majorHAnsi" w:cstheme="majorHAnsi"/>
          <w:color w:val="000000"/>
          <w:lang w:val="vi-VN" w:eastAsia="vi-VN"/>
        </w:rPr>
        <w:t xml:space="preserve">: </w:t>
      </w:r>
      <w:r w:rsidR="00080840">
        <w:rPr>
          <w:rFonts w:asciiTheme="majorHAnsi" w:hAnsiTheme="majorHAnsi" w:cstheme="majorHAnsi"/>
          <w:color w:val="000000"/>
          <w:lang w:val="vi-VN" w:eastAsia="vi-VN"/>
        </w:rPr>
        <w:t>Qua xem xét</w:t>
      </w:r>
      <w:r>
        <w:rPr>
          <w:rFonts w:asciiTheme="majorHAnsi" w:hAnsiTheme="majorHAnsi" w:cstheme="majorHAnsi"/>
          <w:color w:val="000000"/>
          <w:lang w:val="vi-VN" w:eastAsia="vi-VN"/>
        </w:rPr>
        <w:t xml:space="preserve"> cho thấy việc đề xuất của các </w:t>
      </w:r>
      <w:r>
        <w:rPr>
          <w:rFonts w:asciiTheme="majorHAnsi" w:hAnsiTheme="majorHAnsi" w:cstheme="majorHAnsi"/>
          <w:color w:val="000000"/>
          <w:lang w:eastAsia="vi-VN"/>
        </w:rPr>
        <w:t>đ</w:t>
      </w:r>
      <w:r w:rsidR="00080840">
        <w:rPr>
          <w:rFonts w:asciiTheme="majorHAnsi" w:hAnsiTheme="majorHAnsi" w:cstheme="majorHAnsi"/>
          <w:color w:val="000000"/>
          <w:lang w:val="vi-VN" w:eastAsia="vi-VN"/>
        </w:rPr>
        <w:t>ại biểu Hội đồ</w:t>
      </w:r>
      <w:r>
        <w:rPr>
          <w:rFonts w:asciiTheme="majorHAnsi" w:hAnsiTheme="majorHAnsi" w:cstheme="majorHAnsi"/>
          <w:color w:val="000000"/>
          <w:lang w:val="vi-VN" w:eastAsia="vi-VN"/>
        </w:rPr>
        <w:t xml:space="preserve">ng nhân dân là phù hợp. </w:t>
      </w:r>
      <w:r>
        <w:rPr>
          <w:rFonts w:asciiTheme="majorHAnsi" w:hAnsiTheme="majorHAnsi" w:cstheme="majorHAnsi"/>
          <w:color w:val="000000"/>
          <w:lang w:eastAsia="vi-VN"/>
        </w:rPr>
        <w:t>Nội dung này</w:t>
      </w:r>
      <w:r w:rsidR="00080840">
        <w:rPr>
          <w:rFonts w:asciiTheme="majorHAnsi" w:hAnsiTheme="majorHAnsi" w:cstheme="majorHAnsi"/>
          <w:color w:val="000000"/>
          <w:lang w:val="vi-VN" w:eastAsia="vi-VN"/>
        </w:rPr>
        <w:t xml:space="preserve"> đã được UBND tỉnh</w:t>
      </w:r>
      <w:r>
        <w:rPr>
          <w:rFonts w:asciiTheme="majorHAnsi" w:hAnsiTheme="majorHAnsi" w:cstheme="majorHAnsi"/>
          <w:color w:val="000000"/>
          <w:lang w:val="vi-VN" w:eastAsia="vi-VN"/>
        </w:rPr>
        <w:t xml:space="preserve"> tiếp thu, bổ sung vào </w:t>
      </w:r>
      <w:r>
        <w:rPr>
          <w:rFonts w:asciiTheme="majorHAnsi" w:hAnsiTheme="majorHAnsi" w:cstheme="majorHAnsi"/>
          <w:color w:val="000000"/>
          <w:lang w:eastAsia="vi-VN"/>
        </w:rPr>
        <w:t>d</w:t>
      </w:r>
      <w:r w:rsidR="00080840" w:rsidRPr="00CA63EC">
        <w:rPr>
          <w:rFonts w:asciiTheme="majorHAnsi" w:hAnsiTheme="majorHAnsi" w:cstheme="majorHAnsi"/>
          <w:color w:val="000000"/>
          <w:lang w:val="vi-VN" w:eastAsia="vi-VN"/>
        </w:rPr>
        <w:t>ự thảo Nghị quyết.</w:t>
      </w:r>
    </w:p>
    <w:p w14:paraId="2D179836" w14:textId="77777777" w:rsidR="00080840" w:rsidRPr="005704F3" w:rsidRDefault="00144D96" w:rsidP="00080840">
      <w:pPr>
        <w:spacing w:before="60" w:after="60"/>
        <w:ind w:firstLine="709"/>
        <w:jc w:val="both"/>
        <w:rPr>
          <w:rFonts w:asciiTheme="majorHAnsi" w:hAnsiTheme="majorHAnsi" w:cstheme="majorHAnsi"/>
          <w:lang w:val="vi-VN" w:eastAsia="vi-VN"/>
        </w:rPr>
      </w:pPr>
      <w:r>
        <w:rPr>
          <w:rFonts w:asciiTheme="majorHAnsi" w:hAnsiTheme="majorHAnsi" w:cstheme="majorHAnsi"/>
          <w:lang w:val="vi-VN" w:eastAsia="vi-VN"/>
        </w:rPr>
        <w:t>2</w:t>
      </w:r>
      <w:r>
        <w:rPr>
          <w:rFonts w:asciiTheme="majorHAnsi" w:hAnsiTheme="majorHAnsi" w:cstheme="majorHAnsi"/>
          <w:lang w:eastAsia="vi-VN"/>
        </w:rPr>
        <w:t>.</w:t>
      </w:r>
      <w:r w:rsidR="00080840" w:rsidRPr="00CA63EC">
        <w:rPr>
          <w:rFonts w:asciiTheme="majorHAnsi" w:hAnsiTheme="majorHAnsi" w:cstheme="majorHAnsi"/>
          <w:lang w:val="vi-VN" w:eastAsia="vi-VN"/>
        </w:rPr>
        <w:t xml:space="preserve"> </w:t>
      </w:r>
      <w:r w:rsidR="00080840">
        <w:rPr>
          <w:rFonts w:asciiTheme="majorHAnsi" w:hAnsiTheme="majorHAnsi" w:cstheme="majorHAnsi"/>
          <w:lang w:val="vi-VN" w:eastAsia="vi-VN"/>
        </w:rPr>
        <w:t>Đối với đề nghị b</w:t>
      </w:r>
      <w:r w:rsidR="00080840" w:rsidRPr="00CA63EC">
        <w:rPr>
          <w:rFonts w:asciiTheme="majorHAnsi" w:hAnsiTheme="majorHAnsi" w:cstheme="majorHAnsi"/>
          <w:lang w:val="vi-VN" w:eastAsia="vi-VN"/>
        </w:rPr>
        <w:t xml:space="preserve">ỏ nội dung tại điểm 1.1, khoản 1, mục I, </w:t>
      </w:r>
      <w:r>
        <w:rPr>
          <w:rFonts w:asciiTheme="majorHAnsi" w:hAnsiTheme="majorHAnsi" w:cstheme="majorHAnsi"/>
          <w:lang w:val="vi-VN" w:eastAsia="vi-VN"/>
        </w:rPr>
        <w:t xml:space="preserve">Phần B của phụ lục I, kèm theo </w:t>
      </w:r>
      <w:r>
        <w:rPr>
          <w:rFonts w:asciiTheme="majorHAnsi" w:hAnsiTheme="majorHAnsi" w:cstheme="majorHAnsi"/>
          <w:lang w:eastAsia="vi-VN"/>
        </w:rPr>
        <w:t>d</w:t>
      </w:r>
      <w:r w:rsidR="00080840" w:rsidRPr="00CA63EC">
        <w:rPr>
          <w:rFonts w:asciiTheme="majorHAnsi" w:hAnsiTheme="majorHAnsi" w:cstheme="majorHAnsi"/>
          <w:lang w:val="vi-VN" w:eastAsia="vi-VN"/>
        </w:rPr>
        <w:t xml:space="preserve">ự thảo Nghị quyết: </w:t>
      </w:r>
      <w:r>
        <w:rPr>
          <w:rFonts w:asciiTheme="majorHAnsi" w:hAnsiTheme="majorHAnsi" w:cstheme="majorHAnsi"/>
          <w:lang w:val="vi-VN" w:eastAsia="vi-VN"/>
        </w:rPr>
        <w:t xml:space="preserve">Đề nghị vẫn giữ nguyên như </w:t>
      </w:r>
      <w:r>
        <w:rPr>
          <w:rFonts w:asciiTheme="majorHAnsi" w:hAnsiTheme="majorHAnsi" w:cstheme="majorHAnsi"/>
          <w:lang w:eastAsia="vi-VN"/>
        </w:rPr>
        <w:t>d</w:t>
      </w:r>
      <w:r w:rsidR="00080840">
        <w:rPr>
          <w:rFonts w:asciiTheme="majorHAnsi" w:hAnsiTheme="majorHAnsi" w:cstheme="majorHAnsi"/>
          <w:lang w:val="vi-VN" w:eastAsia="vi-VN"/>
        </w:rPr>
        <w:t>ự thảo đã trình</w:t>
      </w:r>
      <w:r w:rsidR="000F4B84" w:rsidRPr="000F4B84">
        <w:rPr>
          <w:rFonts w:asciiTheme="majorHAnsi" w:hAnsiTheme="majorHAnsi" w:cstheme="majorHAnsi"/>
          <w:lang w:val="vi-VN" w:eastAsia="vi-VN"/>
        </w:rPr>
        <w:t>, với lý do</w:t>
      </w:r>
      <w:r w:rsidR="00263AE1">
        <w:rPr>
          <w:rFonts w:asciiTheme="majorHAnsi" w:hAnsiTheme="majorHAnsi" w:cstheme="majorHAnsi"/>
          <w:lang w:eastAsia="vi-VN"/>
        </w:rPr>
        <w:t xml:space="preserve"> </w:t>
      </w:r>
      <w:r w:rsidR="00080840" w:rsidRPr="00CA63EC">
        <w:rPr>
          <w:rFonts w:asciiTheme="majorHAnsi" w:hAnsiTheme="majorHAnsi" w:cstheme="majorHAnsi"/>
          <w:lang w:val="vi-VN" w:eastAsia="vi-VN"/>
        </w:rPr>
        <w:t xml:space="preserve">số tiền 93.380 triệu </w:t>
      </w:r>
      <w:r w:rsidR="00080840">
        <w:rPr>
          <w:rFonts w:asciiTheme="majorHAnsi" w:hAnsiTheme="majorHAnsi" w:cstheme="majorHAnsi"/>
          <w:lang w:val="vi-VN" w:eastAsia="vi-VN"/>
        </w:rPr>
        <w:t xml:space="preserve">đồng </w:t>
      </w:r>
      <w:r w:rsidR="00080840" w:rsidRPr="00CA63EC">
        <w:rPr>
          <w:rFonts w:asciiTheme="majorHAnsi" w:hAnsiTheme="majorHAnsi" w:cstheme="majorHAnsi"/>
          <w:lang w:val="vi-VN" w:eastAsia="vi-VN"/>
        </w:rPr>
        <w:t xml:space="preserve">nằm trong tổng vốn ngân sách Trung ương giao năm 2020 tại Quyết định số </w:t>
      </w:r>
      <w:r w:rsidR="00080840" w:rsidRPr="00CA63EC">
        <w:rPr>
          <w:rFonts w:asciiTheme="majorHAnsi" w:hAnsiTheme="majorHAnsi" w:cstheme="majorHAnsi"/>
          <w:lang w:val="vi-VN"/>
        </w:rPr>
        <w:t>1882/QĐ-BKHĐT ngày 29/11/2019 của Bộ Kế hoạch và Đầu tư</w:t>
      </w:r>
      <w:r w:rsidR="00080840">
        <w:rPr>
          <w:rFonts w:asciiTheme="majorHAnsi" w:hAnsiTheme="majorHAnsi" w:cstheme="majorHAnsi"/>
          <w:lang w:val="vi-VN"/>
        </w:rPr>
        <w:t xml:space="preserve">. </w:t>
      </w:r>
      <w:r>
        <w:rPr>
          <w:rFonts w:asciiTheme="majorHAnsi" w:hAnsiTheme="majorHAnsi" w:cstheme="majorHAnsi"/>
          <w:lang w:val="vi-VN"/>
        </w:rPr>
        <w:t xml:space="preserve">Do vậy, cần đưa vào </w:t>
      </w:r>
      <w:r w:rsidR="00080840" w:rsidRPr="00A9672E">
        <w:rPr>
          <w:rFonts w:asciiTheme="majorHAnsi" w:hAnsiTheme="majorHAnsi" w:cstheme="majorHAnsi"/>
          <w:lang w:val="vi-VN"/>
        </w:rPr>
        <w:t>Nghị quyết để phù hợp với tổng nguồn vốn được Trung ương giao, đảm bảo số cân đối ngân sách năm 2020</w:t>
      </w:r>
      <w:r w:rsidR="000F4B84" w:rsidRPr="000F4B84">
        <w:rPr>
          <w:rFonts w:asciiTheme="majorHAnsi" w:hAnsiTheme="majorHAnsi" w:cstheme="majorHAnsi"/>
          <w:lang w:val="vi-VN"/>
        </w:rPr>
        <w:t>.</w:t>
      </w:r>
    </w:p>
    <w:p w14:paraId="7D37287B" w14:textId="77777777" w:rsidR="00080840" w:rsidRPr="00CA63EC" w:rsidRDefault="00144D96" w:rsidP="00080840">
      <w:pPr>
        <w:spacing w:before="60" w:after="60"/>
        <w:ind w:firstLine="720"/>
        <w:jc w:val="both"/>
        <w:rPr>
          <w:rFonts w:asciiTheme="majorHAnsi" w:hAnsiTheme="majorHAnsi" w:cstheme="majorHAnsi"/>
          <w:lang w:val="vi-VN"/>
        </w:rPr>
      </w:pPr>
      <w:r>
        <w:rPr>
          <w:rFonts w:asciiTheme="majorHAnsi" w:hAnsiTheme="majorHAnsi" w:cstheme="majorHAnsi"/>
          <w:lang w:val="vi-VN"/>
        </w:rPr>
        <w:t>3</w:t>
      </w:r>
      <w:r>
        <w:rPr>
          <w:rFonts w:asciiTheme="majorHAnsi" w:hAnsiTheme="majorHAnsi" w:cstheme="majorHAnsi"/>
        </w:rPr>
        <w:t>.</w:t>
      </w:r>
      <w:r w:rsidR="00080840" w:rsidRPr="00CA63EC">
        <w:rPr>
          <w:rFonts w:asciiTheme="majorHAnsi" w:hAnsiTheme="majorHAnsi" w:cstheme="majorHAnsi"/>
          <w:lang w:val="vi-VN"/>
        </w:rPr>
        <w:t xml:space="preserve"> </w:t>
      </w:r>
      <w:r w:rsidR="00080840">
        <w:rPr>
          <w:rFonts w:asciiTheme="majorHAnsi" w:hAnsiTheme="majorHAnsi" w:cstheme="majorHAnsi"/>
          <w:lang w:val="vi-VN"/>
        </w:rPr>
        <w:t>Về nội dung: Làm</w:t>
      </w:r>
      <w:r w:rsidR="00080840" w:rsidRPr="00CA63EC">
        <w:rPr>
          <w:rFonts w:asciiTheme="majorHAnsi" w:hAnsiTheme="majorHAnsi" w:cstheme="majorHAnsi"/>
          <w:lang w:val="vi-VN"/>
        </w:rPr>
        <w:t xml:space="preserve"> rõ việc phân bổ nguồn kinh phí quản lý, chỉ đạo thực hiện chương trình tại </w:t>
      </w:r>
      <w:r w:rsidR="003100BF">
        <w:rPr>
          <w:rFonts w:asciiTheme="majorHAnsi" w:hAnsiTheme="majorHAnsi" w:cstheme="majorHAnsi"/>
        </w:rPr>
        <w:t>p</w:t>
      </w:r>
      <w:r w:rsidR="00080840" w:rsidRPr="00CA63EC">
        <w:rPr>
          <w:rFonts w:asciiTheme="majorHAnsi" w:hAnsiTheme="majorHAnsi" w:cstheme="majorHAnsi"/>
          <w:lang w:val="vi-VN"/>
        </w:rPr>
        <w:t>hụ lục I.</w:t>
      </w:r>
    </w:p>
    <w:p w14:paraId="4818E0DB" w14:textId="77777777" w:rsidR="00080840" w:rsidRPr="00CA63EC" w:rsidRDefault="00080840" w:rsidP="00080840">
      <w:pPr>
        <w:spacing w:before="60" w:after="60"/>
        <w:ind w:firstLine="720"/>
        <w:jc w:val="both"/>
        <w:rPr>
          <w:rFonts w:asciiTheme="majorHAnsi" w:hAnsiTheme="majorHAnsi" w:cstheme="majorHAnsi"/>
          <w:lang w:val="vi-VN"/>
        </w:rPr>
      </w:pPr>
      <w:r w:rsidRPr="00CA63EC">
        <w:rPr>
          <w:rFonts w:asciiTheme="majorHAnsi" w:hAnsiTheme="majorHAnsi" w:cstheme="majorHAnsi"/>
          <w:lang w:val="vi-VN"/>
        </w:rPr>
        <w:t xml:space="preserve">Tiếp thu ý kiến của các đại biểu, UBND tỉnh đã chỉ đạo cơ quan chuyên môn liên quan, rà soát, xem xét điều chỉnh phân bổ kinh phí cho hoạt động quản </w:t>
      </w:r>
      <w:r w:rsidRPr="00CA63EC">
        <w:rPr>
          <w:rFonts w:asciiTheme="majorHAnsi" w:hAnsiTheme="majorHAnsi" w:cstheme="majorHAnsi"/>
          <w:lang w:val="vi-VN"/>
        </w:rPr>
        <w:lastRenderedPageBreak/>
        <w:t xml:space="preserve">lý, chỉ đạo theo hướng giảm số kinh phí phân bổ cho hoạt động </w:t>
      </w:r>
      <w:r w:rsidR="000F4B84" w:rsidRPr="000F4B84">
        <w:rPr>
          <w:rFonts w:asciiTheme="majorHAnsi" w:hAnsiTheme="majorHAnsi" w:cstheme="majorHAnsi"/>
          <w:lang w:val="vi-VN"/>
        </w:rPr>
        <w:t xml:space="preserve">ở </w:t>
      </w:r>
      <w:r w:rsidRPr="00CA63EC">
        <w:rPr>
          <w:rFonts w:asciiTheme="majorHAnsi" w:hAnsiTheme="majorHAnsi" w:cstheme="majorHAnsi"/>
          <w:lang w:val="vi-VN"/>
        </w:rPr>
        <w:t>cấp tỉnh và tăng mức hỗ trợ cho hoạt động cấp huyện, cấp xã. Cụ thể như sau:</w:t>
      </w:r>
    </w:p>
    <w:p w14:paraId="7D771A3B" w14:textId="77777777" w:rsidR="00080840" w:rsidRPr="00CA63EC" w:rsidRDefault="00080840" w:rsidP="00080840">
      <w:pPr>
        <w:spacing w:before="60" w:after="60"/>
        <w:ind w:firstLine="567"/>
        <w:jc w:val="both"/>
        <w:rPr>
          <w:rFonts w:asciiTheme="majorHAnsi" w:hAnsiTheme="majorHAnsi" w:cstheme="majorHAnsi"/>
          <w:lang w:val="vi-VN"/>
        </w:rPr>
      </w:pPr>
      <w:r w:rsidRPr="00CA63EC">
        <w:rPr>
          <w:rFonts w:asciiTheme="majorHAnsi" w:hAnsiTheme="majorHAnsi" w:cstheme="majorHAnsi"/>
          <w:lang w:val="vi-VN"/>
        </w:rPr>
        <w:t xml:space="preserve">- Đối với hoạt động quản lý, chỉ đạo, kiểm tra, giám sát cấp tỉnh: </w:t>
      </w:r>
      <w:r w:rsidR="003100BF">
        <w:rPr>
          <w:rFonts w:asciiTheme="majorHAnsi" w:hAnsiTheme="majorHAnsi" w:cstheme="majorHAnsi"/>
        </w:rPr>
        <w:t>B</w:t>
      </w:r>
      <w:r w:rsidR="000F4B84" w:rsidRPr="000F4B84">
        <w:rPr>
          <w:rFonts w:asciiTheme="majorHAnsi" w:hAnsiTheme="majorHAnsi" w:cstheme="majorHAnsi"/>
          <w:lang w:val="vi-VN"/>
        </w:rPr>
        <w:t xml:space="preserve">ố trí </w:t>
      </w:r>
      <w:r w:rsidRPr="00CA63EC">
        <w:rPr>
          <w:rFonts w:asciiTheme="majorHAnsi" w:hAnsiTheme="majorHAnsi" w:cstheme="majorHAnsi"/>
          <w:lang w:val="vi-VN"/>
        </w:rPr>
        <w:t>3.840 triệu đồng, tương đương với mức bố trí của năm 2018 và năm 2019 (năm 2018 và năm 2019, mỗi năm bố trí 3</w:t>
      </w:r>
      <w:r>
        <w:rPr>
          <w:rFonts w:asciiTheme="majorHAnsi" w:hAnsiTheme="majorHAnsi" w:cstheme="majorHAnsi"/>
          <w:lang w:val="vi-VN"/>
        </w:rPr>
        <w:t>.</w:t>
      </w:r>
      <w:r w:rsidRPr="00CA63EC">
        <w:rPr>
          <w:rFonts w:asciiTheme="majorHAnsi" w:hAnsiTheme="majorHAnsi" w:cstheme="majorHAnsi"/>
          <w:lang w:val="vi-VN"/>
        </w:rPr>
        <w:t>8</w:t>
      </w:r>
      <w:r>
        <w:rPr>
          <w:rFonts w:asciiTheme="majorHAnsi" w:hAnsiTheme="majorHAnsi" w:cstheme="majorHAnsi"/>
          <w:lang w:val="vi-VN"/>
        </w:rPr>
        <w:t>00 triệu</w:t>
      </w:r>
      <w:r w:rsidRPr="00CA63EC">
        <w:rPr>
          <w:rFonts w:asciiTheme="majorHAnsi" w:hAnsiTheme="majorHAnsi" w:cstheme="majorHAnsi"/>
          <w:lang w:val="vi-VN"/>
        </w:rPr>
        <w:t xml:space="preserve"> đồng)</w:t>
      </w:r>
      <w:r w:rsidR="0017344C" w:rsidRPr="00C65252">
        <w:rPr>
          <w:rFonts w:asciiTheme="majorHAnsi" w:hAnsiTheme="majorHAnsi" w:cstheme="majorHAnsi"/>
          <w:lang w:val="vi-VN"/>
        </w:rPr>
        <w:t>,</w:t>
      </w:r>
      <w:r w:rsidR="00263AE1">
        <w:rPr>
          <w:rFonts w:asciiTheme="majorHAnsi" w:hAnsiTheme="majorHAnsi" w:cstheme="majorHAnsi"/>
        </w:rPr>
        <w:t xml:space="preserve"> </w:t>
      </w:r>
      <w:r w:rsidRPr="00CA63EC">
        <w:rPr>
          <w:rFonts w:asciiTheme="majorHAnsi" w:hAnsiTheme="majorHAnsi" w:cstheme="majorHAnsi"/>
          <w:lang w:val="vi-VN"/>
        </w:rPr>
        <w:t xml:space="preserve">giảm 3.160 triệu đồng so </w:t>
      </w:r>
      <w:r w:rsidR="00263AE1">
        <w:rPr>
          <w:rFonts w:asciiTheme="majorHAnsi" w:hAnsiTheme="majorHAnsi" w:cstheme="majorHAnsi"/>
        </w:rPr>
        <w:t xml:space="preserve">với </w:t>
      </w:r>
      <w:r w:rsidRPr="00CA63EC">
        <w:rPr>
          <w:rFonts w:asciiTheme="majorHAnsi" w:hAnsiTheme="majorHAnsi" w:cstheme="majorHAnsi"/>
          <w:lang w:val="vi-VN"/>
        </w:rPr>
        <w:t>trình</w:t>
      </w:r>
      <w:r w:rsidR="00263AE1">
        <w:rPr>
          <w:rFonts w:asciiTheme="majorHAnsi" w:hAnsiTheme="majorHAnsi" w:cstheme="majorHAnsi"/>
        </w:rPr>
        <w:t xml:space="preserve"> lần</w:t>
      </w:r>
      <w:r w:rsidRPr="00CA63EC">
        <w:rPr>
          <w:rFonts w:asciiTheme="majorHAnsi" w:hAnsiTheme="majorHAnsi" w:cstheme="majorHAnsi"/>
          <w:lang w:val="vi-VN"/>
        </w:rPr>
        <w:t xml:space="preserve"> trước (7.000 triệu đồng).</w:t>
      </w:r>
    </w:p>
    <w:p w14:paraId="5D36401E" w14:textId="77777777" w:rsidR="00080840" w:rsidRPr="00CA63EC" w:rsidRDefault="00080840" w:rsidP="00080840">
      <w:pPr>
        <w:spacing w:before="60" w:after="60"/>
        <w:ind w:firstLine="567"/>
        <w:jc w:val="both"/>
        <w:rPr>
          <w:rFonts w:asciiTheme="majorHAnsi" w:hAnsiTheme="majorHAnsi" w:cstheme="majorHAnsi"/>
          <w:lang w:val="vi-VN"/>
        </w:rPr>
      </w:pPr>
      <w:r w:rsidRPr="00CA63EC">
        <w:rPr>
          <w:rFonts w:asciiTheme="majorHAnsi" w:hAnsiTheme="majorHAnsi" w:cstheme="majorHAnsi"/>
          <w:lang w:val="vi-VN"/>
        </w:rPr>
        <w:t xml:space="preserve">- Đối với hoạt động quản lý, chỉ đạo, kiểm tra, giám sát cấp huyện, cấp xã: </w:t>
      </w:r>
      <w:r w:rsidR="003100BF">
        <w:rPr>
          <w:rFonts w:asciiTheme="majorHAnsi" w:hAnsiTheme="majorHAnsi" w:cstheme="majorHAnsi"/>
        </w:rPr>
        <w:t>B</w:t>
      </w:r>
      <w:r w:rsidR="000F4B84" w:rsidRPr="000F4B84">
        <w:rPr>
          <w:rFonts w:asciiTheme="majorHAnsi" w:hAnsiTheme="majorHAnsi" w:cstheme="majorHAnsi"/>
          <w:lang w:val="vi-VN"/>
        </w:rPr>
        <w:t xml:space="preserve">ố trí </w:t>
      </w:r>
      <w:r w:rsidRPr="00CA63EC">
        <w:rPr>
          <w:rFonts w:asciiTheme="majorHAnsi" w:hAnsiTheme="majorHAnsi" w:cstheme="majorHAnsi"/>
          <w:lang w:val="vi-VN"/>
        </w:rPr>
        <w:t>6.160 triệu đồng (tăng 3.160 triệu đồng so</w:t>
      </w:r>
      <w:r w:rsidR="00263AE1">
        <w:rPr>
          <w:rFonts w:asciiTheme="majorHAnsi" w:hAnsiTheme="majorHAnsi" w:cstheme="majorHAnsi"/>
        </w:rPr>
        <w:t xml:space="preserve"> với</w:t>
      </w:r>
      <w:r w:rsidRPr="00CA63EC">
        <w:rPr>
          <w:rFonts w:asciiTheme="majorHAnsi" w:hAnsiTheme="majorHAnsi" w:cstheme="majorHAnsi"/>
          <w:lang w:val="vi-VN"/>
        </w:rPr>
        <w:t xml:space="preserve"> lần trình trước); với định mức phân bổ cho các huyện, thành phố, thị xã như sau: 50 triệu đồng/xã đặc biệt khó khăn, 35 triệu đồng/xã miền núi và 30 triệu đồng/xã còn lại; riêng thị xã Hồng Lĩnh phân bổ đủ 100 triệu đồng.</w:t>
      </w:r>
    </w:p>
    <w:p w14:paraId="0546B451" w14:textId="77777777" w:rsidR="00080840" w:rsidRPr="005704F3" w:rsidRDefault="003100BF" w:rsidP="00080840">
      <w:pPr>
        <w:spacing w:before="60" w:after="60"/>
        <w:ind w:firstLine="720"/>
        <w:jc w:val="both"/>
        <w:rPr>
          <w:rFonts w:asciiTheme="majorHAnsi" w:hAnsiTheme="majorHAnsi" w:cstheme="majorHAnsi"/>
          <w:lang w:val="vi-VN"/>
        </w:rPr>
      </w:pPr>
      <w:r>
        <w:rPr>
          <w:rFonts w:asciiTheme="majorHAnsi" w:hAnsiTheme="majorHAnsi" w:cstheme="majorHAnsi"/>
          <w:lang w:val="vi-VN"/>
        </w:rPr>
        <w:t>4</w:t>
      </w:r>
      <w:r>
        <w:rPr>
          <w:rFonts w:asciiTheme="majorHAnsi" w:hAnsiTheme="majorHAnsi" w:cstheme="majorHAnsi"/>
        </w:rPr>
        <w:t>.</w:t>
      </w:r>
      <w:r w:rsidR="000F4B84">
        <w:rPr>
          <w:rFonts w:asciiTheme="majorHAnsi" w:hAnsiTheme="majorHAnsi" w:cstheme="majorHAnsi"/>
          <w:lang w:val="vi-VN"/>
        </w:rPr>
        <w:t xml:space="preserve"> Về đề nghị rà soát năng lực các chủ đầu tư cấp xã đối với các công trình cấp nước sạch nông thôn để lựa chọn chủ đầu tư phù hợp:</w:t>
      </w:r>
    </w:p>
    <w:p w14:paraId="04802CBE" w14:textId="77777777" w:rsidR="005704F3" w:rsidRDefault="005704F3" w:rsidP="005704F3">
      <w:pPr>
        <w:spacing w:before="60" w:after="60"/>
        <w:ind w:firstLine="720"/>
        <w:jc w:val="both"/>
        <w:rPr>
          <w:rFonts w:asciiTheme="majorHAnsi" w:hAnsiTheme="majorHAnsi" w:cstheme="majorHAnsi"/>
          <w:lang w:val="nl-NL"/>
        </w:rPr>
      </w:pPr>
      <w:r w:rsidRPr="00365B08">
        <w:rPr>
          <w:rFonts w:asciiTheme="majorHAnsi" w:hAnsiTheme="majorHAnsi" w:cstheme="majorHAnsi"/>
          <w:lang w:val="vi-VN"/>
        </w:rPr>
        <w:t>Theo quy định tại khoản 2 Điều 5 Quyết định số 12/2017/QĐ-TTg ngày 22/4/</w:t>
      </w:r>
      <w:r w:rsidR="003100BF">
        <w:rPr>
          <w:rFonts w:asciiTheme="majorHAnsi" w:hAnsiTheme="majorHAnsi" w:cstheme="majorHAnsi"/>
          <w:lang w:val="vi-VN"/>
        </w:rPr>
        <w:t>2017 của Thủ tướng Chính phủ</w:t>
      </w:r>
      <w:r w:rsidR="003100BF">
        <w:rPr>
          <w:rFonts w:asciiTheme="majorHAnsi" w:hAnsiTheme="majorHAnsi" w:cstheme="majorHAnsi"/>
        </w:rPr>
        <w:t>,</w:t>
      </w:r>
      <w:r w:rsidRPr="00365B08">
        <w:rPr>
          <w:rFonts w:asciiTheme="majorHAnsi" w:hAnsiTheme="majorHAnsi" w:cstheme="majorHAnsi"/>
          <w:lang w:val="vi-VN"/>
        </w:rPr>
        <w:t xml:space="preserve"> kế hoạch vốn đầu tư phát triển hỗ trợ</w:t>
      </w:r>
      <w:r w:rsidRPr="000428A3">
        <w:rPr>
          <w:rFonts w:asciiTheme="majorHAnsi" w:hAnsiTheme="majorHAnsi" w:cstheme="majorHAnsi"/>
          <w:lang w:val="vi-VN"/>
        </w:rPr>
        <w:t xml:space="preserve"> từ ngân sách Trung ương</w:t>
      </w:r>
      <w:r w:rsidR="00C36174">
        <w:rPr>
          <w:rFonts w:asciiTheme="majorHAnsi" w:hAnsiTheme="majorHAnsi" w:cstheme="majorHAnsi"/>
        </w:rPr>
        <w:t xml:space="preserve"> </w:t>
      </w:r>
      <w:r w:rsidRPr="000428A3">
        <w:rPr>
          <w:rFonts w:asciiTheme="majorHAnsi" w:hAnsiTheme="majorHAnsi" w:cstheme="majorHAnsi"/>
          <w:lang w:val="vi-VN"/>
        </w:rPr>
        <w:t>thực hiện Chương trình</w:t>
      </w:r>
      <w:r w:rsidR="00C36174">
        <w:rPr>
          <w:rFonts w:asciiTheme="majorHAnsi" w:hAnsiTheme="majorHAnsi" w:cstheme="majorHAnsi"/>
        </w:rPr>
        <w:t xml:space="preserve"> </w:t>
      </w:r>
      <w:r w:rsidRPr="000428A3">
        <w:rPr>
          <w:rFonts w:asciiTheme="majorHAnsi" w:hAnsiTheme="majorHAnsi" w:cstheme="majorHAnsi"/>
          <w:lang w:val="vi-VN"/>
        </w:rPr>
        <w:t xml:space="preserve">mục tiêu quốc gia xây dựng nông thôn mới </w:t>
      </w:r>
      <w:r w:rsidRPr="00365B08">
        <w:rPr>
          <w:rFonts w:asciiTheme="majorHAnsi" w:hAnsiTheme="majorHAnsi" w:cstheme="majorHAnsi"/>
          <w:lang w:val="vi-VN"/>
        </w:rPr>
        <w:t xml:space="preserve">giai đoạn 2016-2020 được phân bổ </w:t>
      </w:r>
      <w:r w:rsidRPr="000428A3">
        <w:rPr>
          <w:rFonts w:asciiTheme="majorHAnsi" w:hAnsiTheme="majorHAnsi" w:cstheme="majorHAnsi"/>
          <w:lang w:val="vi-VN"/>
        </w:rPr>
        <w:t xml:space="preserve">về </w:t>
      </w:r>
      <w:r w:rsidRPr="00365B08">
        <w:rPr>
          <w:rFonts w:asciiTheme="majorHAnsi" w:hAnsiTheme="majorHAnsi" w:cstheme="majorHAnsi"/>
          <w:lang w:val="vi-VN"/>
        </w:rPr>
        <w:t xml:space="preserve">cho các xã. </w:t>
      </w:r>
      <w:r w:rsidRPr="000428A3">
        <w:rPr>
          <w:rFonts w:asciiTheme="majorHAnsi" w:hAnsiTheme="majorHAnsi" w:cstheme="majorHAnsi"/>
          <w:lang w:val="vi-VN"/>
        </w:rPr>
        <w:t>Tuy vậy, trong g</w:t>
      </w:r>
      <w:r w:rsidRPr="00365B08">
        <w:rPr>
          <w:rFonts w:asciiTheme="majorHAnsi" w:hAnsiTheme="majorHAnsi" w:cstheme="majorHAnsi"/>
          <w:lang w:val="vi-VN"/>
        </w:rPr>
        <w:t xml:space="preserve">iai đoạn 2016-2019, </w:t>
      </w:r>
      <w:r w:rsidRPr="00365B08">
        <w:rPr>
          <w:rFonts w:asciiTheme="majorHAnsi" w:hAnsiTheme="majorHAnsi" w:cstheme="majorHAnsi"/>
          <w:lang w:val="nl-NL"/>
        </w:rPr>
        <w:t>để đảm bảo tính đồng bộ trong đầu tư</w:t>
      </w:r>
      <w:r>
        <w:rPr>
          <w:rFonts w:asciiTheme="majorHAnsi" w:hAnsiTheme="majorHAnsi" w:cstheme="majorHAnsi"/>
          <w:lang w:val="nl-NL"/>
        </w:rPr>
        <w:t xml:space="preserve"> xây dựng và khai thác vận hành</w:t>
      </w:r>
      <w:r>
        <w:rPr>
          <w:rFonts w:asciiTheme="majorHAnsi" w:hAnsiTheme="majorHAnsi" w:cstheme="majorHAnsi"/>
          <w:lang w:val="vi-VN"/>
        </w:rPr>
        <w:t>,</w:t>
      </w:r>
      <w:r w:rsidRPr="00365B08">
        <w:rPr>
          <w:rFonts w:asciiTheme="majorHAnsi" w:hAnsiTheme="majorHAnsi" w:cstheme="majorHAnsi"/>
          <w:lang w:val="nl-NL"/>
        </w:rPr>
        <w:t xml:space="preserve"> một số dự án cấp nước sinh hoạt nông thôn </w:t>
      </w:r>
      <w:r w:rsidRPr="00365B08">
        <w:rPr>
          <w:rFonts w:asciiTheme="majorHAnsi" w:hAnsiTheme="majorHAnsi" w:cstheme="majorHAnsi"/>
          <w:lang w:val="vi-VN"/>
        </w:rPr>
        <w:t xml:space="preserve">trên địa bàn tỉnh </w:t>
      </w:r>
      <w:r w:rsidRPr="00365B08">
        <w:rPr>
          <w:rFonts w:asciiTheme="majorHAnsi" w:hAnsiTheme="majorHAnsi" w:cstheme="majorHAnsi"/>
          <w:lang w:val="nl-NL"/>
        </w:rPr>
        <w:t>được giao cho Trung tâm Nước sinh hoạt và VSMT nông thôn, Công ty C</w:t>
      </w:r>
      <w:r w:rsidRPr="00365B08">
        <w:rPr>
          <w:rFonts w:asciiTheme="majorHAnsi" w:hAnsiTheme="majorHAnsi" w:cstheme="majorHAnsi"/>
          <w:lang w:val="vi-VN"/>
        </w:rPr>
        <w:t>ổ phần</w:t>
      </w:r>
      <w:r w:rsidRPr="00365B08">
        <w:rPr>
          <w:rFonts w:asciiTheme="majorHAnsi" w:hAnsiTheme="majorHAnsi" w:cstheme="majorHAnsi"/>
          <w:lang w:val="nl-NL"/>
        </w:rPr>
        <w:t xml:space="preserve"> Cấp nước Hà Tĩnh (đơn vị trực tiếp quản lý, khai thác, vận hành) làm chủ đầu tư</w:t>
      </w:r>
      <w:r w:rsidR="00AD4B06">
        <w:rPr>
          <w:rStyle w:val="FootnoteReference"/>
          <w:rFonts w:asciiTheme="majorHAnsi" w:hAnsiTheme="majorHAnsi" w:cstheme="majorHAnsi"/>
          <w:lang w:val="nl-NL"/>
        </w:rPr>
        <w:footnoteReference w:id="1"/>
      </w:r>
      <w:r w:rsidRPr="00365B08">
        <w:rPr>
          <w:rFonts w:asciiTheme="majorHAnsi" w:hAnsiTheme="majorHAnsi" w:cstheme="majorHAnsi"/>
          <w:lang w:val="nl-NL"/>
        </w:rPr>
        <w:t xml:space="preserve">. </w:t>
      </w:r>
      <w:r>
        <w:rPr>
          <w:rFonts w:asciiTheme="majorHAnsi" w:hAnsiTheme="majorHAnsi" w:cstheme="majorHAnsi"/>
          <w:lang w:val="vi-VN"/>
        </w:rPr>
        <w:t xml:space="preserve">Việc này Kiểm toán Nhà nước kết luận </w:t>
      </w:r>
      <w:r w:rsidRPr="00365B08">
        <w:rPr>
          <w:rFonts w:asciiTheme="majorHAnsi" w:hAnsiTheme="majorHAnsi" w:cstheme="majorHAnsi"/>
          <w:lang w:val="nl-NL"/>
        </w:rPr>
        <w:t>là chưa phù hợp với Quyết định số 12/QĐ-TTg ngày 22/4/2017 của Thủ tướng Chính ph</w:t>
      </w:r>
      <w:r w:rsidRPr="00365B08">
        <w:rPr>
          <w:rFonts w:asciiTheme="majorHAnsi" w:hAnsiTheme="majorHAnsi" w:cstheme="majorHAnsi"/>
          <w:lang w:val="vi-VN"/>
        </w:rPr>
        <w:t>ủ,</w:t>
      </w:r>
      <w:r w:rsidRPr="00365B08">
        <w:rPr>
          <w:rFonts w:asciiTheme="majorHAnsi" w:hAnsiTheme="majorHAnsi" w:cstheme="majorHAnsi"/>
          <w:lang w:val="nl-NL"/>
        </w:rPr>
        <w:t xml:space="preserve"> yêu </w:t>
      </w:r>
      <w:r w:rsidRPr="00365B08">
        <w:rPr>
          <w:rFonts w:asciiTheme="majorHAnsi" w:hAnsiTheme="majorHAnsi" w:cstheme="majorHAnsi"/>
          <w:lang w:val="vi-VN"/>
        </w:rPr>
        <w:t xml:space="preserve">cầu </w:t>
      </w:r>
      <w:r w:rsidRPr="00365B08">
        <w:rPr>
          <w:rFonts w:asciiTheme="majorHAnsi" w:hAnsiTheme="majorHAnsi" w:cstheme="majorHAnsi"/>
          <w:lang w:val="nl-NL"/>
        </w:rPr>
        <w:t>chấn chỉnh, khắc phục các tồn tại này</w:t>
      </w:r>
      <w:r>
        <w:rPr>
          <w:rFonts w:asciiTheme="majorHAnsi" w:hAnsiTheme="majorHAnsi" w:cstheme="majorHAnsi"/>
          <w:lang w:val="vi-VN"/>
        </w:rPr>
        <w:t xml:space="preserve"> (</w:t>
      </w:r>
      <w:r w:rsidRPr="00365B08">
        <w:rPr>
          <w:rFonts w:asciiTheme="majorHAnsi" w:hAnsiTheme="majorHAnsi" w:cstheme="majorHAnsi"/>
          <w:lang w:val="nl-NL"/>
        </w:rPr>
        <w:t>Thông báo số 255/TB-KTNN ngày 08/7/2019</w:t>
      </w:r>
      <w:r>
        <w:rPr>
          <w:rFonts w:asciiTheme="majorHAnsi" w:hAnsiTheme="majorHAnsi" w:cstheme="majorHAnsi"/>
          <w:lang w:val="vi-VN"/>
        </w:rPr>
        <w:t>)</w:t>
      </w:r>
      <w:r w:rsidRPr="00365B08">
        <w:rPr>
          <w:rFonts w:asciiTheme="majorHAnsi" w:hAnsiTheme="majorHAnsi" w:cstheme="majorHAnsi"/>
          <w:lang w:val="nl-NL"/>
        </w:rPr>
        <w:t xml:space="preserve">. </w:t>
      </w:r>
    </w:p>
    <w:p w14:paraId="44413A08" w14:textId="77777777" w:rsidR="005704F3" w:rsidRDefault="005704F3" w:rsidP="005704F3">
      <w:pPr>
        <w:spacing w:before="60" w:after="60"/>
        <w:ind w:firstLine="720"/>
        <w:jc w:val="both"/>
        <w:rPr>
          <w:rFonts w:asciiTheme="majorHAnsi" w:hAnsiTheme="majorHAnsi" w:cstheme="majorHAnsi"/>
          <w:lang w:val="vi-VN"/>
        </w:rPr>
      </w:pPr>
      <w:r>
        <w:rPr>
          <w:rFonts w:asciiTheme="majorHAnsi" w:hAnsiTheme="majorHAnsi" w:cstheme="majorHAnsi"/>
          <w:lang w:val="nl-NL"/>
        </w:rPr>
        <w:t>Như vậy, nguồn vốn hỗ trợ từ ngân sách Trung ương thực hiện nội dung nước sạch và vệ sinh môi trường nông thôn trong Chương trình MTQG xây dựng nông thôn mới năm 2020 phải phân bổ về cho xã để đảm bảo theo đúng quy định của Thủ tướng Chính phủ</w:t>
      </w:r>
      <w:r w:rsidR="0017344C">
        <w:rPr>
          <w:rFonts w:asciiTheme="majorHAnsi" w:hAnsiTheme="majorHAnsi" w:cstheme="majorHAnsi"/>
          <w:lang w:val="nl-NL"/>
        </w:rPr>
        <w:t xml:space="preserve"> và kết luận của Kiểm toán Nhà nước</w:t>
      </w:r>
      <w:r>
        <w:rPr>
          <w:rFonts w:asciiTheme="majorHAnsi" w:hAnsiTheme="majorHAnsi" w:cstheme="majorHAnsi"/>
          <w:lang w:val="nl-NL"/>
        </w:rPr>
        <w:t>.</w:t>
      </w:r>
    </w:p>
    <w:p w14:paraId="155C29EA" w14:textId="77777777" w:rsidR="005704F3" w:rsidRDefault="005704F3" w:rsidP="005704F3">
      <w:pPr>
        <w:spacing w:before="60" w:after="60"/>
        <w:jc w:val="both"/>
        <w:rPr>
          <w:rFonts w:asciiTheme="majorHAnsi" w:hAnsiTheme="majorHAnsi" w:cstheme="majorHAnsi"/>
          <w:lang w:val="vi-VN"/>
        </w:rPr>
      </w:pPr>
      <w:r>
        <w:rPr>
          <w:rFonts w:asciiTheme="majorHAnsi" w:hAnsiTheme="majorHAnsi" w:cstheme="majorHAnsi"/>
          <w:lang w:val="vi-VN"/>
        </w:rPr>
        <w:tab/>
      </w:r>
      <w:r w:rsidR="0017344C" w:rsidRPr="00C65252">
        <w:rPr>
          <w:rFonts w:asciiTheme="majorHAnsi" w:hAnsiTheme="majorHAnsi" w:cstheme="majorHAnsi"/>
          <w:lang w:val="vi-VN"/>
        </w:rPr>
        <w:t>T</w:t>
      </w:r>
      <w:r>
        <w:rPr>
          <w:rFonts w:asciiTheme="majorHAnsi" w:hAnsiTheme="majorHAnsi" w:cstheme="majorHAnsi"/>
          <w:lang w:val="vi-VN"/>
        </w:rPr>
        <w:t xml:space="preserve">heo </w:t>
      </w:r>
      <w:r w:rsidRPr="00365B08">
        <w:rPr>
          <w:rFonts w:asciiTheme="majorHAnsi" w:hAnsiTheme="majorHAnsi" w:cstheme="majorHAnsi"/>
          <w:lang w:val="vi-VN"/>
        </w:rPr>
        <w:t>khoản 9 Điều 4 Luật Xây dựng</w:t>
      </w:r>
      <w:r w:rsidR="0017344C" w:rsidRPr="00C65252">
        <w:rPr>
          <w:rFonts w:asciiTheme="majorHAnsi" w:hAnsiTheme="majorHAnsi" w:cstheme="majorHAnsi"/>
          <w:lang w:val="vi-VN"/>
        </w:rPr>
        <w:t xml:space="preserve"> năm 2014</w:t>
      </w:r>
      <w:r w:rsidRPr="00365B08">
        <w:rPr>
          <w:rFonts w:asciiTheme="majorHAnsi" w:hAnsiTheme="majorHAnsi" w:cstheme="majorHAnsi"/>
          <w:lang w:val="vi-VN"/>
        </w:rPr>
        <w:t xml:space="preserve"> thì chủ đầu tư là cơ quan, tổ chức, cá nhân sở hữu vốn, vay vốn hoặc được giao trực tiếp quản lý, sử dụng vốn để thực hiện hoạt động đầu tư xây dựng.</w:t>
      </w:r>
      <w:r w:rsidRPr="000428A3">
        <w:rPr>
          <w:rFonts w:asciiTheme="majorHAnsi" w:hAnsiTheme="majorHAnsi" w:cstheme="majorHAnsi"/>
          <w:lang w:val="vi-VN"/>
        </w:rPr>
        <w:t xml:space="preserve"> Hơn nữa, trong quá trì</w:t>
      </w:r>
      <w:r w:rsidR="003100BF">
        <w:rPr>
          <w:rFonts w:asciiTheme="majorHAnsi" w:hAnsiTheme="majorHAnsi" w:cstheme="majorHAnsi"/>
          <w:lang w:val="vi-VN"/>
        </w:rPr>
        <w:t xml:space="preserve">nh thực hiện Chương trình </w:t>
      </w:r>
      <w:r w:rsidRPr="000428A3">
        <w:rPr>
          <w:rFonts w:asciiTheme="majorHAnsi" w:hAnsiTheme="majorHAnsi" w:cstheme="majorHAnsi"/>
          <w:lang w:val="vi-VN"/>
        </w:rPr>
        <w:t xml:space="preserve">thời gian qua, </w:t>
      </w:r>
      <w:r w:rsidRPr="00F3098D">
        <w:rPr>
          <w:rFonts w:asciiTheme="majorHAnsi" w:hAnsiTheme="majorHAnsi" w:cstheme="majorHAnsi"/>
          <w:lang w:val="nl-NL"/>
        </w:rPr>
        <w:t xml:space="preserve">bình quân mỗi xã đầu tư từ 3-5 hạng mục công trình/năm; nhờ đó kiến thức về quản lý đầu tư xây dựng cơ bản tại các địa phương đã được nâng lên đáng kể. </w:t>
      </w:r>
      <w:r>
        <w:rPr>
          <w:rFonts w:asciiTheme="majorHAnsi" w:hAnsiTheme="majorHAnsi" w:cstheme="majorHAnsi"/>
          <w:lang w:val="vi-VN"/>
        </w:rPr>
        <w:t xml:space="preserve">Do </w:t>
      </w:r>
      <w:r w:rsidRPr="00F3098D">
        <w:rPr>
          <w:rFonts w:asciiTheme="majorHAnsi" w:hAnsiTheme="majorHAnsi" w:cstheme="majorHAnsi"/>
          <w:lang w:val="vi-VN"/>
        </w:rPr>
        <w:t xml:space="preserve">vậy, để thực hiện đúng các quy định hiện hành về </w:t>
      </w:r>
      <w:r w:rsidRPr="000428A3">
        <w:rPr>
          <w:rFonts w:asciiTheme="majorHAnsi" w:hAnsiTheme="majorHAnsi" w:cstheme="majorHAnsi"/>
          <w:lang w:val="nl-NL"/>
        </w:rPr>
        <w:t xml:space="preserve">sử dụng nguồn vốn, </w:t>
      </w:r>
      <w:r w:rsidRPr="00F3098D">
        <w:rPr>
          <w:rFonts w:asciiTheme="majorHAnsi" w:hAnsiTheme="majorHAnsi" w:cstheme="majorHAnsi"/>
          <w:lang w:val="vi-VN"/>
        </w:rPr>
        <w:t xml:space="preserve">quản lý, đầu tư xây dựng cơ bản và tuân thủ kết luận của Kiểm toán </w:t>
      </w:r>
      <w:r w:rsidR="0017344C" w:rsidRPr="00C65252">
        <w:rPr>
          <w:rFonts w:asciiTheme="majorHAnsi" w:hAnsiTheme="majorHAnsi" w:cstheme="majorHAnsi"/>
          <w:lang w:val="nl-NL"/>
        </w:rPr>
        <w:t>N</w:t>
      </w:r>
      <w:r w:rsidR="0017344C" w:rsidRPr="00F3098D">
        <w:rPr>
          <w:rFonts w:asciiTheme="majorHAnsi" w:hAnsiTheme="majorHAnsi" w:cstheme="majorHAnsi"/>
          <w:lang w:val="vi-VN"/>
        </w:rPr>
        <w:t xml:space="preserve">hà </w:t>
      </w:r>
      <w:r w:rsidRPr="00F3098D">
        <w:rPr>
          <w:rFonts w:asciiTheme="majorHAnsi" w:hAnsiTheme="majorHAnsi" w:cstheme="majorHAnsi"/>
          <w:lang w:val="vi-VN"/>
        </w:rPr>
        <w:t xml:space="preserve">nước, việc </w:t>
      </w:r>
      <w:r>
        <w:rPr>
          <w:rFonts w:asciiTheme="majorHAnsi" w:hAnsiTheme="majorHAnsi" w:cstheme="majorHAnsi"/>
          <w:lang w:val="vi-VN"/>
        </w:rPr>
        <w:t xml:space="preserve">phân bổ nguồn vốn </w:t>
      </w:r>
      <w:r w:rsidR="003100BF">
        <w:rPr>
          <w:rFonts w:asciiTheme="majorHAnsi" w:hAnsiTheme="majorHAnsi" w:cstheme="majorHAnsi"/>
          <w:lang w:val="vi-VN"/>
        </w:rPr>
        <w:t xml:space="preserve">Chương trình MTQG xây dựng </w:t>
      </w:r>
      <w:r w:rsidR="00B40E2A">
        <w:rPr>
          <w:rFonts w:asciiTheme="majorHAnsi" w:hAnsiTheme="majorHAnsi" w:cstheme="majorHAnsi"/>
        </w:rPr>
        <w:t>N</w:t>
      </w:r>
      <w:r>
        <w:rPr>
          <w:rFonts w:asciiTheme="majorHAnsi" w:hAnsiTheme="majorHAnsi" w:cstheme="majorHAnsi"/>
          <w:lang w:val="vi-VN"/>
        </w:rPr>
        <w:t>ông thôn mới</w:t>
      </w:r>
      <w:r w:rsidRPr="00F3098D">
        <w:rPr>
          <w:rFonts w:asciiTheme="majorHAnsi" w:hAnsiTheme="majorHAnsi" w:cstheme="majorHAnsi"/>
          <w:lang w:val="vi-VN"/>
        </w:rPr>
        <w:t xml:space="preserve"> năm 2020 cho cấp xã và </w:t>
      </w:r>
      <w:r>
        <w:rPr>
          <w:rFonts w:asciiTheme="majorHAnsi" w:hAnsiTheme="majorHAnsi" w:cstheme="majorHAnsi"/>
          <w:lang w:val="vi-VN"/>
        </w:rPr>
        <w:t>giao UBND cấp xã làm chủ đầu tư (</w:t>
      </w:r>
      <w:r w:rsidRPr="00F3098D">
        <w:rPr>
          <w:rFonts w:asciiTheme="majorHAnsi" w:hAnsiTheme="majorHAnsi" w:cstheme="majorHAnsi"/>
          <w:lang w:val="vi-VN"/>
        </w:rPr>
        <w:t>đơn vị trực tiếp quản lý, sử dụng vốn để thực hiện hoạt động đầu tư xây dựng</w:t>
      </w:r>
      <w:r>
        <w:rPr>
          <w:rFonts w:asciiTheme="majorHAnsi" w:hAnsiTheme="majorHAnsi" w:cstheme="majorHAnsi"/>
          <w:i/>
          <w:lang w:val="vi-VN"/>
        </w:rPr>
        <w:t xml:space="preserve">) </w:t>
      </w:r>
      <w:r>
        <w:rPr>
          <w:rFonts w:asciiTheme="majorHAnsi" w:hAnsiTheme="majorHAnsi" w:cstheme="majorHAnsi"/>
          <w:lang w:val="vi-VN"/>
        </w:rPr>
        <w:t>là phù hợp.</w:t>
      </w:r>
    </w:p>
    <w:p w14:paraId="0BC0A3CB" w14:textId="77777777" w:rsidR="007F26B0" w:rsidRDefault="005704F3">
      <w:pPr>
        <w:spacing w:before="60" w:after="60"/>
        <w:ind w:firstLine="720"/>
        <w:jc w:val="both"/>
        <w:rPr>
          <w:rFonts w:asciiTheme="majorHAnsi" w:hAnsiTheme="majorHAnsi" w:cstheme="majorHAnsi"/>
        </w:rPr>
      </w:pPr>
      <w:r w:rsidRPr="00F3098D">
        <w:rPr>
          <w:rFonts w:asciiTheme="majorHAnsi" w:hAnsiTheme="majorHAnsi" w:cstheme="majorHAnsi"/>
          <w:lang w:val="nl-NL"/>
        </w:rPr>
        <w:lastRenderedPageBreak/>
        <w:t>Riêng đ</w:t>
      </w:r>
      <w:r w:rsidRPr="00F3098D">
        <w:rPr>
          <w:rFonts w:asciiTheme="majorHAnsi" w:hAnsiTheme="majorHAnsi" w:cstheme="majorHAnsi"/>
          <w:lang w:val="vi-VN"/>
        </w:rPr>
        <w:t xml:space="preserve">ối với các dự án có tổng mức đầu tư từ 15,0 tỷ đồng trở lên </w:t>
      </w:r>
      <w:r w:rsidR="0017344C" w:rsidRPr="00C65252">
        <w:rPr>
          <w:rFonts w:asciiTheme="majorHAnsi" w:hAnsiTheme="majorHAnsi" w:cstheme="majorHAnsi"/>
          <w:lang w:val="vi-VN"/>
        </w:rPr>
        <w:t>(</w:t>
      </w:r>
      <w:r w:rsidRPr="00F3098D">
        <w:rPr>
          <w:rFonts w:asciiTheme="majorHAnsi" w:hAnsiTheme="majorHAnsi" w:cstheme="majorHAnsi"/>
          <w:lang w:val="vi-VN"/>
        </w:rPr>
        <w:t>hoặc chủ đầu tư không đủ năng lực quản lý thực hiện dự án</w:t>
      </w:r>
      <w:r w:rsidR="0017344C" w:rsidRPr="00C65252">
        <w:rPr>
          <w:rFonts w:asciiTheme="majorHAnsi" w:hAnsiTheme="majorHAnsi" w:cstheme="majorHAnsi"/>
          <w:lang w:val="vi-VN"/>
        </w:rPr>
        <w:t>)</w:t>
      </w:r>
      <w:r w:rsidRPr="00F3098D">
        <w:rPr>
          <w:rFonts w:asciiTheme="majorHAnsi" w:hAnsiTheme="majorHAnsi" w:cstheme="majorHAnsi"/>
          <w:lang w:val="vi-VN"/>
        </w:rPr>
        <w:t xml:space="preserve"> thì thực hiện ủy thác quản lý dự án cho Ban quản lý dự án chuyên ngành hoặc Ban quản lý dự án khu vực </w:t>
      </w:r>
      <w:r w:rsidRPr="000428A3">
        <w:rPr>
          <w:rFonts w:asciiTheme="majorHAnsi" w:hAnsiTheme="majorHAnsi" w:cstheme="majorHAnsi"/>
          <w:lang w:val="vi-VN"/>
        </w:rPr>
        <w:t>(</w:t>
      </w:r>
      <w:r w:rsidRPr="00F3098D">
        <w:rPr>
          <w:rFonts w:asciiTheme="majorHAnsi" w:hAnsiTheme="majorHAnsi" w:cstheme="majorHAnsi"/>
          <w:lang w:val="vi-VN"/>
        </w:rPr>
        <w:t>theo quy định tại Nghị định 59/2015/NĐ-CP ngày 18/2015 và Nghị định 42/2017/NĐ-CP ngày 05/4/2017 của Chính phủ; Thông tư số 16/2016/TT-BXD ngày 30/6/2016 của Bộ Xây dựng</w:t>
      </w:r>
      <w:r w:rsidRPr="000428A3">
        <w:rPr>
          <w:rFonts w:asciiTheme="majorHAnsi" w:hAnsiTheme="majorHAnsi" w:cstheme="majorHAnsi"/>
          <w:lang w:val="vi-VN"/>
        </w:rPr>
        <w:t>)</w:t>
      </w:r>
      <w:r w:rsidRPr="00F3098D">
        <w:rPr>
          <w:rFonts w:asciiTheme="majorHAnsi" w:hAnsiTheme="majorHAnsi" w:cstheme="majorHAnsi"/>
          <w:lang w:val="vi-VN"/>
        </w:rPr>
        <w:t>.</w:t>
      </w:r>
    </w:p>
    <w:p w14:paraId="7858558B" w14:textId="77777777" w:rsidR="00261C38" w:rsidRPr="00261C38" w:rsidRDefault="00261C38">
      <w:pPr>
        <w:spacing w:before="60" w:after="60"/>
        <w:ind w:firstLine="720"/>
        <w:jc w:val="both"/>
        <w:rPr>
          <w:rFonts w:asciiTheme="majorHAnsi" w:hAnsiTheme="majorHAnsi" w:cstheme="majorHAnsi"/>
        </w:rPr>
      </w:pPr>
      <w:r>
        <w:rPr>
          <w:rFonts w:asciiTheme="majorHAnsi" w:hAnsiTheme="majorHAnsi" w:cstheme="majorHAnsi"/>
        </w:rPr>
        <w:t>Để các dự án phát huy hiệu quả trong thực tế, việc vận hành, khai thác sẽ được giao cho Trung tâm Nước sạch và VSMT nông thôn sau khi dự án hoàn thành, bàn giao đi vào hoạt động.</w:t>
      </w:r>
    </w:p>
    <w:p w14:paraId="6FD6BB8A" w14:textId="77777777" w:rsidR="00080840" w:rsidRPr="00CA63EC" w:rsidRDefault="00B40E2A" w:rsidP="00080840">
      <w:pPr>
        <w:spacing w:before="60" w:after="60"/>
        <w:ind w:firstLine="709"/>
        <w:jc w:val="both"/>
        <w:rPr>
          <w:rFonts w:asciiTheme="majorHAnsi" w:hAnsiTheme="majorHAnsi" w:cstheme="majorHAnsi"/>
          <w:color w:val="000000"/>
          <w:lang w:val="vi-VN" w:eastAsia="vi-VN"/>
        </w:rPr>
      </w:pPr>
      <w:r>
        <w:rPr>
          <w:rFonts w:asciiTheme="majorHAnsi" w:hAnsiTheme="majorHAnsi" w:cstheme="majorHAnsi"/>
          <w:color w:val="000000"/>
          <w:lang w:val="vi-VN" w:eastAsia="vi-VN"/>
        </w:rPr>
        <w:t>5</w:t>
      </w:r>
      <w:r>
        <w:rPr>
          <w:rFonts w:asciiTheme="majorHAnsi" w:hAnsiTheme="majorHAnsi" w:cstheme="majorHAnsi"/>
          <w:color w:val="000000"/>
          <w:lang w:eastAsia="vi-VN"/>
        </w:rPr>
        <w:t>.</w:t>
      </w:r>
      <w:r w:rsidR="00080840" w:rsidRPr="00CA63EC">
        <w:rPr>
          <w:rFonts w:asciiTheme="majorHAnsi" w:hAnsiTheme="majorHAnsi" w:cstheme="majorHAnsi"/>
          <w:color w:val="000000"/>
          <w:lang w:val="vi-VN" w:eastAsia="vi-VN"/>
        </w:rPr>
        <w:t xml:space="preserve"> Đối với đề nghị xem xét bố trí một số công trình cấp nước sinh hoạt cấp bách, cần thiết được cử tri kiến nghị nhiều lần nhưng chưa được đầu tư, sửa chữa và đề xuất phân bổ chi tiết số kin</w:t>
      </w:r>
      <w:r>
        <w:rPr>
          <w:rFonts w:asciiTheme="majorHAnsi" w:hAnsiTheme="majorHAnsi" w:cstheme="majorHAnsi"/>
          <w:color w:val="000000"/>
          <w:lang w:val="vi-VN" w:eastAsia="vi-VN"/>
        </w:rPr>
        <w:t xml:space="preserve">h phí 32.020 triệu đồng vốn </w:t>
      </w:r>
      <w:r>
        <w:rPr>
          <w:rFonts w:asciiTheme="majorHAnsi" w:hAnsiTheme="majorHAnsi" w:cstheme="majorHAnsi"/>
          <w:color w:val="000000"/>
          <w:lang w:eastAsia="vi-VN"/>
        </w:rPr>
        <w:t>đầu tư</w:t>
      </w:r>
      <w:r w:rsidR="00351045">
        <w:rPr>
          <w:rFonts w:asciiTheme="majorHAnsi" w:hAnsiTheme="majorHAnsi" w:cstheme="majorHAnsi"/>
          <w:color w:val="000000"/>
          <w:lang w:eastAsia="vi-VN"/>
        </w:rPr>
        <w:t xml:space="preserve"> phát triển</w:t>
      </w:r>
      <w:r w:rsidR="00080840" w:rsidRPr="00CA63EC">
        <w:rPr>
          <w:rFonts w:asciiTheme="majorHAnsi" w:hAnsiTheme="majorHAnsi" w:cstheme="majorHAnsi"/>
          <w:color w:val="000000"/>
          <w:lang w:val="vi-VN" w:eastAsia="vi-VN"/>
        </w:rPr>
        <w:t xml:space="preserve"> thuộc Chương trình MTQG xây dựng Nông thôn mới:</w:t>
      </w:r>
    </w:p>
    <w:p w14:paraId="1BE59BB0" w14:textId="77777777" w:rsidR="00080840" w:rsidRPr="00B40E2A" w:rsidRDefault="00B40E2A" w:rsidP="00080840">
      <w:pPr>
        <w:spacing w:before="60" w:after="60"/>
        <w:ind w:firstLine="709"/>
        <w:jc w:val="both"/>
        <w:rPr>
          <w:rFonts w:asciiTheme="majorHAnsi" w:hAnsiTheme="majorHAnsi" w:cstheme="majorHAnsi"/>
          <w:i/>
          <w:color w:val="000000"/>
          <w:lang w:eastAsia="vi-VN"/>
        </w:rPr>
      </w:pPr>
      <w:r>
        <w:rPr>
          <w:rFonts w:asciiTheme="majorHAnsi" w:hAnsiTheme="majorHAnsi" w:cstheme="majorHAnsi"/>
          <w:i/>
          <w:color w:val="000000"/>
          <w:lang w:val="vi-VN" w:eastAsia="vi-VN"/>
        </w:rPr>
        <w:t>a</w:t>
      </w:r>
      <w:r>
        <w:rPr>
          <w:rFonts w:asciiTheme="majorHAnsi" w:hAnsiTheme="majorHAnsi" w:cstheme="majorHAnsi"/>
          <w:i/>
          <w:color w:val="000000"/>
          <w:lang w:eastAsia="vi-VN"/>
        </w:rPr>
        <w:t>)</w:t>
      </w:r>
      <w:r w:rsidR="00080840" w:rsidRPr="00CA63EC">
        <w:rPr>
          <w:rFonts w:asciiTheme="majorHAnsi" w:hAnsiTheme="majorHAnsi" w:cstheme="majorHAnsi"/>
          <w:i/>
          <w:color w:val="000000"/>
          <w:lang w:val="vi-VN" w:eastAsia="vi-VN"/>
        </w:rPr>
        <w:t xml:space="preserve"> Rà soát các công trình cấp n</w:t>
      </w:r>
      <w:r>
        <w:rPr>
          <w:rFonts w:asciiTheme="majorHAnsi" w:hAnsiTheme="majorHAnsi" w:cstheme="majorHAnsi"/>
          <w:i/>
          <w:color w:val="000000"/>
          <w:lang w:val="vi-VN" w:eastAsia="vi-VN"/>
        </w:rPr>
        <w:t>ước sinh hoạt trên địa bàn tỉnh</w:t>
      </w:r>
      <w:r>
        <w:rPr>
          <w:rFonts w:asciiTheme="majorHAnsi" w:hAnsiTheme="majorHAnsi" w:cstheme="majorHAnsi"/>
          <w:i/>
          <w:color w:val="000000"/>
          <w:lang w:eastAsia="vi-VN"/>
        </w:rPr>
        <w:t>:</w:t>
      </w:r>
    </w:p>
    <w:p w14:paraId="529280D5" w14:textId="77777777" w:rsidR="00080840" w:rsidRPr="00CA63EC" w:rsidRDefault="00080840" w:rsidP="00080840">
      <w:pPr>
        <w:spacing w:before="60" w:after="60"/>
        <w:ind w:firstLine="709"/>
        <w:jc w:val="both"/>
        <w:rPr>
          <w:rFonts w:asciiTheme="majorHAnsi" w:hAnsiTheme="majorHAnsi" w:cstheme="majorHAnsi"/>
          <w:lang w:val="vi-VN"/>
        </w:rPr>
      </w:pPr>
      <w:r w:rsidRPr="00F3098D">
        <w:rPr>
          <w:rFonts w:asciiTheme="majorHAnsi" w:hAnsiTheme="majorHAnsi" w:cstheme="majorHAnsi"/>
          <w:lang w:val="vi-VN"/>
        </w:rPr>
        <w:t xml:space="preserve">- Qua rà soát đến thời điểm hiện nay, </w:t>
      </w:r>
      <w:r w:rsidR="00BE6E76">
        <w:rPr>
          <w:rFonts w:asciiTheme="majorHAnsi" w:hAnsiTheme="majorHAnsi" w:cstheme="majorHAnsi"/>
          <w:lang w:val="vi-VN"/>
        </w:rPr>
        <w:t xml:space="preserve">UBND tỉnh </w:t>
      </w:r>
      <w:r w:rsidRPr="00F3098D">
        <w:rPr>
          <w:rFonts w:asciiTheme="majorHAnsi" w:hAnsiTheme="majorHAnsi" w:cstheme="majorHAnsi"/>
          <w:lang w:val="vi-VN"/>
        </w:rPr>
        <w:t>nhận được đề xuất nhu cầu đầu tư 10 công trình cấp nước (</w:t>
      </w:r>
      <w:r w:rsidRPr="00080840">
        <w:rPr>
          <w:rFonts w:asciiTheme="majorHAnsi" w:hAnsiTheme="majorHAnsi" w:cstheme="majorHAnsi"/>
          <w:i/>
          <w:lang w:val="vi-VN"/>
        </w:rPr>
        <w:t>bao gồm cả 06 công trình theo đề nghị Ban Kinh tế - ngân s</w:t>
      </w:r>
      <w:r w:rsidR="00B40E2A">
        <w:rPr>
          <w:rFonts w:asciiTheme="majorHAnsi" w:hAnsiTheme="majorHAnsi" w:cstheme="majorHAnsi"/>
          <w:i/>
          <w:lang w:val="vi-VN"/>
        </w:rPr>
        <w:t xml:space="preserve">ách Hội đồng nhân dân tỉnh tại </w:t>
      </w:r>
      <w:r w:rsidR="00B40E2A">
        <w:rPr>
          <w:rFonts w:asciiTheme="majorHAnsi" w:hAnsiTheme="majorHAnsi" w:cstheme="majorHAnsi"/>
          <w:i/>
        </w:rPr>
        <w:t>V</w:t>
      </w:r>
      <w:r w:rsidRPr="00080840">
        <w:rPr>
          <w:rFonts w:asciiTheme="majorHAnsi" w:hAnsiTheme="majorHAnsi" w:cstheme="majorHAnsi"/>
          <w:i/>
          <w:lang w:val="vi-VN"/>
        </w:rPr>
        <w:t>ăn bản số 118/BC-HĐND ngày 23/3/2020</w:t>
      </w:r>
      <w:r w:rsidR="00BE6E76">
        <w:rPr>
          <w:rFonts w:asciiTheme="majorHAnsi" w:hAnsiTheme="majorHAnsi" w:cstheme="majorHAnsi"/>
          <w:lang w:val="vi-VN"/>
        </w:rPr>
        <w:t>), g</w:t>
      </w:r>
      <w:r w:rsidRPr="00F3098D">
        <w:rPr>
          <w:rFonts w:asciiTheme="majorHAnsi" w:hAnsiTheme="majorHAnsi" w:cstheme="majorHAnsi"/>
          <w:lang w:val="vi-VN"/>
        </w:rPr>
        <w:t>ồm: (1) Thay thế nguồn cấp nước thô cho nhà máy cấp nước Bắc Thạch Hà; (2) Mở rộng nhà máy nước Thạch Bằng cấp</w:t>
      </w:r>
      <w:r w:rsidRPr="00CA63EC">
        <w:rPr>
          <w:rFonts w:asciiTheme="majorHAnsi" w:hAnsiTheme="majorHAnsi" w:cstheme="majorHAnsi"/>
          <w:lang w:val="vi-VN"/>
        </w:rPr>
        <w:t xml:space="preserve"> cho xã Tân Lộc (giai đoạn 2); (3) Mở rộng, nâng cấp, sửa chữa hệ thống mạng lưới công trình cấp nước Thiên Lộc; (4) Mở rộng, nâng cấp, sửa chữa hệ thống mạng lưới công trình cấp nước sinh hoạt Khánh Lộc</w:t>
      </w:r>
      <w:r w:rsidR="00C36174">
        <w:rPr>
          <w:rFonts w:asciiTheme="majorHAnsi" w:hAnsiTheme="majorHAnsi" w:cstheme="majorHAnsi"/>
        </w:rPr>
        <w:t xml:space="preserve"> (nay là xã  Khánh Vĩnh Yên)</w:t>
      </w:r>
      <w:r w:rsidRPr="00CA63EC">
        <w:rPr>
          <w:rFonts w:asciiTheme="majorHAnsi" w:hAnsiTheme="majorHAnsi" w:cstheme="majorHAnsi"/>
          <w:lang w:val="vi-VN"/>
        </w:rPr>
        <w:t xml:space="preserve">; (5) Nhà máy nước Vũ Quang; (6) Nhà máy nước Cẩm Lạc; (7) Nhà máy nước Thạch Lạc; (8) Mở rộng nhà máy nước Bắc Cẩm Xuyên cấp nước cho xã Cẩm Quang, huyện Cẩm Xuyên; (9) Sửa chữa, nâng cấp công trình cấp nước sinh hoạt Động Tranh, xã Kỳ Nam, thị xã Kỳ Anh; (10) Hệ thống cấp nước sinh hoạt trên địa bàn thị xã Kỳ Anh. </w:t>
      </w:r>
    </w:p>
    <w:p w14:paraId="596559AC" w14:textId="77777777" w:rsidR="00080840" w:rsidRPr="00CA63EC" w:rsidRDefault="00080840" w:rsidP="00080840">
      <w:pPr>
        <w:spacing w:before="60" w:after="60"/>
        <w:ind w:firstLine="720"/>
        <w:jc w:val="both"/>
        <w:rPr>
          <w:rFonts w:asciiTheme="majorHAnsi" w:hAnsiTheme="majorHAnsi" w:cstheme="majorHAnsi"/>
          <w:lang w:val="vi-VN"/>
        </w:rPr>
      </w:pPr>
      <w:r w:rsidRPr="00CA63EC">
        <w:rPr>
          <w:rFonts w:asciiTheme="majorHAnsi" w:hAnsiTheme="majorHAnsi" w:cstheme="majorHAnsi"/>
          <w:lang w:val="vi-VN"/>
        </w:rPr>
        <w:t>Trong số 10 công trình nói trên, có 01 công trình không thuộc đối tượng đầu tư từ Chương trình (Hệ thống cấp nước sinh hoạt trên địa bàn thị xã Kỳ Anh - cấp nước đô thị); 01 công trình không phù hợp khả năng cân đối nguồn vốn (Nhà máy nước Cẩm Lạc, dự kiến tổng mức đầu tư trên 100 tỷ đồng); 01 công trình địa phương chưa xác định được nguồn nước thô (Nhà máy nước Thạch Lạc); 01 công trình đã được dự kiến đầu tư từ nguồn vốn của Công ty Cổ phần Cấp nước Hà Tĩnh (Nhà máy nước Vũ Quang).</w:t>
      </w:r>
    </w:p>
    <w:p w14:paraId="202E03B6" w14:textId="77777777" w:rsidR="00080840" w:rsidRPr="00CA63EC" w:rsidRDefault="00080840" w:rsidP="00080840">
      <w:pPr>
        <w:spacing w:before="60" w:after="60"/>
        <w:ind w:firstLine="720"/>
        <w:jc w:val="both"/>
        <w:rPr>
          <w:rFonts w:asciiTheme="majorHAnsi" w:hAnsiTheme="majorHAnsi" w:cstheme="majorHAnsi"/>
          <w:lang w:val="vi-VN"/>
        </w:rPr>
      </w:pPr>
      <w:r w:rsidRPr="00F3098D">
        <w:rPr>
          <w:rFonts w:asciiTheme="majorHAnsi" w:hAnsiTheme="majorHAnsi" w:cstheme="majorHAnsi"/>
          <w:lang w:val="vi-VN"/>
        </w:rPr>
        <w:t>06 công trình còn lại</w:t>
      </w:r>
      <w:r w:rsidRPr="00F3098D">
        <w:rPr>
          <w:rStyle w:val="FootnoteReference"/>
          <w:rFonts w:asciiTheme="majorHAnsi" w:hAnsiTheme="majorHAnsi" w:cstheme="majorHAnsi"/>
          <w:lang w:val="vi-VN"/>
        </w:rPr>
        <w:footnoteReference w:id="2"/>
      </w:r>
      <w:r w:rsidRPr="00F3098D">
        <w:rPr>
          <w:rFonts w:asciiTheme="majorHAnsi" w:hAnsiTheme="majorHAnsi" w:cstheme="majorHAnsi"/>
          <w:lang w:val="vi-VN"/>
        </w:rPr>
        <w:t xml:space="preserve">, </w:t>
      </w:r>
      <w:r>
        <w:rPr>
          <w:rFonts w:asciiTheme="majorHAnsi" w:hAnsiTheme="majorHAnsi" w:cstheme="majorHAnsi"/>
          <w:lang w:val="vi-VN"/>
        </w:rPr>
        <w:t>q</w:t>
      </w:r>
      <w:r w:rsidRPr="00F3098D">
        <w:rPr>
          <w:rFonts w:asciiTheme="majorHAnsi" w:hAnsiTheme="majorHAnsi" w:cstheme="majorHAnsi"/>
          <w:lang w:val="vi-VN"/>
        </w:rPr>
        <w:t xml:space="preserve">ua báo cáo của </w:t>
      </w:r>
      <w:r>
        <w:rPr>
          <w:rFonts w:asciiTheme="majorHAnsi" w:hAnsiTheme="majorHAnsi" w:cstheme="majorHAnsi"/>
          <w:lang w:val="vi-VN"/>
        </w:rPr>
        <w:t>các địa phương, đơn vị liên quan</w:t>
      </w:r>
      <w:r w:rsidRPr="00F3098D">
        <w:rPr>
          <w:rFonts w:asciiTheme="majorHAnsi" w:hAnsiTheme="majorHAnsi" w:cstheme="majorHAnsi"/>
          <w:lang w:val="vi-VN"/>
        </w:rPr>
        <w:t xml:space="preserve"> cho thấy, việc đầu tư nâng cấp các công trình cấp nước nói trên là cần thiết, đáp </w:t>
      </w:r>
      <w:r w:rsidRPr="00F3098D">
        <w:rPr>
          <w:rFonts w:asciiTheme="majorHAnsi" w:hAnsiTheme="majorHAnsi" w:cstheme="majorHAnsi"/>
          <w:lang w:val="vi-VN"/>
        </w:rPr>
        <w:lastRenderedPageBreak/>
        <w:t>ứng nhu cầu sử dụng nước sạch của nhân dân; góp phần hoàn thành tiêu chí nước sạch vệ sinh môi trường nông thôn trong xây dựng nông thôn mới.</w:t>
      </w:r>
    </w:p>
    <w:p w14:paraId="205129FF" w14:textId="77777777" w:rsidR="00080840" w:rsidRPr="00351045" w:rsidRDefault="00351045" w:rsidP="00080840">
      <w:pPr>
        <w:spacing w:before="60" w:after="60"/>
        <w:ind w:firstLine="709"/>
        <w:jc w:val="both"/>
        <w:rPr>
          <w:rFonts w:asciiTheme="majorHAnsi" w:hAnsiTheme="majorHAnsi" w:cstheme="majorHAnsi"/>
          <w:i/>
        </w:rPr>
      </w:pPr>
      <w:r>
        <w:rPr>
          <w:rFonts w:asciiTheme="majorHAnsi" w:hAnsiTheme="majorHAnsi" w:cstheme="majorHAnsi"/>
          <w:i/>
          <w:lang w:val="vi-VN"/>
        </w:rPr>
        <w:t>b</w:t>
      </w:r>
      <w:r>
        <w:rPr>
          <w:rFonts w:asciiTheme="majorHAnsi" w:hAnsiTheme="majorHAnsi" w:cstheme="majorHAnsi"/>
          <w:i/>
        </w:rPr>
        <w:t>)</w:t>
      </w:r>
      <w:r w:rsidR="00080840" w:rsidRPr="00CA63EC">
        <w:rPr>
          <w:rFonts w:asciiTheme="majorHAnsi" w:hAnsiTheme="majorHAnsi" w:cstheme="majorHAnsi"/>
          <w:i/>
          <w:lang w:val="vi-VN"/>
        </w:rPr>
        <w:t xml:space="preserve"> Đề xuất phân bổ chi tiết số </w:t>
      </w:r>
      <w:r w:rsidR="00080840" w:rsidRPr="00CA63EC">
        <w:rPr>
          <w:rFonts w:asciiTheme="majorHAnsi" w:hAnsiTheme="majorHAnsi" w:cstheme="majorHAnsi"/>
          <w:i/>
          <w:color w:val="000000"/>
          <w:lang w:val="vi-VN" w:eastAsia="vi-VN"/>
        </w:rPr>
        <w:t>kinh</w:t>
      </w:r>
      <w:r>
        <w:rPr>
          <w:rFonts w:asciiTheme="majorHAnsi" w:hAnsiTheme="majorHAnsi" w:cstheme="majorHAnsi"/>
          <w:i/>
          <w:color w:val="000000"/>
          <w:lang w:val="vi-VN" w:eastAsia="vi-VN"/>
        </w:rPr>
        <w:t xml:space="preserve"> phí 32.020 triệu đồng, vốn </w:t>
      </w:r>
      <w:r>
        <w:rPr>
          <w:rFonts w:asciiTheme="majorHAnsi" w:hAnsiTheme="majorHAnsi" w:cstheme="majorHAnsi"/>
          <w:i/>
          <w:color w:val="000000"/>
          <w:lang w:eastAsia="vi-VN"/>
        </w:rPr>
        <w:t>đầu tư phát triển</w:t>
      </w:r>
      <w:r w:rsidR="00080840" w:rsidRPr="00CA63EC">
        <w:rPr>
          <w:rFonts w:asciiTheme="majorHAnsi" w:hAnsiTheme="majorHAnsi" w:cstheme="majorHAnsi"/>
          <w:i/>
          <w:color w:val="000000"/>
          <w:lang w:val="vi-VN" w:eastAsia="vi-VN"/>
        </w:rPr>
        <w:t xml:space="preserve"> thuộc Chương tr</w:t>
      </w:r>
      <w:r>
        <w:rPr>
          <w:rFonts w:asciiTheme="majorHAnsi" w:hAnsiTheme="majorHAnsi" w:cstheme="majorHAnsi"/>
          <w:i/>
          <w:color w:val="000000"/>
          <w:lang w:val="vi-VN" w:eastAsia="vi-VN"/>
        </w:rPr>
        <w:t>ình MTQG xây dựng Nông thôn mới</w:t>
      </w:r>
      <w:r>
        <w:rPr>
          <w:rFonts w:asciiTheme="majorHAnsi" w:hAnsiTheme="majorHAnsi" w:cstheme="majorHAnsi"/>
          <w:i/>
          <w:color w:val="000000"/>
          <w:lang w:eastAsia="vi-VN"/>
        </w:rPr>
        <w:t>:</w:t>
      </w:r>
    </w:p>
    <w:p w14:paraId="64C4DD0C" w14:textId="77777777" w:rsidR="00080840" w:rsidRPr="00A9672E" w:rsidRDefault="00080840" w:rsidP="00080840">
      <w:pPr>
        <w:spacing w:before="60" w:after="60"/>
        <w:ind w:firstLine="709"/>
        <w:jc w:val="both"/>
        <w:rPr>
          <w:rFonts w:asciiTheme="majorHAnsi" w:hAnsiTheme="majorHAnsi" w:cstheme="majorHAnsi"/>
          <w:lang w:val="vi-VN"/>
        </w:rPr>
      </w:pPr>
      <w:r w:rsidRPr="00CA63EC">
        <w:rPr>
          <w:rFonts w:asciiTheme="majorHAnsi" w:hAnsiTheme="majorHAnsi" w:cstheme="majorHAnsi"/>
          <w:lang w:val="vi-VN"/>
        </w:rPr>
        <w:t xml:space="preserve">Số kinh phí 32.020 triệu </w:t>
      </w:r>
      <w:r w:rsidRPr="00A9672E">
        <w:rPr>
          <w:rFonts w:asciiTheme="majorHAnsi" w:hAnsiTheme="majorHAnsi" w:cstheme="majorHAnsi"/>
          <w:lang w:val="vi-VN"/>
        </w:rPr>
        <w:t>đ</w:t>
      </w:r>
      <w:r w:rsidRPr="00CA63EC">
        <w:rPr>
          <w:rFonts w:asciiTheme="majorHAnsi" w:hAnsiTheme="majorHAnsi" w:cstheme="majorHAnsi"/>
          <w:lang w:val="vi-VN"/>
        </w:rPr>
        <w:t>ồng vốn ĐTPT thuộc Chương trình MTQG xây dựng Nông thôn mới, dự kiến ph</w:t>
      </w:r>
      <w:r w:rsidR="00351045">
        <w:rPr>
          <w:rFonts w:asciiTheme="majorHAnsi" w:hAnsiTheme="majorHAnsi" w:cstheme="majorHAnsi"/>
          <w:lang w:val="vi-VN"/>
        </w:rPr>
        <w:t>ân bổ để thực hiện các nhiệm vụ</w:t>
      </w:r>
      <w:r w:rsidR="00C36174">
        <w:rPr>
          <w:rFonts w:asciiTheme="majorHAnsi" w:hAnsiTheme="majorHAnsi" w:cstheme="majorHAnsi"/>
        </w:rPr>
        <w:t xml:space="preserve"> </w:t>
      </w:r>
      <w:r w:rsidRPr="00CA63EC">
        <w:rPr>
          <w:rFonts w:asciiTheme="majorHAnsi" w:hAnsiTheme="majorHAnsi" w:cstheme="majorHAnsi"/>
          <w:lang w:val="vi-VN"/>
        </w:rPr>
        <w:t>đầu tư công trình xử lý rác cấp bách tại huyện Vũ Quang</w:t>
      </w:r>
      <w:r>
        <w:rPr>
          <w:rFonts w:asciiTheme="majorHAnsi" w:hAnsiTheme="majorHAnsi" w:cstheme="majorHAnsi"/>
          <w:lang w:val="vi-VN"/>
        </w:rPr>
        <w:t xml:space="preserve"> và một số </w:t>
      </w:r>
      <w:r w:rsidRPr="00CA63EC">
        <w:rPr>
          <w:rFonts w:asciiTheme="majorHAnsi" w:hAnsiTheme="majorHAnsi" w:cstheme="majorHAnsi"/>
          <w:lang w:val="vi-VN"/>
        </w:rPr>
        <w:t>cấp nước sinh hoạt nông thôn</w:t>
      </w:r>
      <w:r>
        <w:rPr>
          <w:rFonts w:asciiTheme="majorHAnsi" w:hAnsiTheme="majorHAnsi" w:cstheme="majorHAnsi"/>
          <w:lang w:val="vi-VN"/>
        </w:rPr>
        <w:t>, theo nguyên tắc phân bổ như sau:</w:t>
      </w:r>
    </w:p>
    <w:p w14:paraId="6F610526" w14:textId="77777777" w:rsidR="00080840" w:rsidRPr="00CA63EC" w:rsidRDefault="00080840" w:rsidP="00080840">
      <w:pPr>
        <w:spacing w:before="60" w:after="60"/>
        <w:ind w:firstLine="720"/>
        <w:jc w:val="both"/>
        <w:rPr>
          <w:rFonts w:asciiTheme="majorHAnsi" w:hAnsiTheme="majorHAnsi" w:cstheme="majorHAnsi"/>
          <w:lang w:val="vi-VN"/>
        </w:rPr>
      </w:pPr>
      <w:r w:rsidRPr="00CA63EC">
        <w:rPr>
          <w:rFonts w:asciiTheme="majorHAnsi" w:hAnsiTheme="majorHAnsi" w:cstheme="majorHAnsi"/>
          <w:lang w:val="vi-VN"/>
        </w:rPr>
        <w:t>- Tập trung ưu tiên bố trí vốn cho</w:t>
      </w:r>
      <w:r w:rsidR="00C36174">
        <w:rPr>
          <w:rFonts w:asciiTheme="majorHAnsi" w:hAnsiTheme="majorHAnsi" w:cstheme="majorHAnsi"/>
        </w:rPr>
        <w:t xml:space="preserve"> khu</w:t>
      </w:r>
      <w:r w:rsidRPr="00CA63EC">
        <w:rPr>
          <w:rFonts w:asciiTheme="majorHAnsi" w:hAnsiTheme="majorHAnsi" w:cstheme="majorHAnsi"/>
          <w:lang w:val="vi-VN"/>
        </w:rPr>
        <w:t xml:space="preserve"> xử lý rác cấp bách tại huyện Vũ Quang</w:t>
      </w:r>
      <w:r>
        <w:rPr>
          <w:rStyle w:val="FootnoteReference"/>
          <w:rFonts w:asciiTheme="majorHAnsi" w:hAnsiTheme="majorHAnsi" w:cstheme="majorHAnsi"/>
          <w:lang w:val="vi-VN"/>
        </w:rPr>
        <w:footnoteReference w:id="3"/>
      </w:r>
      <w:r w:rsidRPr="00CA63EC">
        <w:rPr>
          <w:rFonts w:asciiTheme="majorHAnsi" w:hAnsiTheme="majorHAnsi" w:cstheme="majorHAnsi"/>
          <w:lang w:val="vi-VN"/>
        </w:rPr>
        <w:t>.</w:t>
      </w:r>
    </w:p>
    <w:p w14:paraId="780F834E" w14:textId="77777777" w:rsidR="00080840" w:rsidRPr="00CA63EC" w:rsidRDefault="00080840" w:rsidP="00080840">
      <w:pPr>
        <w:spacing w:before="60" w:after="60"/>
        <w:ind w:firstLine="720"/>
        <w:jc w:val="both"/>
        <w:rPr>
          <w:rFonts w:asciiTheme="majorHAnsi" w:hAnsiTheme="majorHAnsi" w:cstheme="majorHAnsi"/>
          <w:lang w:val="vi-VN"/>
        </w:rPr>
      </w:pPr>
      <w:r w:rsidRPr="00CA63EC">
        <w:rPr>
          <w:rFonts w:asciiTheme="majorHAnsi" w:hAnsiTheme="majorHAnsi" w:cstheme="majorHAnsi"/>
          <w:lang w:val="vi-VN"/>
        </w:rPr>
        <w:t xml:space="preserve">- Đối với các công trình cấp nước: </w:t>
      </w:r>
    </w:p>
    <w:p w14:paraId="062D34F6" w14:textId="77777777" w:rsidR="00080840" w:rsidRPr="00CA63EC" w:rsidRDefault="00080840" w:rsidP="00080840">
      <w:pPr>
        <w:spacing w:before="60" w:after="60"/>
        <w:ind w:firstLine="720"/>
        <w:jc w:val="both"/>
        <w:rPr>
          <w:rFonts w:asciiTheme="majorHAnsi" w:hAnsiTheme="majorHAnsi" w:cstheme="majorHAnsi"/>
          <w:lang w:val="vi-VN"/>
        </w:rPr>
      </w:pPr>
      <w:r w:rsidRPr="00CA63EC">
        <w:rPr>
          <w:rFonts w:asciiTheme="majorHAnsi" w:hAnsiTheme="majorHAnsi" w:cstheme="majorHAnsi"/>
          <w:lang w:val="vi-VN"/>
        </w:rPr>
        <w:t xml:space="preserve">+ Ưu tiên địa phương có nhu cầu cấp thiết thực sự; có điều kiện kinh tế xã hội khó khăn; </w:t>
      </w:r>
    </w:p>
    <w:p w14:paraId="0F556AF5" w14:textId="77777777" w:rsidR="00080840" w:rsidRPr="00CA63EC" w:rsidRDefault="00080840" w:rsidP="00080840">
      <w:pPr>
        <w:spacing w:before="60" w:after="60"/>
        <w:ind w:firstLine="720"/>
        <w:jc w:val="both"/>
        <w:rPr>
          <w:rFonts w:asciiTheme="majorHAnsi" w:hAnsiTheme="majorHAnsi" w:cstheme="majorHAnsi"/>
          <w:lang w:val="vi-VN"/>
        </w:rPr>
      </w:pPr>
      <w:r w:rsidRPr="00CA63EC">
        <w:rPr>
          <w:rFonts w:asciiTheme="majorHAnsi" w:hAnsiTheme="majorHAnsi" w:cstheme="majorHAnsi"/>
          <w:lang w:val="vi-VN"/>
        </w:rPr>
        <w:t>+ Ưu tiên mở rộng nhà máy nước, mạng lưới cấp nước để vừa cung cấp được nguồn nước sạch hợp vệ sinh cho nhiều hộ dân sử dụng, vừa tiết kiệm chi phí.</w:t>
      </w:r>
    </w:p>
    <w:p w14:paraId="5AF4E536" w14:textId="77777777" w:rsidR="00080840" w:rsidRPr="00CA63EC" w:rsidRDefault="00080840" w:rsidP="00080840">
      <w:pPr>
        <w:spacing w:before="60" w:after="60"/>
        <w:ind w:firstLine="720"/>
        <w:jc w:val="both"/>
        <w:rPr>
          <w:rFonts w:asciiTheme="majorHAnsi" w:hAnsiTheme="majorHAnsi" w:cstheme="majorHAnsi"/>
          <w:lang w:val="vi-VN"/>
        </w:rPr>
      </w:pPr>
      <w:r w:rsidRPr="00CA63EC">
        <w:rPr>
          <w:rFonts w:asciiTheme="majorHAnsi" w:hAnsiTheme="majorHAnsi" w:cstheme="majorHAnsi"/>
          <w:lang w:val="vi-VN"/>
        </w:rPr>
        <w:t>+ Ưu tiên lựa chọn công trình yêu cầu kỹ thuật đơn giản, thuận lợi trong quá trình tổ chức thực hiện, đảm bảo thời hạn giải ngân theo quy định</w:t>
      </w:r>
      <w:r w:rsidRPr="00CA63EC">
        <w:rPr>
          <w:rStyle w:val="FootnoteReference"/>
          <w:rFonts w:asciiTheme="majorHAnsi" w:hAnsiTheme="majorHAnsi" w:cstheme="majorHAnsi"/>
          <w:lang w:val="vi-VN"/>
        </w:rPr>
        <w:footnoteReference w:id="4"/>
      </w:r>
      <w:r w:rsidRPr="00CA63EC">
        <w:rPr>
          <w:rFonts w:asciiTheme="majorHAnsi" w:hAnsiTheme="majorHAnsi" w:cstheme="majorHAnsi"/>
          <w:lang w:val="vi-VN"/>
        </w:rPr>
        <w:t xml:space="preserve">.  </w:t>
      </w:r>
    </w:p>
    <w:p w14:paraId="000A28E7" w14:textId="77777777" w:rsidR="00080840" w:rsidRPr="00A9672E" w:rsidRDefault="00080840" w:rsidP="00080840">
      <w:pPr>
        <w:spacing w:before="60" w:after="60"/>
        <w:ind w:firstLine="720"/>
        <w:jc w:val="both"/>
        <w:rPr>
          <w:rFonts w:asciiTheme="majorHAnsi" w:hAnsiTheme="majorHAnsi" w:cstheme="majorHAnsi"/>
          <w:lang w:val="vi-VN"/>
        </w:rPr>
      </w:pPr>
      <w:r w:rsidRPr="00CA63EC">
        <w:rPr>
          <w:rFonts w:asciiTheme="majorHAnsi" w:hAnsiTheme="majorHAnsi" w:cstheme="majorHAnsi"/>
          <w:lang w:val="vi-VN"/>
        </w:rPr>
        <w:t>+ Bố trí, cân đối đủ nguồn vốn NTM tron</w:t>
      </w:r>
      <w:r w:rsidR="00351045">
        <w:rPr>
          <w:rFonts w:asciiTheme="majorHAnsi" w:hAnsiTheme="majorHAnsi" w:cstheme="majorHAnsi"/>
          <w:lang w:val="vi-VN"/>
        </w:rPr>
        <w:t>g năm 2020 để thực hiện dự án (</w:t>
      </w:r>
      <w:r w:rsidR="00351045">
        <w:rPr>
          <w:rFonts w:asciiTheme="majorHAnsi" w:hAnsiTheme="majorHAnsi" w:cstheme="majorHAnsi"/>
        </w:rPr>
        <w:t>d</w:t>
      </w:r>
      <w:r w:rsidRPr="00CA63EC">
        <w:rPr>
          <w:rFonts w:asciiTheme="majorHAnsi" w:hAnsiTheme="majorHAnsi" w:cstheme="majorHAnsi"/>
          <w:lang w:val="vi-VN"/>
        </w:rPr>
        <w:t>o Chương trình MTQG xây dựng NTM giai đoạn 2021-2025 chưa được phê duyệt nên không có cơ sở xác định khả năng bố trí trong giai đoạn tiếp theo).</w:t>
      </w:r>
    </w:p>
    <w:p w14:paraId="20CFE90E" w14:textId="77777777" w:rsidR="00080840" w:rsidRPr="00CA63EC" w:rsidRDefault="00080840" w:rsidP="00080840">
      <w:pPr>
        <w:spacing w:before="60" w:after="60"/>
        <w:ind w:firstLine="720"/>
        <w:jc w:val="both"/>
        <w:rPr>
          <w:rFonts w:asciiTheme="majorHAnsi" w:hAnsiTheme="majorHAnsi" w:cstheme="majorHAnsi"/>
          <w:lang w:val="vi-VN"/>
        </w:rPr>
      </w:pPr>
      <w:r w:rsidRPr="00CA63EC">
        <w:rPr>
          <w:rFonts w:asciiTheme="majorHAnsi" w:hAnsiTheme="majorHAnsi" w:cstheme="majorHAnsi"/>
          <w:lang w:val="vi-VN"/>
        </w:rPr>
        <w:t>Từ nguyên tắc nói trên và căn cứ điều kiện thực tế từng địa phương; khả năng đảm bảo của nguồn ngân sách, đề xuất phương án phân bổ như sau:</w:t>
      </w:r>
    </w:p>
    <w:p w14:paraId="632C8E55" w14:textId="77777777" w:rsidR="00080840" w:rsidRPr="00CA63EC" w:rsidRDefault="00080840" w:rsidP="00080840">
      <w:pPr>
        <w:spacing w:before="60" w:after="60"/>
        <w:ind w:firstLine="720"/>
        <w:jc w:val="both"/>
        <w:rPr>
          <w:rFonts w:asciiTheme="majorHAnsi" w:hAnsiTheme="majorHAnsi" w:cstheme="majorHAnsi"/>
          <w:lang w:val="vi-VN"/>
        </w:rPr>
      </w:pPr>
      <w:r w:rsidRPr="00CA63EC">
        <w:rPr>
          <w:rFonts w:asciiTheme="majorHAnsi" w:hAnsiTheme="majorHAnsi" w:cstheme="majorHAnsi"/>
          <w:lang w:val="vi-VN"/>
        </w:rPr>
        <w:t>- Trích gần 40% trong tổng số kinh phí 32.020</w:t>
      </w:r>
      <w:r>
        <w:rPr>
          <w:rFonts w:asciiTheme="majorHAnsi" w:hAnsiTheme="majorHAnsi" w:cstheme="majorHAnsi"/>
          <w:lang w:val="vi-VN"/>
        </w:rPr>
        <w:t xml:space="preserve"> triệu đồng</w:t>
      </w:r>
      <w:r w:rsidRPr="00CA63EC">
        <w:rPr>
          <w:rFonts w:asciiTheme="majorHAnsi" w:hAnsiTheme="majorHAnsi" w:cstheme="majorHAnsi"/>
          <w:lang w:val="vi-VN"/>
        </w:rPr>
        <w:t xml:space="preserve"> (tương đương 12.543 triệu đồng) để bố trí thực hiện đầu tư </w:t>
      </w:r>
      <w:r w:rsidR="00C36174">
        <w:rPr>
          <w:rFonts w:asciiTheme="majorHAnsi" w:hAnsiTheme="majorHAnsi" w:cstheme="majorHAnsi"/>
        </w:rPr>
        <w:t>Khu</w:t>
      </w:r>
      <w:r w:rsidRPr="00CA63EC">
        <w:rPr>
          <w:rFonts w:asciiTheme="majorHAnsi" w:hAnsiTheme="majorHAnsi" w:cstheme="majorHAnsi"/>
          <w:lang w:val="vi-VN"/>
        </w:rPr>
        <w:t xml:space="preserve"> xử lý rác</w:t>
      </w:r>
      <w:r w:rsidR="00C36174">
        <w:rPr>
          <w:rFonts w:asciiTheme="majorHAnsi" w:hAnsiTheme="majorHAnsi" w:cstheme="majorHAnsi"/>
        </w:rPr>
        <w:t xml:space="preserve"> thải huyện</w:t>
      </w:r>
      <w:r w:rsidR="00351045">
        <w:rPr>
          <w:rFonts w:asciiTheme="majorHAnsi" w:hAnsiTheme="majorHAnsi" w:cstheme="majorHAnsi"/>
          <w:lang w:val="vi-VN"/>
        </w:rPr>
        <w:t xml:space="preserve"> Vũ Quang và tuyến đường vào</w:t>
      </w:r>
      <w:r w:rsidR="00351045">
        <w:rPr>
          <w:rFonts w:asciiTheme="majorHAnsi" w:hAnsiTheme="majorHAnsi" w:cstheme="majorHAnsi"/>
        </w:rPr>
        <w:t>;</w:t>
      </w:r>
      <w:r w:rsidR="00351045">
        <w:rPr>
          <w:rFonts w:asciiTheme="majorHAnsi" w:hAnsiTheme="majorHAnsi" w:cstheme="majorHAnsi"/>
          <w:lang w:val="vi-VN"/>
        </w:rPr>
        <w:t xml:space="preserve"> </w:t>
      </w:r>
      <w:r w:rsidR="00351045">
        <w:rPr>
          <w:rFonts w:asciiTheme="majorHAnsi" w:hAnsiTheme="majorHAnsi" w:cstheme="majorHAnsi"/>
        </w:rPr>
        <w:t>t</w:t>
      </w:r>
      <w:r w:rsidR="00351045">
        <w:rPr>
          <w:rFonts w:asciiTheme="majorHAnsi" w:hAnsiTheme="majorHAnsi" w:cstheme="majorHAnsi"/>
          <w:lang w:val="vi-VN"/>
        </w:rPr>
        <w:t>rong đó</w:t>
      </w:r>
      <w:r w:rsidRPr="00CA63EC">
        <w:rPr>
          <w:rFonts w:asciiTheme="majorHAnsi" w:hAnsiTheme="majorHAnsi" w:cstheme="majorHAnsi"/>
          <w:lang w:val="vi-VN"/>
        </w:rPr>
        <w:t xml:space="preserve"> tập trung chủ yếu đầu tư </w:t>
      </w:r>
      <w:r w:rsidR="00351045">
        <w:rPr>
          <w:rFonts w:asciiTheme="majorHAnsi" w:hAnsiTheme="majorHAnsi" w:cstheme="majorHAnsi"/>
        </w:rPr>
        <w:t>k</w:t>
      </w:r>
      <w:r w:rsidR="00C36174">
        <w:rPr>
          <w:rFonts w:asciiTheme="majorHAnsi" w:hAnsiTheme="majorHAnsi" w:cstheme="majorHAnsi"/>
        </w:rPr>
        <w:t>hu</w:t>
      </w:r>
      <w:r w:rsidRPr="00CA63EC">
        <w:rPr>
          <w:rFonts w:asciiTheme="majorHAnsi" w:hAnsiTheme="majorHAnsi" w:cstheme="majorHAnsi"/>
          <w:lang w:val="vi-VN"/>
        </w:rPr>
        <w:t xml:space="preserve"> xử lý rác.</w:t>
      </w:r>
    </w:p>
    <w:p w14:paraId="3F5D4EF6" w14:textId="77777777" w:rsidR="00080840" w:rsidRPr="00CA63EC" w:rsidRDefault="00080840" w:rsidP="00080840">
      <w:pPr>
        <w:spacing w:before="60" w:after="60"/>
        <w:jc w:val="both"/>
        <w:rPr>
          <w:rFonts w:asciiTheme="majorHAnsi" w:hAnsiTheme="majorHAnsi" w:cstheme="majorHAnsi"/>
          <w:lang w:val="vi-VN"/>
        </w:rPr>
      </w:pPr>
      <w:r w:rsidRPr="00CA63EC">
        <w:rPr>
          <w:rFonts w:asciiTheme="majorHAnsi" w:hAnsiTheme="majorHAnsi" w:cstheme="majorHAnsi"/>
          <w:b/>
          <w:lang w:val="vi-VN"/>
        </w:rPr>
        <w:tab/>
      </w:r>
      <w:r w:rsidRPr="00CA63EC">
        <w:rPr>
          <w:rFonts w:asciiTheme="majorHAnsi" w:hAnsiTheme="majorHAnsi" w:cstheme="majorHAnsi"/>
          <w:lang w:val="vi-VN"/>
        </w:rPr>
        <w:t>- Số còn lại 19.477 triệu đồng, phân bổ cho các công trình như sau:</w:t>
      </w:r>
    </w:p>
    <w:p w14:paraId="79AB0569" w14:textId="77777777" w:rsidR="00080840" w:rsidRPr="00CA63EC" w:rsidRDefault="00351045" w:rsidP="00080840">
      <w:pPr>
        <w:spacing w:before="60" w:after="60"/>
        <w:jc w:val="both"/>
        <w:rPr>
          <w:rFonts w:asciiTheme="majorHAnsi" w:hAnsiTheme="majorHAnsi" w:cstheme="majorHAnsi"/>
          <w:lang w:val="vi-VN"/>
        </w:rPr>
      </w:pPr>
      <w:r>
        <w:rPr>
          <w:rFonts w:asciiTheme="majorHAnsi" w:hAnsiTheme="majorHAnsi" w:cstheme="majorHAnsi"/>
          <w:lang w:val="vi-VN"/>
        </w:rPr>
        <w:tab/>
        <w:t xml:space="preserve">+ Ưu tiên bố trí vốn đầu tư </w:t>
      </w:r>
      <w:r>
        <w:rPr>
          <w:rFonts w:asciiTheme="majorHAnsi" w:hAnsiTheme="majorHAnsi" w:cstheme="majorHAnsi"/>
        </w:rPr>
        <w:t>s</w:t>
      </w:r>
      <w:r w:rsidR="00080840" w:rsidRPr="00CA63EC">
        <w:rPr>
          <w:rFonts w:asciiTheme="majorHAnsi" w:hAnsiTheme="majorHAnsi" w:cstheme="majorHAnsi"/>
          <w:lang w:val="vi-VN"/>
        </w:rPr>
        <w:t xml:space="preserve">ửa chữa, nâng cấp công trình cấp nước sinh hoạt Động Tranh, xã Kỳ Nam, thị xã Kỳ Anh: dự kiến bố trí 8.500 triệu đồng/10.000 triệu đồng </w:t>
      </w:r>
      <w:r w:rsidR="00C36174">
        <w:rPr>
          <w:rFonts w:asciiTheme="majorHAnsi" w:hAnsiTheme="majorHAnsi" w:cstheme="majorHAnsi"/>
        </w:rPr>
        <w:t>t</w:t>
      </w:r>
      <w:r w:rsidR="00080840" w:rsidRPr="00CA63EC">
        <w:rPr>
          <w:rFonts w:asciiTheme="majorHAnsi" w:hAnsiTheme="majorHAnsi" w:cstheme="majorHAnsi"/>
          <w:lang w:val="vi-VN"/>
        </w:rPr>
        <w:t xml:space="preserve">ổng mức đầu tư. </w:t>
      </w:r>
    </w:p>
    <w:p w14:paraId="30FB8960" w14:textId="77777777" w:rsidR="00080840" w:rsidRPr="00CA63EC" w:rsidRDefault="00080840" w:rsidP="00080840">
      <w:pPr>
        <w:spacing w:before="60" w:after="60"/>
        <w:ind w:firstLine="720"/>
        <w:jc w:val="both"/>
        <w:rPr>
          <w:rFonts w:asciiTheme="majorHAnsi" w:hAnsiTheme="majorHAnsi" w:cstheme="majorHAnsi"/>
          <w:lang w:val="vi-VN"/>
        </w:rPr>
      </w:pPr>
      <w:r w:rsidRPr="00CA63EC">
        <w:rPr>
          <w:rFonts w:asciiTheme="majorHAnsi" w:hAnsiTheme="majorHAnsi" w:cstheme="majorHAnsi"/>
          <w:lang w:val="vi-VN"/>
        </w:rPr>
        <w:t xml:space="preserve">Xã Kỳ Nam là xã có điều kiện kinh tế xã hội đặc biệt khó khăn vùng bãi ngang ven biển; Nhà máy nước Động Tranh được xây dựng từ năm 1998, chỉ </w:t>
      </w:r>
      <w:r w:rsidRPr="00CA63EC">
        <w:rPr>
          <w:rFonts w:asciiTheme="majorHAnsi" w:hAnsiTheme="majorHAnsi" w:cstheme="majorHAnsi"/>
          <w:lang w:val="vi-VN"/>
        </w:rPr>
        <w:lastRenderedPageBreak/>
        <w:t>mới cung cấp đủ nước sinh hoạt cho 103 hộ/773 hộ dân của xã; các hộ dân còn lại đang chủ yếu sử dụng nước giếng khoan, dễ bị nhiễm phèn, nhiễm mặn.</w:t>
      </w:r>
    </w:p>
    <w:p w14:paraId="3CD20802" w14:textId="77777777" w:rsidR="00080840" w:rsidRPr="005F07A0" w:rsidRDefault="00080840" w:rsidP="00080840">
      <w:pPr>
        <w:spacing w:before="60" w:after="60"/>
        <w:jc w:val="both"/>
        <w:rPr>
          <w:rFonts w:asciiTheme="majorHAnsi" w:hAnsiTheme="majorHAnsi" w:cstheme="majorHAnsi"/>
          <w:lang w:val="vi-VN"/>
        </w:rPr>
      </w:pPr>
      <w:r w:rsidRPr="00CA63EC">
        <w:rPr>
          <w:rFonts w:asciiTheme="majorHAnsi" w:hAnsiTheme="majorHAnsi" w:cstheme="majorHAnsi"/>
          <w:lang w:val="vi-VN"/>
        </w:rPr>
        <w:tab/>
      </w:r>
      <w:r w:rsidRPr="005F07A0">
        <w:rPr>
          <w:rFonts w:asciiTheme="majorHAnsi" w:hAnsiTheme="majorHAnsi" w:cstheme="majorHAnsi"/>
          <w:lang w:val="vi-VN"/>
        </w:rPr>
        <w:t>+</w:t>
      </w:r>
      <w:r w:rsidR="00351045" w:rsidRPr="005F07A0">
        <w:rPr>
          <w:rFonts w:asciiTheme="majorHAnsi" w:hAnsiTheme="majorHAnsi" w:cstheme="majorHAnsi"/>
          <w:lang w:val="vi-VN"/>
        </w:rPr>
        <w:t xml:space="preserve"> Ưu tiên đầu tư </w:t>
      </w:r>
      <w:r w:rsidR="00351045" w:rsidRPr="005F07A0">
        <w:rPr>
          <w:rFonts w:asciiTheme="majorHAnsi" w:hAnsiTheme="majorHAnsi" w:cstheme="majorHAnsi"/>
        </w:rPr>
        <w:t>m</w:t>
      </w:r>
      <w:r w:rsidRPr="005F07A0">
        <w:rPr>
          <w:rFonts w:asciiTheme="majorHAnsi" w:hAnsiTheme="majorHAnsi" w:cstheme="majorHAnsi"/>
          <w:lang w:val="vi-VN"/>
        </w:rPr>
        <w:t xml:space="preserve">ở rộng nhà máy nước Thạch Bằng cấp cho xã Tân Lộc (giai đoạn 2): Dự kiến bố trí 5.250/7.000 triệu đồng tổng mức đầu tư. </w:t>
      </w:r>
    </w:p>
    <w:p w14:paraId="608A104A" w14:textId="77777777" w:rsidR="00080840" w:rsidRPr="00CA63EC" w:rsidRDefault="00080840" w:rsidP="00080840">
      <w:pPr>
        <w:spacing w:before="60" w:after="60"/>
        <w:ind w:firstLine="720"/>
        <w:jc w:val="both"/>
        <w:rPr>
          <w:rFonts w:asciiTheme="majorHAnsi" w:hAnsiTheme="majorHAnsi" w:cstheme="majorHAnsi"/>
          <w:lang w:val="vi-VN"/>
        </w:rPr>
      </w:pPr>
      <w:r w:rsidRPr="00CA63EC">
        <w:rPr>
          <w:rFonts w:asciiTheme="majorHAnsi" w:hAnsiTheme="majorHAnsi" w:cstheme="majorHAnsi"/>
          <w:lang w:val="vi-VN"/>
        </w:rPr>
        <w:t>Xã Tân Lộc hiện có 02 thôn với 790 hộ dân chưa có nước sạch để sử dụng; nguồn nước sinh hoạt tại đây chủ yếu là sử dụng nước mưa (tích trữ trong các bể chứa), giếng khoan, giếng đào; nguồn nước ngầm tại đây bị nhiễm phèn, nhiễm sắt nên dẫn đến chất lượng nước không đảm bảo. Bên cạnh đó, về mùa hè, nguồn nước bị cạn kiệt, gây thiếu nước nghiêm trọng.</w:t>
      </w:r>
    </w:p>
    <w:p w14:paraId="2B9FBF60" w14:textId="77777777" w:rsidR="00080840" w:rsidRPr="00CA63EC" w:rsidRDefault="00351045" w:rsidP="00080840">
      <w:pPr>
        <w:spacing w:before="60" w:after="60"/>
        <w:ind w:firstLine="720"/>
        <w:jc w:val="both"/>
        <w:rPr>
          <w:rFonts w:asciiTheme="majorHAnsi" w:hAnsiTheme="majorHAnsi" w:cstheme="majorHAnsi"/>
          <w:lang w:val="vi-VN"/>
        </w:rPr>
      </w:pPr>
      <w:r>
        <w:rPr>
          <w:rFonts w:asciiTheme="majorHAnsi" w:hAnsiTheme="majorHAnsi" w:cstheme="majorHAnsi"/>
          <w:lang w:val="vi-VN"/>
        </w:rPr>
        <w:t xml:space="preserve">+ Ưu tiên đầu tư </w:t>
      </w:r>
      <w:r>
        <w:rPr>
          <w:rFonts w:asciiTheme="majorHAnsi" w:hAnsiTheme="majorHAnsi" w:cstheme="majorHAnsi"/>
        </w:rPr>
        <w:t>m</w:t>
      </w:r>
      <w:r w:rsidR="00080840" w:rsidRPr="00CA63EC">
        <w:rPr>
          <w:rFonts w:asciiTheme="majorHAnsi" w:hAnsiTheme="majorHAnsi" w:cstheme="majorHAnsi"/>
          <w:lang w:val="vi-VN"/>
        </w:rPr>
        <w:t xml:space="preserve">ở rộng, nâng cấp, sửa chữa hệ thống mạng lưới công trình cấp nước xã Thiên Lộc và xã Khánh </w:t>
      </w:r>
      <w:r w:rsidR="001868A6">
        <w:rPr>
          <w:rFonts w:asciiTheme="majorHAnsi" w:hAnsiTheme="majorHAnsi" w:cstheme="majorHAnsi"/>
        </w:rPr>
        <w:t>Vĩnh Yên</w:t>
      </w:r>
      <w:r w:rsidR="00080840" w:rsidRPr="00CA63EC">
        <w:rPr>
          <w:rFonts w:asciiTheme="majorHAnsi" w:hAnsiTheme="majorHAnsi" w:cstheme="majorHAnsi"/>
          <w:lang w:val="vi-VN"/>
        </w:rPr>
        <w:t xml:space="preserve">. Trong đó công trình cấp nước xã Thiên Lộc dự kiến bố trí 2.477 triệu đồng/4.000 triệu đồng </w:t>
      </w:r>
      <w:r w:rsidR="001868A6">
        <w:rPr>
          <w:rFonts w:asciiTheme="majorHAnsi" w:hAnsiTheme="majorHAnsi" w:cstheme="majorHAnsi"/>
        </w:rPr>
        <w:t>t</w:t>
      </w:r>
      <w:r w:rsidR="00080840" w:rsidRPr="00CA63EC">
        <w:rPr>
          <w:rFonts w:asciiTheme="majorHAnsi" w:hAnsiTheme="majorHAnsi" w:cstheme="majorHAnsi"/>
          <w:lang w:val="vi-VN"/>
        </w:rPr>
        <w:t xml:space="preserve">ổng mức đầu tư; công trình cấp nước xã Khánh </w:t>
      </w:r>
      <w:r w:rsidR="001868A6">
        <w:rPr>
          <w:rFonts w:asciiTheme="majorHAnsi" w:hAnsiTheme="majorHAnsi" w:cstheme="majorHAnsi"/>
        </w:rPr>
        <w:t>Vĩnh Yên</w:t>
      </w:r>
      <w:r w:rsidR="00080840" w:rsidRPr="00CA63EC">
        <w:rPr>
          <w:rFonts w:asciiTheme="majorHAnsi" w:hAnsiTheme="majorHAnsi" w:cstheme="majorHAnsi"/>
          <w:lang w:val="vi-VN"/>
        </w:rPr>
        <w:t xml:space="preserve"> dự kiến bố trí 3.250/5.000 triệu đồng </w:t>
      </w:r>
      <w:r w:rsidR="001868A6">
        <w:rPr>
          <w:rFonts w:asciiTheme="majorHAnsi" w:hAnsiTheme="majorHAnsi" w:cstheme="majorHAnsi"/>
        </w:rPr>
        <w:t>t</w:t>
      </w:r>
      <w:r w:rsidR="00080840" w:rsidRPr="00CA63EC">
        <w:rPr>
          <w:rFonts w:asciiTheme="majorHAnsi" w:hAnsiTheme="majorHAnsi" w:cstheme="majorHAnsi"/>
          <w:lang w:val="vi-VN"/>
        </w:rPr>
        <w:t xml:space="preserve">ổng mức đầu tư. </w:t>
      </w:r>
    </w:p>
    <w:p w14:paraId="2A7D8D35" w14:textId="77777777" w:rsidR="00080840" w:rsidRDefault="00080840" w:rsidP="00080840">
      <w:pPr>
        <w:spacing w:before="60" w:after="60"/>
        <w:ind w:firstLine="720"/>
        <w:jc w:val="both"/>
        <w:rPr>
          <w:rFonts w:asciiTheme="majorHAnsi" w:hAnsiTheme="majorHAnsi" w:cstheme="majorHAnsi"/>
          <w:b/>
          <w:bCs/>
          <w:lang w:val="vi-VN"/>
        </w:rPr>
      </w:pPr>
      <w:r w:rsidRPr="00CA63EC">
        <w:rPr>
          <w:rFonts w:asciiTheme="majorHAnsi" w:hAnsiTheme="majorHAnsi" w:cstheme="majorHAnsi"/>
          <w:lang w:val="vi-VN"/>
        </w:rPr>
        <w:t>Riêng hai công trình: Thay thế nguồn cấp nước thô cho nhà máy cấp nước Bắc Thạch Hà</w:t>
      </w:r>
      <w:r w:rsidRPr="00CA63EC">
        <w:rPr>
          <w:rStyle w:val="FootnoteReference"/>
          <w:rFonts w:asciiTheme="majorHAnsi" w:hAnsiTheme="majorHAnsi" w:cstheme="majorHAnsi"/>
          <w:lang w:val="vi-VN"/>
        </w:rPr>
        <w:footnoteReference w:id="5"/>
      </w:r>
      <w:r w:rsidR="00351045">
        <w:rPr>
          <w:rFonts w:asciiTheme="majorHAnsi" w:hAnsiTheme="majorHAnsi" w:cstheme="majorHAnsi"/>
          <w:lang w:val="vi-VN"/>
        </w:rPr>
        <w:t xml:space="preserve"> và </w:t>
      </w:r>
      <w:r w:rsidR="00351045">
        <w:rPr>
          <w:rFonts w:asciiTheme="majorHAnsi" w:hAnsiTheme="majorHAnsi" w:cstheme="majorHAnsi"/>
        </w:rPr>
        <w:t>m</w:t>
      </w:r>
      <w:r w:rsidRPr="00CA63EC">
        <w:rPr>
          <w:rFonts w:asciiTheme="majorHAnsi" w:hAnsiTheme="majorHAnsi" w:cstheme="majorHAnsi"/>
          <w:lang w:val="vi-VN"/>
        </w:rPr>
        <w:t>ở rộng nhà máy nước Bắc Cẩm Xuyên cấp nước cho xã Cẩm Quang, huyện Cẩm Xuyên</w:t>
      </w:r>
      <w:r w:rsidRPr="00CA63EC">
        <w:rPr>
          <w:rStyle w:val="FootnoteReference"/>
          <w:rFonts w:asciiTheme="majorHAnsi" w:hAnsiTheme="majorHAnsi" w:cstheme="majorHAnsi"/>
          <w:lang w:val="vi-VN"/>
        </w:rPr>
        <w:footnoteReference w:id="6"/>
      </w:r>
      <w:r w:rsidRPr="00CA63EC">
        <w:rPr>
          <w:rFonts w:asciiTheme="majorHAnsi" w:hAnsiTheme="majorHAnsi" w:cstheme="majorHAnsi"/>
          <w:lang w:val="vi-VN"/>
        </w:rPr>
        <w:t xml:space="preserve">,  </w:t>
      </w:r>
      <w:r>
        <w:rPr>
          <w:rFonts w:asciiTheme="majorHAnsi" w:hAnsiTheme="majorHAnsi" w:cstheme="majorHAnsi"/>
          <w:lang w:val="vi-VN"/>
        </w:rPr>
        <w:t>l</w:t>
      </w:r>
      <w:r w:rsidRPr="00CA63EC">
        <w:rPr>
          <w:rFonts w:asciiTheme="majorHAnsi" w:hAnsiTheme="majorHAnsi" w:cstheme="majorHAnsi"/>
          <w:lang w:val="vi-VN"/>
        </w:rPr>
        <w:t xml:space="preserve">à các công trình có quy mô đầu tư khá lớn, kỹ thuật phức tạp, trong khi nguồn vốn còn lại của Chương trình không nhiều, không đảm bảo bố trí đủ trên 50% so tổng mức đầu tư cho mỗi dự án; do đó dự kiến sẽ sử dụng nguồn vốn từ nguồn tiết kiệm chi hàng năm của tỉnh để đầu tư. </w:t>
      </w:r>
    </w:p>
    <w:p w14:paraId="2D9F0119" w14:textId="77777777" w:rsidR="00CA63EC" w:rsidRPr="00CA63EC" w:rsidRDefault="00CC6A5E" w:rsidP="00CA63EC">
      <w:pPr>
        <w:spacing w:before="60" w:after="60"/>
        <w:ind w:firstLine="709"/>
        <w:jc w:val="both"/>
        <w:rPr>
          <w:rFonts w:asciiTheme="majorHAnsi" w:hAnsiTheme="majorHAnsi" w:cstheme="majorHAnsi"/>
          <w:b/>
          <w:bCs/>
          <w:lang w:val="vi-VN"/>
        </w:rPr>
      </w:pPr>
      <w:r>
        <w:rPr>
          <w:rFonts w:asciiTheme="majorHAnsi" w:hAnsiTheme="majorHAnsi" w:cstheme="majorHAnsi"/>
          <w:b/>
          <w:bCs/>
        </w:rPr>
        <w:t>II</w:t>
      </w:r>
      <w:r w:rsidR="00FE2204">
        <w:rPr>
          <w:rFonts w:asciiTheme="majorHAnsi" w:hAnsiTheme="majorHAnsi" w:cstheme="majorHAnsi"/>
          <w:b/>
          <w:bCs/>
          <w:lang w:val="vi-VN"/>
        </w:rPr>
        <w:t xml:space="preserve">. Tổng kinh phí </w:t>
      </w:r>
      <w:r w:rsidR="00FE2204">
        <w:rPr>
          <w:rFonts w:asciiTheme="majorHAnsi" w:hAnsiTheme="majorHAnsi" w:cstheme="majorHAnsi"/>
          <w:b/>
          <w:bCs/>
        </w:rPr>
        <w:t>trình</w:t>
      </w:r>
      <w:r w:rsidR="00CA63EC" w:rsidRPr="00CA63EC">
        <w:rPr>
          <w:rFonts w:asciiTheme="majorHAnsi" w:hAnsiTheme="majorHAnsi" w:cstheme="majorHAnsi"/>
          <w:b/>
          <w:bCs/>
          <w:lang w:val="vi-VN"/>
        </w:rPr>
        <w:t xml:space="preserve"> HĐND tỉnh </w:t>
      </w:r>
    </w:p>
    <w:p w14:paraId="47F9E390" w14:textId="77777777" w:rsidR="00CA63EC" w:rsidRPr="00CA63EC" w:rsidRDefault="00CA63EC" w:rsidP="00CA63EC">
      <w:pPr>
        <w:spacing w:before="60" w:after="60"/>
        <w:ind w:firstLine="720"/>
        <w:jc w:val="both"/>
        <w:rPr>
          <w:rFonts w:asciiTheme="majorHAnsi" w:hAnsiTheme="majorHAnsi" w:cstheme="majorHAnsi"/>
          <w:lang w:val="vi-VN"/>
        </w:rPr>
      </w:pPr>
      <w:r w:rsidRPr="00CA63EC">
        <w:rPr>
          <w:rFonts w:asciiTheme="majorHAnsi" w:hAnsiTheme="majorHAnsi" w:cstheme="majorHAnsi"/>
          <w:lang w:val="vi-VN"/>
        </w:rPr>
        <w:t xml:space="preserve">Tổng kinh phí ngân sách trung ương để thực hiện các Chương trình MTQG năm 2020 đề nghị Hội đồng nhân dân tỉnh thông qua lần này là:  </w:t>
      </w:r>
      <w:r w:rsidRPr="00CA63EC">
        <w:rPr>
          <w:rFonts w:asciiTheme="majorHAnsi" w:hAnsiTheme="majorHAnsi" w:cstheme="majorHAnsi"/>
          <w:b/>
          <w:i/>
          <w:lang w:val="vi-VN"/>
        </w:rPr>
        <w:t>796.490 triệu đồng</w:t>
      </w:r>
      <w:r w:rsidRPr="00CA63EC">
        <w:rPr>
          <w:rFonts w:asciiTheme="majorHAnsi" w:hAnsiTheme="majorHAnsi" w:cstheme="majorHAnsi"/>
          <w:lang w:val="vi-VN"/>
        </w:rPr>
        <w:t>, trong đó:</w:t>
      </w:r>
    </w:p>
    <w:p w14:paraId="589BF017" w14:textId="77777777" w:rsidR="00CA63EC" w:rsidRPr="00CC6A5E" w:rsidRDefault="00CC6A5E" w:rsidP="00CA63EC">
      <w:pPr>
        <w:spacing w:before="60" w:after="60"/>
        <w:ind w:firstLine="720"/>
        <w:jc w:val="both"/>
        <w:rPr>
          <w:rFonts w:asciiTheme="majorHAnsi" w:hAnsiTheme="majorHAnsi" w:cstheme="majorHAnsi"/>
          <w:spacing w:val="-4"/>
        </w:rPr>
      </w:pPr>
      <w:r w:rsidRPr="00CC6A5E">
        <w:rPr>
          <w:rFonts w:asciiTheme="majorHAnsi" w:hAnsiTheme="majorHAnsi" w:cstheme="majorHAnsi"/>
          <w:spacing w:val="-4"/>
        </w:rPr>
        <w:t>1.</w:t>
      </w:r>
      <w:r w:rsidRPr="00CC6A5E">
        <w:rPr>
          <w:rFonts w:asciiTheme="majorHAnsi" w:hAnsiTheme="majorHAnsi" w:cstheme="majorHAnsi"/>
          <w:spacing w:val="-4"/>
          <w:lang w:val="vi-VN"/>
        </w:rPr>
        <w:t xml:space="preserve"> </w:t>
      </w:r>
      <w:r w:rsidR="00CA63EC" w:rsidRPr="00CC6A5E">
        <w:rPr>
          <w:rFonts w:asciiTheme="majorHAnsi" w:hAnsiTheme="majorHAnsi" w:cstheme="majorHAnsi"/>
          <w:spacing w:val="-4"/>
          <w:lang w:val="vi-VN"/>
        </w:rPr>
        <w:t>Chương trìn</w:t>
      </w:r>
      <w:r w:rsidRPr="00CC6A5E">
        <w:rPr>
          <w:rFonts w:asciiTheme="majorHAnsi" w:hAnsiTheme="majorHAnsi" w:cstheme="majorHAnsi"/>
          <w:spacing w:val="-4"/>
          <w:lang w:val="vi-VN"/>
        </w:rPr>
        <w:t>h MTQG xây dựng nông thôn mới</w:t>
      </w:r>
      <w:r w:rsidRPr="00CC6A5E">
        <w:rPr>
          <w:rFonts w:asciiTheme="majorHAnsi" w:hAnsiTheme="majorHAnsi" w:cstheme="majorHAnsi"/>
          <w:spacing w:val="-4"/>
        </w:rPr>
        <w:t>:</w:t>
      </w:r>
      <w:r w:rsidR="00CA63EC" w:rsidRPr="00CC6A5E">
        <w:rPr>
          <w:rFonts w:asciiTheme="majorHAnsi" w:hAnsiTheme="majorHAnsi" w:cstheme="majorHAnsi"/>
          <w:spacing w:val="-4"/>
          <w:lang w:val="vi-VN"/>
        </w:rPr>
        <w:t xml:space="preserve"> 735.369 triệu </w:t>
      </w:r>
      <w:r w:rsidRPr="00CC6A5E">
        <w:rPr>
          <w:rFonts w:asciiTheme="majorHAnsi" w:hAnsiTheme="majorHAnsi" w:cstheme="majorHAnsi"/>
          <w:spacing w:val="-4"/>
          <w:lang w:val="vi-VN"/>
        </w:rPr>
        <w:t>đồng</w:t>
      </w:r>
      <w:r w:rsidRPr="00CC6A5E">
        <w:rPr>
          <w:rFonts w:asciiTheme="majorHAnsi" w:hAnsiTheme="majorHAnsi" w:cstheme="majorHAnsi"/>
          <w:spacing w:val="-4"/>
        </w:rPr>
        <w:t>; gồm:</w:t>
      </w:r>
    </w:p>
    <w:p w14:paraId="715687F5" w14:textId="77777777" w:rsidR="00CA63EC" w:rsidRPr="00CA63EC" w:rsidRDefault="00CC6A5E" w:rsidP="00CA63EC">
      <w:pPr>
        <w:spacing w:before="60" w:after="60"/>
        <w:ind w:firstLine="720"/>
        <w:jc w:val="both"/>
        <w:rPr>
          <w:rFonts w:asciiTheme="majorHAnsi" w:hAnsiTheme="majorHAnsi" w:cstheme="majorHAnsi"/>
          <w:lang w:val="vi-VN"/>
        </w:rPr>
      </w:pPr>
      <w:r>
        <w:rPr>
          <w:rFonts w:asciiTheme="majorHAnsi" w:hAnsiTheme="majorHAnsi" w:cstheme="majorHAnsi"/>
        </w:rPr>
        <w:t>-</w:t>
      </w:r>
      <w:r w:rsidR="00CA63EC" w:rsidRPr="00CA63EC">
        <w:rPr>
          <w:rFonts w:asciiTheme="majorHAnsi" w:hAnsiTheme="majorHAnsi" w:cstheme="majorHAnsi"/>
          <w:lang w:val="vi-VN"/>
        </w:rPr>
        <w:t xml:space="preserve"> Vốn giao năm 2020 là 724.690 triệu đồng, tro</w:t>
      </w:r>
      <w:r>
        <w:rPr>
          <w:rFonts w:asciiTheme="majorHAnsi" w:hAnsiTheme="majorHAnsi" w:cstheme="majorHAnsi"/>
          <w:lang w:val="vi-VN"/>
        </w:rPr>
        <w:t>ng đó: vốn đầu tư phát triển</w:t>
      </w:r>
      <w:r>
        <w:rPr>
          <w:rFonts w:asciiTheme="majorHAnsi" w:hAnsiTheme="majorHAnsi" w:cstheme="majorHAnsi"/>
        </w:rPr>
        <w:t xml:space="preserve">: </w:t>
      </w:r>
      <w:r w:rsidR="00CA63EC" w:rsidRPr="00CA63EC">
        <w:rPr>
          <w:rFonts w:asciiTheme="majorHAnsi" w:hAnsiTheme="majorHAnsi" w:cstheme="majorHAnsi"/>
          <w:lang w:val="vi-VN"/>
        </w:rPr>
        <w:t xml:space="preserve">571.290 triệu đồng (có 150.000 triệu đồng vốn </w:t>
      </w:r>
      <w:r>
        <w:rPr>
          <w:rFonts w:asciiTheme="majorHAnsi" w:hAnsiTheme="majorHAnsi" w:cstheme="majorHAnsi"/>
          <w:lang w:val="vi-VN"/>
        </w:rPr>
        <w:t>nước ngoài) và vốn sự nghiệp</w:t>
      </w:r>
      <w:r>
        <w:rPr>
          <w:rFonts w:asciiTheme="majorHAnsi" w:hAnsiTheme="majorHAnsi" w:cstheme="majorHAnsi"/>
        </w:rPr>
        <w:t>:</w:t>
      </w:r>
      <w:r w:rsidR="00CA63EC" w:rsidRPr="00CA63EC">
        <w:rPr>
          <w:rFonts w:asciiTheme="majorHAnsi" w:hAnsiTheme="majorHAnsi" w:cstheme="majorHAnsi"/>
          <w:lang w:val="vi-VN"/>
        </w:rPr>
        <w:t>153.400 triệu đồng.</w:t>
      </w:r>
    </w:p>
    <w:p w14:paraId="1FAAA789" w14:textId="77777777" w:rsidR="00CA63EC" w:rsidRPr="00CA63EC" w:rsidRDefault="00CC6A5E" w:rsidP="00CA63EC">
      <w:pPr>
        <w:spacing w:before="60" w:after="60"/>
        <w:ind w:firstLine="720"/>
        <w:jc w:val="both"/>
        <w:rPr>
          <w:rFonts w:asciiTheme="majorHAnsi" w:hAnsiTheme="majorHAnsi" w:cstheme="majorHAnsi"/>
          <w:lang w:val="vi-VN"/>
        </w:rPr>
      </w:pPr>
      <w:r>
        <w:rPr>
          <w:rFonts w:asciiTheme="majorHAnsi" w:hAnsiTheme="majorHAnsi" w:cstheme="majorHAnsi"/>
        </w:rPr>
        <w:t>-</w:t>
      </w:r>
      <w:r w:rsidR="00CA63EC" w:rsidRPr="00CA63EC">
        <w:rPr>
          <w:rFonts w:asciiTheme="majorHAnsi" w:hAnsiTheme="majorHAnsi" w:cstheme="majorHAnsi"/>
          <w:lang w:val="vi-VN"/>
        </w:rPr>
        <w:t xml:space="preserve"> Vốn giao năm 2019 chưa</w:t>
      </w:r>
      <w:r>
        <w:rPr>
          <w:rFonts w:asciiTheme="majorHAnsi" w:hAnsiTheme="majorHAnsi" w:cstheme="majorHAnsi"/>
          <w:lang w:val="vi-VN"/>
        </w:rPr>
        <w:t xml:space="preserve"> phân bổ chi tiết chuyển sang</w:t>
      </w:r>
      <w:r w:rsidR="00CA63EC" w:rsidRPr="00CA63EC">
        <w:rPr>
          <w:rFonts w:asciiTheme="majorHAnsi" w:hAnsiTheme="majorHAnsi" w:cstheme="majorHAnsi"/>
          <w:lang w:val="vi-VN"/>
        </w:rPr>
        <w:t>: 10.679 t</w:t>
      </w:r>
      <w:r>
        <w:rPr>
          <w:rFonts w:asciiTheme="majorHAnsi" w:hAnsiTheme="majorHAnsi" w:cstheme="majorHAnsi"/>
          <w:lang w:val="vi-VN"/>
        </w:rPr>
        <w:t>riệu đồng; trong đó vốn ĐTPT</w:t>
      </w:r>
      <w:r>
        <w:rPr>
          <w:rFonts w:asciiTheme="majorHAnsi" w:hAnsiTheme="majorHAnsi" w:cstheme="majorHAnsi"/>
        </w:rPr>
        <w:t>:</w:t>
      </w:r>
      <w:r w:rsidR="00CA63EC" w:rsidRPr="00CA63EC">
        <w:rPr>
          <w:rFonts w:asciiTheme="majorHAnsi" w:hAnsiTheme="majorHAnsi" w:cstheme="majorHAnsi"/>
          <w:lang w:val="vi-VN"/>
        </w:rPr>
        <w:t xml:space="preserve"> 9.</w:t>
      </w:r>
      <w:r>
        <w:rPr>
          <w:rFonts w:asciiTheme="majorHAnsi" w:hAnsiTheme="majorHAnsi" w:cstheme="majorHAnsi"/>
          <w:lang w:val="vi-VN"/>
        </w:rPr>
        <w:t>701 triệu đồng; vốn sự nghiệp</w:t>
      </w:r>
      <w:r>
        <w:rPr>
          <w:rFonts w:asciiTheme="majorHAnsi" w:hAnsiTheme="majorHAnsi" w:cstheme="majorHAnsi"/>
        </w:rPr>
        <w:t>:</w:t>
      </w:r>
      <w:r w:rsidR="00CA63EC" w:rsidRPr="00CA63EC">
        <w:rPr>
          <w:rFonts w:asciiTheme="majorHAnsi" w:hAnsiTheme="majorHAnsi" w:cstheme="majorHAnsi"/>
          <w:lang w:val="vi-VN"/>
        </w:rPr>
        <w:t xml:space="preserve"> 978 triệu đồng.</w:t>
      </w:r>
    </w:p>
    <w:p w14:paraId="70E9EB0A" w14:textId="77777777" w:rsidR="00CA63EC" w:rsidRPr="00CA63EC" w:rsidRDefault="00CC6A5E" w:rsidP="00CA63EC">
      <w:pPr>
        <w:spacing w:before="60" w:after="60"/>
        <w:ind w:firstLine="720"/>
        <w:jc w:val="both"/>
        <w:rPr>
          <w:rFonts w:asciiTheme="majorHAnsi" w:hAnsiTheme="majorHAnsi" w:cstheme="majorHAnsi"/>
          <w:lang w:val="vi-VN"/>
        </w:rPr>
      </w:pPr>
      <w:r>
        <w:rPr>
          <w:rFonts w:asciiTheme="majorHAnsi" w:hAnsiTheme="majorHAnsi" w:cstheme="majorHAnsi"/>
        </w:rPr>
        <w:t>2.</w:t>
      </w:r>
      <w:r>
        <w:rPr>
          <w:rFonts w:asciiTheme="majorHAnsi" w:hAnsiTheme="majorHAnsi" w:cstheme="majorHAnsi"/>
          <w:lang w:val="vi-VN"/>
        </w:rPr>
        <w:t xml:space="preserve"> </w:t>
      </w:r>
      <w:r w:rsidR="00CA63EC" w:rsidRPr="00CA63EC">
        <w:rPr>
          <w:rFonts w:asciiTheme="majorHAnsi" w:hAnsiTheme="majorHAnsi" w:cstheme="majorHAnsi"/>
          <w:lang w:val="vi-VN"/>
        </w:rPr>
        <w:t>Chương trình MTQG giảm nghèo bền vững: 61.121 triệu đồng; gồm:</w:t>
      </w:r>
    </w:p>
    <w:p w14:paraId="58EAC848" w14:textId="77777777" w:rsidR="00CA63EC" w:rsidRPr="00CA63EC" w:rsidRDefault="00CC6A5E" w:rsidP="00CA63EC">
      <w:pPr>
        <w:spacing w:before="60" w:after="60"/>
        <w:ind w:firstLine="720"/>
        <w:jc w:val="both"/>
        <w:rPr>
          <w:rFonts w:asciiTheme="majorHAnsi" w:hAnsiTheme="majorHAnsi" w:cstheme="majorHAnsi"/>
          <w:lang w:val="vi-VN"/>
        </w:rPr>
      </w:pPr>
      <w:r>
        <w:rPr>
          <w:rFonts w:asciiTheme="majorHAnsi" w:hAnsiTheme="majorHAnsi" w:cstheme="majorHAnsi"/>
        </w:rPr>
        <w:lastRenderedPageBreak/>
        <w:t>-</w:t>
      </w:r>
      <w:r w:rsidR="00CA63EC" w:rsidRPr="00CA63EC">
        <w:rPr>
          <w:rFonts w:asciiTheme="majorHAnsi" w:hAnsiTheme="majorHAnsi" w:cstheme="majorHAnsi"/>
          <w:lang w:val="vi-VN"/>
        </w:rPr>
        <w:t xml:space="preserve"> Vốn đầu tư phát triển: 35.897 triệu đồng, bao gồm: 27.899 triệu đồng thực hiện Chương trình 30a và 7.998 triệu đồng vốn nước ngoài thực hiện Chương trình 135.</w:t>
      </w:r>
    </w:p>
    <w:p w14:paraId="4212507E" w14:textId="77777777" w:rsidR="00CA63EC" w:rsidRPr="00CA63EC" w:rsidRDefault="00F61C92" w:rsidP="00CA63EC">
      <w:pPr>
        <w:spacing w:before="60" w:after="60"/>
        <w:ind w:firstLine="720"/>
        <w:jc w:val="both"/>
        <w:rPr>
          <w:rFonts w:asciiTheme="majorHAnsi" w:hAnsiTheme="majorHAnsi" w:cstheme="majorHAnsi"/>
          <w:lang w:val="vi-VN"/>
        </w:rPr>
      </w:pPr>
      <w:r>
        <w:rPr>
          <w:rFonts w:asciiTheme="majorHAnsi" w:hAnsiTheme="majorHAnsi" w:cstheme="majorHAnsi"/>
        </w:rPr>
        <w:t>-</w:t>
      </w:r>
      <w:r w:rsidR="00CA63EC" w:rsidRPr="00CA63EC">
        <w:rPr>
          <w:rFonts w:asciiTheme="majorHAnsi" w:hAnsiTheme="majorHAnsi" w:cstheme="majorHAnsi"/>
          <w:lang w:val="vi-VN"/>
        </w:rPr>
        <w:t xml:space="preserve"> Vốn sự nghiệp: 25.224 triệu đồng.</w:t>
      </w:r>
    </w:p>
    <w:p w14:paraId="53A6BF8C" w14:textId="77777777" w:rsidR="00CA63EC" w:rsidRPr="00F61C92" w:rsidRDefault="00CA63EC" w:rsidP="00CA63EC">
      <w:pPr>
        <w:spacing w:before="60" w:after="60"/>
        <w:ind w:firstLine="720"/>
        <w:jc w:val="both"/>
        <w:rPr>
          <w:rFonts w:asciiTheme="majorHAnsi" w:hAnsiTheme="majorHAnsi" w:cstheme="majorHAnsi"/>
          <w:bCs/>
        </w:rPr>
      </w:pPr>
      <w:r w:rsidRPr="00CA63EC">
        <w:rPr>
          <w:rFonts w:asciiTheme="majorHAnsi" w:hAnsiTheme="majorHAnsi" w:cstheme="majorHAnsi"/>
          <w:lang w:val="vi-VN"/>
        </w:rPr>
        <w:t xml:space="preserve">Trong tổng số kinh phí nói trên có 93.380 triệu đồng đã được </w:t>
      </w:r>
      <w:r w:rsidRPr="00CA63EC">
        <w:rPr>
          <w:rFonts w:asciiTheme="majorHAnsi" w:hAnsiTheme="majorHAnsi" w:cstheme="majorHAnsi"/>
          <w:color w:val="000000"/>
          <w:lang w:val="vi-VN" w:eastAsia="vi-VN"/>
        </w:rPr>
        <w:t xml:space="preserve">Hội đồng nhân dân tỉnh thông qua tại Nghị quyết số 174/NQ-HĐND ngày 15/12/2019 và 27.899 triệu đồng được Thường trực HĐND tỉnh thông qua tại Văn </w:t>
      </w:r>
      <w:r w:rsidRPr="00CA63EC">
        <w:rPr>
          <w:rFonts w:asciiTheme="majorHAnsi" w:hAnsiTheme="majorHAnsi" w:cstheme="majorHAnsi"/>
          <w:bCs/>
          <w:lang w:val="vi-VN"/>
        </w:rPr>
        <w:t>bản số 816/HĐND ngày 31/12/2019.</w:t>
      </w:r>
      <w:r w:rsidR="00F61C92">
        <w:rPr>
          <w:rFonts w:asciiTheme="majorHAnsi" w:hAnsiTheme="majorHAnsi" w:cstheme="majorHAnsi"/>
          <w:bCs/>
        </w:rPr>
        <w:t xml:space="preserve"> </w:t>
      </w:r>
      <w:r w:rsidR="00F61C92">
        <w:rPr>
          <w:rFonts w:asciiTheme="majorHAnsi" w:hAnsiTheme="majorHAnsi" w:cstheme="majorHAnsi"/>
          <w:lang w:val="vi-VN"/>
        </w:rPr>
        <w:t>Các nội dung khác</w:t>
      </w:r>
      <w:r w:rsidR="00F61C92">
        <w:rPr>
          <w:rFonts w:asciiTheme="majorHAnsi" w:hAnsiTheme="majorHAnsi" w:cstheme="majorHAnsi"/>
        </w:rPr>
        <w:t xml:space="preserve"> </w:t>
      </w:r>
      <w:r w:rsidR="00F61C92">
        <w:rPr>
          <w:rFonts w:asciiTheme="majorHAnsi" w:hAnsiTheme="majorHAnsi" w:cstheme="majorHAnsi"/>
          <w:lang w:val="vi-VN"/>
        </w:rPr>
        <w:t xml:space="preserve">giữ nguyên theo </w:t>
      </w:r>
      <w:r w:rsidR="00F61C92" w:rsidRPr="00CA63EC">
        <w:rPr>
          <w:rFonts w:asciiTheme="majorHAnsi" w:hAnsiTheme="majorHAnsi" w:cstheme="majorHAnsi"/>
          <w:color w:val="000000"/>
          <w:lang w:val="vi-VN" w:eastAsia="vi-VN"/>
        </w:rPr>
        <w:t>Tờ trình số 93/TTr-UBND ngày 20/3/2020</w:t>
      </w:r>
      <w:r w:rsidR="00F61C92">
        <w:rPr>
          <w:rFonts w:asciiTheme="majorHAnsi" w:hAnsiTheme="majorHAnsi" w:cstheme="majorHAnsi"/>
          <w:color w:val="000000"/>
          <w:lang w:val="vi-VN" w:eastAsia="vi-VN"/>
        </w:rPr>
        <w:t xml:space="preserve">. </w:t>
      </w:r>
    </w:p>
    <w:p w14:paraId="3F0F4C87" w14:textId="77777777" w:rsidR="00CA63EC" w:rsidRPr="00CA63EC" w:rsidRDefault="00F61C92" w:rsidP="00CA63EC">
      <w:pPr>
        <w:spacing w:before="60" w:after="60"/>
        <w:ind w:firstLine="720"/>
        <w:jc w:val="both"/>
        <w:rPr>
          <w:rFonts w:asciiTheme="majorHAnsi" w:hAnsiTheme="majorHAnsi" w:cstheme="majorHAnsi"/>
          <w:lang w:val="vi-VN"/>
        </w:rPr>
      </w:pPr>
      <w:r>
        <w:rPr>
          <w:rFonts w:asciiTheme="majorHAnsi" w:hAnsiTheme="majorHAnsi" w:cstheme="majorHAnsi"/>
          <w:lang w:val="vi-VN"/>
        </w:rPr>
        <w:t xml:space="preserve">Ủy ban nhân dân tỉnh </w:t>
      </w:r>
      <w:r w:rsidR="00CA63EC" w:rsidRPr="00CA63EC">
        <w:rPr>
          <w:rFonts w:asciiTheme="majorHAnsi" w:hAnsiTheme="majorHAnsi" w:cstheme="majorHAnsi"/>
          <w:lang w:val="vi-VN"/>
        </w:rPr>
        <w:t xml:space="preserve">trình Hội đồng nhân dân tỉnh xem xét, quyết </w:t>
      </w:r>
      <w:r w:rsidR="000F4B84">
        <w:rPr>
          <w:rFonts w:asciiTheme="majorHAnsi" w:hAnsiTheme="majorHAnsi" w:cstheme="majorHAnsi"/>
          <w:lang w:val="vi-VN"/>
        </w:rPr>
        <w:t>nghị./.</w:t>
      </w:r>
    </w:p>
    <w:p w14:paraId="48F7BBBF" w14:textId="77777777" w:rsidR="00CA63EC" w:rsidRDefault="00CA63EC" w:rsidP="00CA63EC">
      <w:pPr>
        <w:spacing w:before="60" w:after="60"/>
        <w:jc w:val="center"/>
        <w:rPr>
          <w:rFonts w:asciiTheme="majorHAnsi" w:hAnsiTheme="majorHAnsi" w:cstheme="majorHAnsi"/>
          <w:i/>
        </w:rPr>
      </w:pPr>
      <w:r w:rsidRPr="00CA63EC">
        <w:rPr>
          <w:rFonts w:asciiTheme="majorHAnsi" w:hAnsiTheme="majorHAnsi" w:cstheme="majorHAnsi"/>
          <w:i/>
          <w:lang w:val="vi-VN"/>
        </w:rPr>
        <w:t>(Có dự thảo Nghị quyết</w:t>
      </w:r>
      <w:r w:rsidR="00147E2F">
        <w:rPr>
          <w:rFonts w:asciiTheme="majorHAnsi" w:hAnsiTheme="majorHAnsi" w:cstheme="majorHAnsi"/>
          <w:i/>
        </w:rPr>
        <w:t xml:space="preserve"> và chi tiết</w:t>
      </w:r>
      <w:r w:rsidR="00F61C92">
        <w:rPr>
          <w:rFonts w:asciiTheme="majorHAnsi" w:hAnsiTheme="majorHAnsi" w:cstheme="majorHAnsi"/>
          <w:i/>
        </w:rPr>
        <w:t xml:space="preserve"> các phụ biểu </w:t>
      </w:r>
      <w:r w:rsidRPr="00CA63EC">
        <w:rPr>
          <w:rFonts w:asciiTheme="majorHAnsi" w:hAnsiTheme="majorHAnsi" w:cstheme="majorHAnsi"/>
          <w:i/>
          <w:lang w:val="vi-VN"/>
        </w:rPr>
        <w:t xml:space="preserve"> kèm theo)</w:t>
      </w:r>
    </w:p>
    <w:p w14:paraId="62EA6D05" w14:textId="77777777" w:rsidR="00607D98" w:rsidRPr="00607D98" w:rsidRDefault="00607D98" w:rsidP="00CA63EC">
      <w:pPr>
        <w:spacing w:before="60" w:after="60"/>
        <w:jc w:val="center"/>
        <w:rPr>
          <w:rFonts w:asciiTheme="majorHAnsi" w:hAnsiTheme="majorHAnsi" w:cstheme="majorHAnsi"/>
          <w:i/>
        </w:rPr>
      </w:pPr>
    </w:p>
    <w:tbl>
      <w:tblPr>
        <w:tblW w:w="0" w:type="auto"/>
        <w:tblLook w:val="00A0" w:firstRow="1" w:lastRow="0" w:firstColumn="1" w:lastColumn="0" w:noHBand="0" w:noVBand="0"/>
      </w:tblPr>
      <w:tblGrid>
        <w:gridCol w:w="4644"/>
        <w:gridCol w:w="4360"/>
      </w:tblGrid>
      <w:tr w:rsidR="00607D98" w:rsidRPr="00607D98" w14:paraId="106A692F" w14:textId="77777777" w:rsidTr="003C401F">
        <w:tc>
          <w:tcPr>
            <w:tcW w:w="4644" w:type="dxa"/>
          </w:tcPr>
          <w:p w14:paraId="56654277" w14:textId="77777777" w:rsidR="00607D98" w:rsidRPr="00607D98" w:rsidRDefault="00607D98" w:rsidP="00607D98">
            <w:pPr>
              <w:jc w:val="both"/>
              <w:rPr>
                <w:rFonts w:ascii="Times New Roman" w:hAnsi="Times New Roman"/>
                <w:b/>
                <w:sz w:val="24"/>
                <w:lang w:val="vi-VN"/>
              </w:rPr>
            </w:pPr>
            <w:r w:rsidRPr="00607D98">
              <w:rPr>
                <w:rFonts w:ascii="Times New Roman" w:hAnsi="Times New Roman"/>
                <w:b/>
                <w:i/>
                <w:sz w:val="24"/>
                <w:lang w:val="vi-VN"/>
              </w:rPr>
              <w:t>N</w:t>
            </w:r>
            <w:r w:rsidRPr="00607D98">
              <w:rPr>
                <w:rFonts w:ascii="Times New Roman" w:hAnsi="Times New Roman" w:cs="Arial"/>
                <w:b/>
                <w:i/>
                <w:sz w:val="24"/>
                <w:lang w:val="vi-VN"/>
              </w:rPr>
              <w:t>ơ</w:t>
            </w:r>
            <w:r w:rsidRPr="00607D98">
              <w:rPr>
                <w:rFonts w:ascii="Times New Roman" w:hAnsi="Times New Roman"/>
                <w:b/>
                <w:i/>
                <w:sz w:val="24"/>
                <w:lang w:val="vi-VN"/>
              </w:rPr>
              <w:t>i nh</w:t>
            </w:r>
            <w:r w:rsidRPr="00607D98">
              <w:rPr>
                <w:rFonts w:ascii="Times New Roman" w:hAnsi="Times New Roman" w:cs="Arial"/>
                <w:b/>
                <w:i/>
                <w:sz w:val="24"/>
                <w:lang w:val="vi-VN"/>
              </w:rPr>
              <w:t>ậ</w:t>
            </w:r>
            <w:r w:rsidRPr="00607D98">
              <w:rPr>
                <w:rFonts w:ascii="Times New Roman" w:hAnsi="Times New Roman" w:cs=".VnTime"/>
                <w:b/>
                <w:i/>
                <w:sz w:val="24"/>
                <w:lang w:val="vi-VN"/>
              </w:rPr>
              <w:t>n</w:t>
            </w:r>
            <w:r w:rsidRPr="00607D98">
              <w:rPr>
                <w:rFonts w:ascii="Times New Roman" w:hAnsi="Times New Roman"/>
                <w:b/>
                <w:i/>
                <w:sz w:val="24"/>
                <w:lang w:val="vi-VN"/>
              </w:rPr>
              <w:t>:</w:t>
            </w:r>
          </w:p>
          <w:p w14:paraId="05B3AD6B" w14:textId="77777777" w:rsidR="00607D98" w:rsidRPr="00607D98" w:rsidRDefault="00607D98" w:rsidP="00607D98">
            <w:pPr>
              <w:jc w:val="both"/>
              <w:rPr>
                <w:rFonts w:ascii="Times New Roman" w:hAnsi="Times New Roman"/>
                <w:sz w:val="22"/>
                <w:lang w:val="vi-VN"/>
              </w:rPr>
            </w:pPr>
            <w:r w:rsidRPr="00607D98">
              <w:rPr>
                <w:rFonts w:ascii="Times New Roman" w:hAnsi="Times New Roman"/>
                <w:sz w:val="22"/>
                <w:lang w:val="vi-VN"/>
              </w:rPr>
              <w:t>- TTr HĐND tỉnh;</w:t>
            </w:r>
          </w:p>
          <w:p w14:paraId="5910A1B5" w14:textId="77777777" w:rsidR="00607D98" w:rsidRPr="00607D98" w:rsidRDefault="00607D98" w:rsidP="00607D98">
            <w:pPr>
              <w:jc w:val="both"/>
              <w:rPr>
                <w:rFonts w:ascii="Times New Roman" w:hAnsi="Times New Roman"/>
                <w:sz w:val="22"/>
                <w:lang w:val="vi-VN"/>
              </w:rPr>
            </w:pPr>
            <w:r w:rsidRPr="00607D98">
              <w:rPr>
                <w:rFonts w:ascii="Times New Roman" w:hAnsi="Times New Roman"/>
                <w:sz w:val="22"/>
                <w:lang w:val="vi-VN"/>
              </w:rPr>
              <w:t xml:space="preserve">- Các </w:t>
            </w:r>
            <w:r w:rsidRPr="00607D98">
              <w:rPr>
                <w:rFonts w:ascii="Times New Roman" w:hAnsi="Times New Roman"/>
                <w:sz w:val="22"/>
              </w:rPr>
              <w:t>đ</w:t>
            </w:r>
            <w:r w:rsidRPr="00607D98">
              <w:rPr>
                <w:rFonts w:ascii="Times New Roman" w:hAnsi="Times New Roman"/>
                <w:sz w:val="22"/>
                <w:lang w:val="vi-VN"/>
              </w:rPr>
              <w:t>ại biểu HĐND tỉnh;</w:t>
            </w:r>
          </w:p>
          <w:p w14:paraId="6E1893AA" w14:textId="77777777" w:rsidR="00677682" w:rsidRDefault="00607D98" w:rsidP="00607D98">
            <w:pPr>
              <w:jc w:val="both"/>
              <w:rPr>
                <w:rFonts w:ascii="Times New Roman" w:hAnsi="Times New Roman"/>
                <w:sz w:val="22"/>
              </w:rPr>
            </w:pPr>
            <w:r w:rsidRPr="00607D98">
              <w:rPr>
                <w:rFonts w:ascii="Times New Roman" w:hAnsi="Times New Roman"/>
                <w:sz w:val="22"/>
                <w:lang w:val="vi-VN"/>
              </w:rPr>
              <w:t>- Chủ tịch, các PCT UBND tỉnh;</w:t>
            </w:r>
          </w:p>
          <w:p w14:paraId="3FE5C4B6" w14:textId="77777777" w:rsidR="00912009" w:rsidRPr="00912009" w:rsidRDefault="000832D6" w:rsidP="00607D98">
            <w:pPr>
              <w:jc w:val="both"/>
              <w:rPr>
                <w:rFonts w:ascii="Times New Roman" w:hAnsi="Times New Roman"/>
                <w:sz w:val="22"/>
              </w:rPr>
            </w:pPr>
            <w:r>
              <w:rPr>
                <w:rFonts w:ascii="Times New Roman" w:hAnsi="Times New Roman"/>
                <w:sz w:val="22"/>
              </w:rPr>
              <w:t>- Các Sở: Kế hoạch và Đầu tư, Tài chính;</w:t>
            </w:r>
          </w:p>
          <w:p w14:paraId="6CB85FF1" w14:textId="77777777" w:rsidR="00607D98" w:rsidRPr="00607D98" w:rsidRDefault="00607D98" w:rsidP="00607D98">
            <w:pPr>
              <w:jc w:val="both"/>
              <w:rPr>
                <w:rFonts w:ascii="Times New Roman" w:hAnsi="Times New Roman"/>
                <w:sz w:val="22"/>
              </w:rPr>
            </w:pPr>
            <w:r w:rsidRPr="00607D98">
              <w:rPr>
                <w:rFonts w:ascii="Times New Roman" w:hAnsi="Times New Roman"/>
                <w:sz w:val="22"/>
              </w:rPr>
              <w:t>- Chánh VP, các PVP;</w:t>
            </w:r>
          </w:p>
          <w:p w14:paraId="78459AFB" w14:textId="77777777" w:rsidR="00607D98" w:rsidRPr="00607D98" w:rsidRDefault="00607D98" w:rsidP="00607D98">
            <w:pPr>
              <w:jc w:val="both"/>
              <w:rPr>
                <w:rFonts w:ascii="Times New Roman" w:hAnsi="Times New Roman"/>
                <w:sz w:val="24"/>
              </w:rPr>
            </w:pPr>
            <w:r w:rsidRPr="00607D98">
              <w:rPr>
                <w:rFonts w:ascii="Times New Roman" w:hAnsi="Times New Roman"/>
                <w:sz w:val="22"/>
              </w:rPr>
              <w:t>- L</w:t>
            </w:r>
            <w:r w:rsidRPr="00607D98">
              <w:rPr>
                <w:rFonts w:ascii="Times New Roman" w:hAnsi="Times New Roman" w:cs="Arial"/>
                <w:sz w:val="22"/>
              </w:rPr>
              <w:t>ư</w:t>
            </w:r>
            <w:r w:rsidRPr="00607D98">
              <w:rPr>
                <w:rFonts w:ascii="Times New Roman" w:hAnsi="Times New Roman"/>
                <w:sz w:val="22"/>
              </w:rPr>
              <w:t>u VT, TH.</w:t>
            </w:r>
          </w:p>
        </w:tc>
        <w:tc>
          <w:tcPr>
            <w:tcW w:w="4360" w:type="dxa"/>
          </w:tcPr>
          <w:p w14:paraId="215787E5" w14:textId="77777777" w:rsidR="00607D98" w:rsidRPr="00607D98" w:rsidRDefault="00607D98" w:rsidP="00607D98">
            <w:pPr>
              <w:jc w:val="center"/>
              <w:rPr>
                <w:rFonts w:ascii="Times New Roman" w:hAnsi="Times New Roman"/>
                <w:b/>
                <w:sz w:val="26"/>
              </w:rPr>
            </w:pPr>
            <w:r w:rsidRPr="00607D98">
              <w:rPr>
                <w:rFonts w:ascii="Times New Roman" w:hAnsi="Times New Roman"/>
                <w:b/>
                <w:sz w:val="26"/>
              </w:rPr>
              <w:t>TM. U</w:t>
            </w:r>
            <w:r w:rsidRPr="00607D98">
              <w:rPr>
                <w:rFonts w:ascii="Times New Roman" w:hAnsi="Times New Roman" w:cs="Arial"/>
                <w:b/>
                <w:sz w:val="26"/>
              </w:rPr>
              <w:t>Ỷ</w:t>
            </w:r>
            <w:r w:rsidRPr="00607D98">
              <w:rPr>
                <w:rFonts w:ascii="Times New Roman" w:hAnsi="Times New Roman"/>
                <w:b/>
                <w:sz w:val="26"/>
              </w:rPr>
              <w:t xml:space="preserve"> BAN NH</w:t>
            </w:r>
            <w:r w:rsidRPr="00607D98">
              <w:rPr>
                <w:rFonts w:ascii="Times New Roman" w:hAnsi="Times New Roman" w:cs="Arial"/>
                <w:b/>
                <w:sz w:val="26"/>
              </w:rPr>
              <w:t>Â</w:t>
            </w:r>
            <w:r w:rsidRPr="00607D98">
              <w:rPr>
                <w:rFonts w:ascii="Times New Roman" w:hAnsi="Times New Roman"/>
                <w:b/>
                <w:sz w:val="26"/>
              </w:rPr>
              <w:t>N D</w:t>
            </w:r>
            <w:r w:rsidRPr="00607D98">
              <w:rPr>
                <w:rFonts w:ascii="Times New Roman" w:hAnsi="Times New Roman" w:cs="Arial"/>
                <w:b/>
                <w:sz w:val="26"/>
              </w:rPr>
              <w:t>Â</w:t>
            </w:r>
            <w:r w:rsidRPr="00607D98">
              <w:rPr>
                <w:rFonts w:ascii="Times New Roman" w:hAnsi="Times New Roman"/>
                <w:b/>
                <w:sz w:val="26"/>
              </w:rPr>
              <w:t>N</w:t>
            </w:r>
          </w:p>
          <w:p w14:paraId="360527A5" w14:textId="77777777" w:rsidR="00607D98" w:rsidRPr="00607D98" w:rsidRDefault="00607D98" w:rsidP="00607D98">
            <w:pPr>
              <w:jc w:val="center"/>
              <w:rPr>
                <w:rFonts w:ascii="Times New Roman" w:hAnsi="Times New Roman" w:cs=".VnTime"/>
                <w:b/>
                <w:sz w:val="26"/>
              </w:rPr>
            </w:pPr>
            <w:r w:rsidRPr="00607D98">
              <w:rPr>
                <w:rFonts w:ascii="Times New Roman" w:hAnsi="Times New Roman"/>
                <w:b/>
                <w:sz w:val="26"/>
              </w:rPr>
              <w:t>CH</w:t>
            </w:r>
            <w:r w:rsidRPr="00607D98">
              <w:rPr>
                <w:rFonts w:ascii="Times New Roman" w:hAnsi="Times New Roman" w:cs="Arial"/>
                <w:b/>
                <w:sz w:val="26"/>
              </w:rPr>
              <w:t>Ủ</w:t>
            </w:r>
            <w:r w:rsidRPr="00607D98">
              <w:rPr>
                <w:rFonts w:ascii="Times New Roman" w:hAnsi="Times New Roman"/>
                <w:b/>
                <w:sz w:val="26"/>
              </w:rPr>
              <w:t xml:space="preserve"> T</w:t>
            </w:r>
            <w:r w:rsidRPr="00607D98">
              <w:rPr>
                <w:rFonts w:ascii="Times New Roman" w:hAnsi="Times New Roman" w:cs="Arial"/>
                <w:b/>
                <w:sz w:val="26"/>
              </w:rPr>
              <w:t>Ị</w:t>
            </w:r>
            <w:r w:rsidRPr="00607D98">
              <w:rPr>
                <w:rFonts w:ascii="Times New Roman" w:hAnsi="Times New Roman" w:cs=".VnTime"/>
                <w:b/>
                <w:sz w:val="26"/>
              </w:rPr>
              <w:t>CH</w:t>
            </w:r>
          </w:p>
          <w:p w14:paraId="7ECEBB68" w14:textId="77777777" w:rsidR="00607D98" w:rsidRPr="00607D98" w:rsidRDefault="00607D98" w:rsidP="00607D98">
            <w:pPr>
              <w:rPr>
                <w:rFonts w:ascii="Times New Roman" w:hAnsi="Times New Roman"/>
                <w:b/>
              </w:rPr>
            </w:pPr>
          </w:p>
          <w:p w14:paraId="5BF87625" w14:textId="77777777" w:rsidR="00607D98" w:rsidRPr="00607D98" w:rsidRDefault="00607D98" w:rsidP="00607D98">
            <w:pPr>
              <w:rPr>
                <w:rFonts w:ascii="Times New Roman" w:hAnsi="Times New Roman"/>
                <w:b/>
              </w:rPr>
            </w:pPr>
          </w:p>
          <w:p w14:paraId="65D962E6" w14:textId="77777777" w:rsidR="00607D98" w:rsidRPr="00607D98" w:rsidRDefault="00607D98" w:rsidP="00607D98">
            <w:pPr>
              <w:rPr>
                <w:rFonts w:ascii="Times New Roman" w:hAnsi="Times New Roman"/>
                <w:b/>
              </w:rPr>
            </w:pPr>
          </w:p>
          <w:p w14:paraId="5FB3FC40" w14:textId="77777777" w:rsidR="00607D98" w:rsidRDefault="00607D98" w:rsidP="00607D98">
            <w:pPr>
              <w:rPr>
                <w:rFonts w:ascii="Times New Roman" w:hAnsi="Times New Roman"/>
                <w:b/>
              </w:rPr>
            </w:pPr>
          </w:p>
          <w:p w14:paraId="16E11645" w14:textId="77777777" w:rsidR="004D50E1" w:rsidRPr="00607D98" w:rsidRDefault="004D50E1" w:rsidP="00607D98">
            <w:pPr>
              <w:rPr>
                <w:rFonts w:ascii="Times New Roman" w:hAnsi="Times New Roman"/>
                <w:b/>
              </w:rPr>
            </w:pPr>
          </w:p>
          <w:p w14:paraId="54200193" w14:textId="77777777" w:rsidR="00607D98" w:rsidRPr="00A07F28" w:rsidRDefault="00607D98" w:rsidP="00607D98">
            <w:pPr>
              <w:rPr>
                <w:rFonts w:ascii="Times New Roman" w:hAnsi="Times New Roman"/>
                <w:b/>
                <w:sz w:val="40"/>
                <w:lang w:val="vi-VN"/>
              </w:rPr>
            </w:pPr>
          </w:p>
          <w:p w14:paraId="6AE93A31" w14:textId="77777777" w:rsidR="00607D98" w:rsidRPr="00607D98" w:rsidRDefault="00607D98" w:rsidP="00607D98">
            <w:pPr>
              <w:jc w:val="center"/>
              <w:rPr>
                <w:rFonts w:ascii="Times New Roman" w:hAnsi="Times New Roman"/>
                <w:b/>
              </w:rPr>
            </w:pPr>
            <w:r w:rsidRPr="00607D98">
              <w:rPr>
                <w:rFonts w:ascii="Times New Roman" w:hAnsi="Times New Roman"/>
                <w:b/>
              </w:rPr>
              <w:t xml:space="preserve">   Trần Tiến Hưng</w:t>
            </w:r>
          </w:p>
        </w:tc>
      </w:tr>
    </w:tbl>
    <w:p w14:paraId="5D51DB75" w14:textId="77777777" w:rsidR="00F61C92" w:rsidRPr="00607D98" w:rsidRDefault="00F61C92" w:rsidP="00CA63EC">
      <w:pPr>
        <w:spacing w:before="60" w:after="60"/>
        <w:jc w:val="center"/>
        <w:rPr>
          <w:rFonts w:asciiTheme="majorHAnsi" w:hAnsiTheme="majorHAnsi" w:cstheme="majorHAnsi"/>
        </w:rPr>
      </w:pPr>
    </w:p>
    <w:p w14:paraId="285CF7DD" w14:textId="77777777" w:rsidR="00CA63EC" w:rsidRDefault="00CA63EC" w:rsidP="00CA63EC">
      <w:pPr>
        <w:spacing w:before="60" w:after="60"/>
        <w:ind w:firstLine="709"/>
        <w:jc w:val="both"/>
        <w:rPr>
          <w:rFonts w:asciiTheme="majorHAnsi" w:hAnsiTheme="majorHAnsi" w:cstheme="majorHAnsi"/>
        </w:rPr>
      </w:pPr>
    </w:p>
    <w:p w14:paraId="119DA364" w14:textId="77777777" w:rsidR="00607D98" w:rsidRDefault="00607D98" w:rsidP="00CA63EC">
      <w:pPr>
        <w:spacing w:before="60" w:after="60"/>
        <w:ind w:firstLine="709"/>
        <w:jc w:val="both"/>
        <w:rPr>
          <w:rFonts w:asciiTheme="majorHAnsi" w:hAnsiTheme="majorHAnsi" w:cstheme="majorHAnsi"/>
        </w:rPr>
      </w:pPr>
    </w:p>
    <w:p w14:paraId="6791FF74" w14:textId="77777777" w:rsidR="00607D98" w:rsidRDefault="00607D98" w:rsidP="00CA63EC">
      <w:pPr>
        <w:spacing w:before="60" w:after="60"/>
        <w:ind w:firstLine="709"/>
        <w:jc w:val="both"/>
        <w:rPr>
          <w:rFonts w:asciiTheme="majorHAnsi" w:hAnsiTheme="majorHAnsi" w:cstheme="majorHAnsi"/>
        </w:rPr>
      </w:pPr>
    </w:p>
    <w:p w14:paraId="6701F3F5" w14:textId="77777777" w:rsidR="00607D98" w:rsidRDefault="00607D98" w:rsidP="00CA63EC">
      <w:pPr>
        <w:spacing w:before="60" w:after="60"/>
        <w:ind w:firstLine="709"/>
        <w:jc w:val="both"/>
        <w:rPr>
          <w:rFonts w:asciiTheme="majorHAnsi" w:hAnsiTheme="majorHAnsi" w:cstheme="majorHAnsi"/>
        </w:rPr>
      </w:pPr>
    </w:p>
    <w:p w14:paraId="50F8F0A5" w14:textId="77777777" w:rsidR="00607D98" w:rsidRDefault="00607D98" w:rsidP="00CA63EC">
      <w:pPr>
        <w:spacing w:before="60" w:after="60"/>
        <w:ind w:firstLine="709"/>
        <w:jc w:val="both"/>
        <w:rPr>
          <w:rFonts w:asciiTheme="majorHAnsi" w:hAnsiTheme="majorHAnsi" w:cstheme="majorHAnsi"/>
        </w:rPr>
      </w:pPr>
    </w:p>
    <w:p w14:paraId="7934C055" w14:textId="77777777" w:rsidR="00607D98" w:rsidRDefault="00607D98" w:rsidP="00CA63EC">
      <w:pPr>
        <w:spacing w:before="60" w:after="60"/>
        <w:ind w:firstLine="709"/>
        <w:jc w:val="both"/>
        <w:rPr>
          <w:rFonts w:asciiTheme="majorHAnsi" w:hAnsiTheme="majorHAnsi" w:cstheme="majorHAnsi"/>
        </w:rPr>
      </w:pPr>
    </w:p>
    <w:p w14:paraId="77C36746" w14:textId="77777777" w:rsidR="00607D98" w:rsidRDefault="00607D98" w:rsidP="00CA63EC">
      <w:pPr>
        <w:spacing w:before="60" w:after="60"/>
        <w:ind w:firstLine="709"/>
        <w:jc w:val="both"/>
        <w:rPr>
          <w:rFonts w:asciiTheme="majorHAnsi" w:hAnsiTheme="majorHAnsi" w:cstheme="majorHAnsi"/>
        </w:rPr>
      </w:pPr>
    </w:p>
    <w:p w14:paraId="1E5DE5F0" w14:textId="77777777" w:rsidR="00607D98" w:rsidRDefault="00607D98" w:rsidP="00CA63EC">
      <w:pPr>
        <w:spacing w:before="60" w:after="60"/>
        <w:ind w:firstLine="709"/>
        <w:jc w:val="both"/>
        <w:rPr>
          <w:rFonts w:asciiTheme="majorHAnsi" w:hAnsiTheme="majorHAnsi" w:cstheme="majorHAnsi"/>
        </w:rPr>
      </w:pPr>
    </w:p>
    <w:p w14:paraId="134AE542" w14:textId="77777777" w:rsidR="00607D98" w:rsidRDefault="00607D98" w:rsidP="00CA63EC">
      <w:pPr>
        <w:spacing w:before="60" w:after="60"/>
        <w:ind w:firstLine="709"/>
        <w:jc w:val="both"/>
        <w:rPr>
          <w:rFonts w:asciiTheme="majorHAnsi" w:hAnsiTheme="majorHAnsi" w:cstheme="majorHAnsi"/>
        </w:rPr>
      </w:pPr>
    </w:p>
    <w:p w14:paraId="3B49C9E0" w14:textId="77777777" w:rsidR="00607D98" w:rsidRDefault="00607D98" w:rsidP="00CA63EC">
      <w:pPr>
        <w:spacing w:before="60" w:after="60"/>
        <w:ind w:firstLine="709"/>
        <w:jc w:val="both"/>
        <w:rPr>
          <w:rFonts w:asciiTheme="majorHAnsi" w:hAnsiTheme="majorHAnsi" w:cstheme="majorHAnsi"/>
        </w:rPr>
      </w:pPr>
    </w:p>
    <w:p w14:paraId="18D2795C" w14:textId="77777777" w:rsidR="00607D98" w:rsidRDefault="00607D98" w:rsidP="00CA63EC">
      <w:pPr>
        <w:spacing w:before="60" w:after="60"/>
        <w:ind w:firstLine="709"/>
        <w:jc w:val="both"/>
        <w:rPr>
          <w:rFonts w:asciiTheme="majorHAnsi" w:hAnsiTheme="majorHAnsi" w:cstheme="majorHAnsi"/>
        </w:rPr>
      </w:pPr>
    </w:p>
    <w:p w14:paraId="5D866FE0" w14:textId="77777777" w:rsidR="00607D98" w:rsidRDefault="00607D98" w:rsidP="00CA63EC">
      <w:pPr>
        <w:spacing w:before="60" w:after="60"/>
        <w:ind w:firstLine="709"/>
        <w:jc w:val="both"/>
        <w:rPr>
          <w:rFonts w:asciiTheme="majorHAnsi" w:hAnsiTheme="majorHAnsi" w:cstheme="majorHAnsi"/>
        </w:rPr>
      </w:pPr>
    </w:p>
    <w:p w14:paraId="097EB9B9" w14:textId="77777777" w:rsidR="00607D98" w:rsidRDefault="00607D98" w:rsidP="00CA63EC">
      <w:pPr>
        <w:spacing w:before="60" w:after="60"/>
        <w:ind w:firstLine="709"/>
        <w:jc w:val="both"/>
        <w:rPr>
          <w:rFonts w:asciiTheme="majorHAnsi" w:hAnsiTheme="majorHAnsi" w:cstheme="majorHAnsi"/>
        </w:rPr>
      </w:pPr>
    </w:p>
    <w:p w14:paraId="5DA79D69" w14:textId="77777777" w:rsidR="00607D98" w:rsidRDefault="00607D98" w:rsidP="00CA63EC">
      <w:pPr>
        <w:spacing w:before="60" w:after="60"/>
        <w:ind w:firstLine="709"/>
        <w:jc w:val="both"/>
        <w:rPr>
          <w:rFonts w:asciiTheme="majorHAnsi" w:hAnsiTheme="majorHAnsi" w:cstheme="majorHAnsi"/>
        </w:rPr>
      </w:pPr>
    </w:p>
    <w:p w14:paraId="024EAF9F" w14:textId="77777777" w:rsidR="00607D98" w:rsidRDefault="00607D98" w:rsidP="00CA63EC">
      <w:pPr>
        <w:spacing w:before="60" w:after="60"/>
        <w:ind w:firstLine="709"/>
        <w:jc w:val="both"/>
        <w:rPr>
          <w:rFonts w:asciiTheme="majorHAnsi" w:hAnsiTheme="majorHAnsi" w:cstheme="majorHAnsi"/>
        </w:rPr>
      </w:pPr>
    </w:p>
    <w:p w14:paraId="1FB41E83" w14:textId="77777777" w:rsidR="00607D98" w:rsidRDefault="00607D98" w:rsidP="00CA63EC">
      <w:pPr>
        <w:spacing w:before="60" w:after="60"/>
        <w:ind w:firstLine="709"/>
        <w:jc w:val="both"/>
        <w:rPr>
          <w:rFonts w:asciiTheme="majorHAnsi" w:hAnsiTheme="majorHAnsi" w:cstheme="majorHAnsi"/>
        </w:rPr>
      </w:pPr>
    </w:p>
    <w:p w14:paraId="5C034076" w14:textId="77777777" w:rsidR="00607D98" w:rsidRDefault="00607D98" w:rsidP="00CA63EC">
      <w:pPr>
        <w:spacing w:before="60" w:after="60"/>
        <w:ind w:firstLine="709"/>
        <w:jc w:val="both"/>
        <w:rPr>
          <w:rFonts w:asciiTheme="majorHAnsi" w:hAnsiTheme="majorHAnsi" w:cstheme="majorHAnsi"/>
        </w:rPr>
      </w:pPr>
    </w:p>
    <w:sectPr w:rsidR="00607D98" w:rsidSect="00976003">
      <w:headerReference w:type="default" r:id="rId7"/>
      <w:foot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DB7C5" w14:textId="77777777" w:rsidR="00C10911" w:rsidRDefault="00C10911" w:rsidP="006B1F63">
      <w:r>
        <w:separator/>
      </w:r>
    </w:p>
  </w:endnote>
  <w:endnote w:type="continuationSeparator" w:id="0">
    <w:p w14:paraId="568D68C5" w14:textId="77777777" w:rsidR="00C10911" w:rsidRDefault="00C10911" w:rsidP="006B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33F32" w14:textId="77777777" w:rsidR="0096510E" w:rsidRDefault="0096510E">
    <w:pPr>
      <w:pStyle w:val="Footer"/>
      <w:jc w:val="center"/>
    </w:pPr>
  </w:p>
  <w:p w14:paraId="2F9C6A82" w14:textId="77777777" w:rsidR="0096510E" w:rsidRDefault="00965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A5385" w14:textId="77777777" w:rsidR="00C10911" w:rsidRDefault="00C10911" w:rsidP="006B1F63">
      <w:r>
        <w:separator/>
      </w:r>
    </w:p>
  </w:footnote>
  <w:footnote w:type="continuationSeparator" w:id="0">
    <w:p w14:paraId="6C246801" w14:textId="77777777" w:rsidR="00C10911" w:rsidRDefault="00C10911" w:rsidP="006B1F63">
      <w:r>
        <w:continuationSeparator/>
      </w:r>
    </w:p>
  </w:footnote>
  <w:footnote w:id="1">
    <w:p w14:paraId="196B3511" w14:textId="77777777" w:rsidR="00AD4B06" w:rsidRPr="00AD4B06" w:rsidRDefault="00AD4B06">
      <w:pPr>
        <w:pStyle w:val="FootnoteText"/>
        <w:rPr>
          <w:rFonts w:asciiTheme="majorHAnsi" w:hAnsiTheme="majorHAnsi" w:cstheme="majorHAnsi"/>
          <w:sz w:val="22"/>
          <w:szCs w:val="22"/>
          <w:lang w:val="vi-VN"/>
        </w:rPr>
      </w:pPr>
      <w:r>
        <w:rPr>
          <w:rStyle w:val="FootnoteReference"/>
        </w:rPr>
        <w:footnoteRef/>
      </w:r>
      <w:r>
        <w:t xml:space="preserve"> </w:t>
      </w:r>
      <w:r>
        <w:rPr>
          <w:rFonts w:asciiTheme="majorHAnsi" w:hAnsiTheme="majorHAnsi" w:cstheme="majorHAnsi"/>
          <w:sz w:val="22"/>
          <w:szCs w:val="22"/>
        </w:rPr>
        <w:t xml:space="preserve">trong 22 dự án trước đây, Trung tâm </w:t>
      </w:r>
      <w:r w:rsidRPr="00365B08">
        <w:rPr>
          <w:rFonts w:asciiTheme="majorHAnsi" w:hAnsiTheme="majorHAnsi" w:cstheme="majorHAnsi"/>
          <w:lang w:val="nl-NL"/>
        </w:rPr>
        <w:t>Nước sinh hoạt và VSMT nông thôn</w:t>
      </w:r>
      <w:r>
        <w:rPr>
          <w:rFonts w:asciiTheme="majorHAnsi" w:hAnsiTheme="majorHAnsi" w:cstheme="majorHAnsi"/>
          <w:lang w:val="nl-NL"/>
        </w:rPr>
        <w:t xml:space="preserve"> làm chủ đầu tư 17/22 dự án, các xã làm chủ đầu tư 3/22 dự án và các đơn vị khác làm chủ đầu tư 2/22 dự án</w:t>
      </w:r>
    </w:p>
  </w:footnote>
  <w:footnote w:id="2">
    <w:p w14:paraId="40DF91A9" w14:textId="77777777" w:rsidR="00080840" w:rsidRPr="008E2585" w:rsidRDefault="00080840" w:rsidP="00080840">
      <w:pPr>
        <w:pStyle w:val="FootnoteText"/>
        <w:jc w:val="both"/>
        <w:rPr>
          <w:rFonts w:asciiTheme="majorHAnsi" w:hAnsiTheme="majorHAnsi" w:cstheme="majorHAnsi"/>
          <w:lang w:val="vi-VN"/>
        </w:rPr>
      </w:pPr>
      <w:r w:rsidRPr="008E2585">
        <w:rPr>
          <w:rStyle w:val="FootnoteReference"/>
          <w:rFonts w:asciiTheme="majorHAnsi" w:hAnsiTheme="majorHAnsi" w:cstheme="majorHAnsi"/>
        </w:rPr>
        <w:footnoteRef/>
      </w:r>
      <w:r w:rsidRPr="00F3098D">
        <w:rPr>
          <w:rFonts w:asciiTheme="majorHAnsi" w:hAnsiTheme="majorHAnsi" w:cstheme="majorHAnsi"/>
          <w:lang w:val="vi-VN"/>
        </w:rPr>
        <w:t>Có 05 công trình do Trung tâm nước sạch &amp; vệ sinh môi trường nông thôn quản lý, khai thác: (1) Thay thế nguồn cấp nước thô cho nhà máy cấp nước Bắc Thạch Hà; (2). Mở rộng nhà máy nước Thạch Bằng cấp cho xã Tân Lộc (giai đoạn 2); (3). Mở rộng, nâng cấp, sửa chữa hệ thống mạng lưới công trình cấp nước Thiên Lộc; (4). Mở rộng, nâng cấp, sửa chữa hệ thống mạng lưới công trình cấp nước sinh hoạt Khánh Lộc</w:t>
      </w:r>
      <w:r w:rsidR="001868A6">
        <w:rPr>
          <w:rFonts w:asciiTheme="majorHAnsi" w:hAnsiTheme="majorHAnsi" w:cstheme="majorHAnsi"/>
        </w:rPr>
        <w:t xml:space="preserve"> (nay là xã Khánh Vĩnh Yên)</w:t>
      </w:r>
      <w:r w:rsidRPr="00F3098D">
        <w:rPr>
          <w:rFonts w:asciiTheme="majorHAnsi" w:hAnsiTheme="majorHAnsi" w:cstheme="majorHAnsi"/>
          <w:lang w:val="vi-VN"/>
        </w:rPr>
        <w:t>; (5). Mở rộng nhà máy nước Bắc Cẩm Xuyên cấp nước cho xã Cẩm Quang, huyện Cẩm Xuyên. 01 công trình do UBND xã quản lý  (Sửa chữa, nâng cấp công trình cấp nước sinh hoạt Động Tranh, xã Kỳ Nam, thị xã Kỳ Anh).</w:t>
      </w:r>
    </w:p>
  </w:footnote>
  <w:footnote w:id="3">
    <w:p w14:paraId="5BE3DAFB" w14:textId="77777777" w:rsidR="000428A3" w:rsidRDefault="00080840" w:rsidP="000428A3">
      <w:pPr>
        <w:spacing w:before="60" w:after="60"/>
        <w:jc w:val="both"/>
        <w:rPr>
          <w:rFonts w:asciiTheme="minorHAnsi" w:hAnsiTheme="minorHAnsi"/>
          <w:lang w:val="vi-VN"/>
        </w:rPr>
      </w:pPr>
      <w:r w:rsidRPr="0096510E">
        <w:rPr>
          <w:rStyle w:val="FootnoteReference"/>
          <w:rFonts w:asciiTheme="majorHAnsi" w:hAnsiTheme="majorHAnsi" w:cstheme="majorHAnsi"/>
          <w:sz w:val="20"/>
          <w:szCs w:val="20"/>
        </w:rPr>
        <w:footnoteRef/>
      </w:r>
      <w:r w:rsidRPr="0096510E">
        <w:rPr>
          <w:rFonts w:asciiTheme="majorHAnsi" w:hAnsiTheme="majorHAnsi" w:cstheme="majorHAnsi"/>
          <w:sz w:val="20"/>
          <w:szCs w:val="20"/>
          <w:lang w:val="vi-VN"/>
        </w:rPr>
        <w:t xml:space="preserve"> Theo báo cáo của UBND huyện Vũ Quang, lượng rác thải sinh hoạt phát sinh trên địa bàn huyện khoảng 20 tấn/ngày (trong đó thu gom khoảng 50%, tương đương khoảng 10 tấn/ngày). Lượng rác thải phát sinh đang được các hộ gia đình xử lý tại hộ và được các HTX môi trường thu gom tập kết tại các trạm trung chuyển. Hiện tại, mỗi xã đã có một bãi thu gom tập kết rác để trung chuyển rác. Tuy nhiên, khu xử lý rác thải tập trung của huyện chưa được đầu tư</w:t>
      </w:r>
      <w:r w:rsidR="00C36174">
        <w:rPr>
          <w:rFonts w:asciiTheme="majorHAnsi" w:hAnsiTheme="majorHAnsi" w:cstheme="majorHAnsi"/>
          <w:sz w:val="20"/>
          <w:szCs w:val="20"/>
        </w:rPr>
        <w:t xml:space="preserve"> </w:t>
      </w:r>
      <w:r w:rsidRPr="0096510E">
        <w:rPr>
          <w:rFonts w:asciiTheme="majorHAnsi" w:hAnsiTheme="majorHAnsi" w:cstheme="majorHAnsi"/>
          <w:sz w:val="20"/>
          <w:szCs w:val="20"/>
          <w:lang w:val="vi-VN"/>
        </w:rPr>
        <w:t>xây dựng nên lượng rác thải này chưa có giải pháp để xử lý, dẫn đến ùn tắc rác thải ngày càng lớn, gây ô nhiễm môi trường nghiêm trọng</w:t>
      </w:r>
      <w:r w:rsidR="000F7E2F" w:rsidRPr="00C65252">
        <w:rPr>
          <w:rFonts w:asciiTheme="majorHAnsi" w:hAnsiTheme="majorHAnsi" w:cstheme="majorHAnsi"/>
          <w:sz w:val="20"/>
          <w:szCs w:val="20"/>
          <w:lang w:val="vi-VN"/>
        </w:rPr>
        <w:t>, có nguy cơ bất ổn về an ninh trật tự</w:t>
      </w:r>
      <w:r w:rsidRPr="0096510E">
        <w:rPr>
          <w:rFonts w:asciiTheme="majorHAnsi" w:hAnsiTheme="majorHAnsi" w:cstheme="majorHAnsi"/>
          <w:sz w:val="20"/>
          <w:szCs w:val="20"/>
          <w:lang w:val="vi-VN"/>
        </w:rPr>
        <w:t>. Do đó, cần thiết đầu tư khu xử lý rác thải sinh hoạt tập trung huyện Vũ Quang</w:t>
      </w:r>
      <w:r w:rsidR="00C36174">
        <w:rPr>
          <w:rFonts w:asciiTheme="majorHAnsi" w:hAnsiTheme="majorHAnsi" w:cstheme="majorHAnsi"/>
          <w:sz w:val="20"/>
          <w:szCs w:val="20"/>
        </w:rPr>
        <w:t xml:space="preserve"> </w:t>
      </w:r>
      <w:r w:rsidRPr="0096510E">
        <w:rPr>
          <w:rFonts w:asciiTheme="majorHAnsi" w:hAnsiTheme="majorHAnsi" w:cstheme="majorHAnsi"/>
          <w:sz w:val="20"/>
          <w:szCs w:val="20"/>
          <w:lang w:val="vi-VN"/>
        </w:rPr>
        <w:t xml:space="preserve">và tuyến đường vào khu xử lý rác; dự kiến tổng mức đầu tư để thực hiện 02 công trình trên là 16,724 tỷ đồng. </w:t>
      </w:r>
    </w:p>
  </w:footnote>
  <w:footnote w:id="4">
    <w:p w14:paraId="4F54C02D" w14:textId="77777777" w:rsidR="00080840" w:rsidRPr="00CA63EC" w:rsidRDefault="00080840" w:rsidP="00080840">
      <w:pPr>
        <w:pStyle w:val="FootnoteText"/>
        <w:jc w:val="both"/>
        <w:rPr>
          <w:rFonts w:asciiTheme="majorHAnsi" w:hAnsiTheme="majorHAnsi" w:cstheme="majorHAnsi"/>
          <w:lang w:val="vi-VN"/>
        </w:rPr>
      </w:pPr>
      <w:r w:rsidRPr="00CA63EC">
        <w:rPr>
          <w:rStyle w:val="FootnoteReference"/>
          <w:rFonts w:asciiTheme="majorHAnsi" w:hAnsiTheme="majorHAnsi" w:cstheme="majorHAnsi"/>
        </w:rPr>
        <w:footnoteRef/>
      </w:r>
      <w:r w:rsidRPr="00CA63EC">
        <w:rPr>
          <w:rFonts w:asciiTheme="majorHAnsi" w:hAnsiTheme="majorHAnsi" w:cstheme="majorHAnsi"/>
          <w:color w:val="222222"/>
          <w:lang w:val="vi-VN"/>
        </w:rPr>
        <w:t>Theo khoản 1 Điều 68 Luật Đầu tư công 2019: “</w:t>
      </w:r>
      <w:r w:rsidRPr="00CA63EC">
        <w:rPr>
          <w:rFonts w:asciiTheme="majorHAnsi" w:hAnsiTheme="majorHAnsi" w:cstheme="majorHAnsi"/>
          <w:i/>
          <w:color w:val="000000"/>
          <w:shd w:val="clear" w:color="auto" w:fill="FFFFFF"/>
          <w:lang w:val="vi-VN"/>
        </w:rPr>
        <w:t>Thời gian thực hiện và giải ngân vốn kế hoạch đầu tư công hằng năm đến ngày 31 tháng 01 năm sau. Trường hợp bất khả kháng, Thủ tướng Chính phủ quyết định đối với vốn ngân sách trung ương, Hội đồng nhân dân cấp tỉnh quyết định đối với vốn ngân sách địa phương cho phép kéo dài thời gian thực hiện nhưng không quá 31 tháng 12 năm sau”.</w:t>
      </w:r>
    </w:p>
  </w:footnote>
  <w:footnote w:id="5">
    <w:p w14:paraId="015D54E5" w14:textId="77777777" w:rsidR="00080840" w:rsidRPr="00CA63EC" w:rsidRDefault="00080840" w:rsidP="00080840">
      <w:pPr>
        <w:jc w:val="both"/>
        <w:rPr>
          <w:rFonts w:asciiTheme="majorHAnsi" w:hAnsiTheme="majorHAnsi" w:cstheme="majorHAnsi"/>
          <w:sz w:val="20"/>
          <w:szCs w:val="20"/>
          <w:lang w:val="vi-VN"/>
        </w:rPr>
      </w:pPr>
      <w:r w:rsidRPr="00CA63EC">
        <w:rPr>
          <w:rStyle w:val="FootnoteReference"/>
          <w:rFonts w:asciiTheme="majorHAnsi" w:hAnsiTheme="majorHAnsi" w:cstheme="majorHAnsi"/>
          <w:sz w:val="20"/>
          <w:szCs w:val="20"/>
        </w:rPr>
        <w:footnoteRef/>
      </w:r>
      <w:r w:rsidRPr="00CA63EC">
        <w:rPr>
          <w:rFonts w:asciiTheme="majorHAnsi" w:hAnsiTheme="majorHAnsi" w:cstheme="majorHAnsi"/>
          <w:sz w:val="20"/>
          <w:szCs w:val="20"/>
          <w:lang w:val="vi-VN"/>
        </w:rPr>
        <w:t xml:space="preserve"> Công trình Thay thế nguồn cấp nước thô cho nhà máy cấp nước Bắc Thạch Hà: Dự kiến đầu tư đường ống cấp nước thô dài khoảng 12,5km đi qua 02 huyện Thạch Hà và Can Lộc để phục vụ việc lấy nguồn nước từ Hồ Cửa Thờ - Trại Tiểu thay thế nguồn nước cấp từ sông Già (hiện đang sử dụng). Tổng mức đầu tư khá lớn (dự kiến 14,9 tỷ đồng); ngoài ra còn phải khảo sát khả năng đáp ứng nguồn nước từ Hồ Cửa Thờ - Trại Tiểu. Vì Hồ Cửa Thờ - Trại Tiểu (dung tích khoảng 15,6 triệu m3 nước), ngoài nhiệm vụ tưới phục vụ sản xuất</w:t>
      </w:r>
      <w:r>
        <w:rPr>
          <w:rFonts w:asciiTheme="majorHAnsi" w:hAnsiTheme="majorHAnsi" w:cstheme="majorHAnsi"/>
          <w:sz w:val="20"/>
          <w:szCs w:val="20"/>
          <w:lang w:val="vi-VN"/>
        </w:rPr>
        <w:t xml:space="preserve"> nông nghiệp</w:t>
      </w:r>
      <w:r w:rsidRPr="00CA63EC">
        <w:rPr>
          <w:rFonts w:asciiTheme="majorHAnsi" w:hAnsiTheme="majorHAnsi" w:cstheme="majorHAnsi"/>
          <w:sz w:val="20"/>
          <w:szCs w:val="20"/>
          <w:lang w:val="vi-VN"/>
        </w:rPr>
        <w:t xml:space="preserve"> còn cấp nước cho Nhà máy nước Trà Sơn, huyện Can Lộc.</w:t>
      </w:r>
    </w:p>
  </w:footnote>
  <w:footnote w:id="6">
    <w:p w14:paraId="748E80CC" w14:textId="77777777" w:rsidR="00080840" w:rsidRPr="00CA63EC" w:rsidRDefault="00080840" w:rsidP="00080840">
      <w:pPr>
        <w:jc w:val="both"/>
        <w:rPr>
          <w:rFonts w:asciiTheme="majorHAnsi" w:hAnsiTheme="majorHAnsi" w:cstheme="majorHAnsi"/>
          <w:sz w:val="20"/>
          <w:szCs w:val="20"/>
          <w:lang w:val="vi-VN"/>
        </w:rPr>
      </w:pPr>
      <w:r w:rsidRPr="00CA63EC">
        <w:rPr>
          <w:rStyle w:val="FootnoteReference"/>
          <w:rFonts w:asciiTheme="majorHAnsi" w:hAnsiTheme="majorHAnsi" w:cstheme="majorHAnsi"/>
          <w:sz w:val="20"/>
          <w:szCs w:val="20"/>
        </w:rPr>
        <w:footnoteRef/>
      </w:r>
      <w:r w:rsidRPr="00CA63EC">
        <w:rPr>
          <w:rFonts w:asciiTheme="majorHAnsi" w:hAnsiTheme="majorHAnsi" w:cstheme="majorHAnsi"/>
          <w:sz w:val="20"/>
          <w:szCs w:val="20"/>
          <w:lang w:val="vi-VN"/>
        </w:rPr>
        <w:t xml:space="preserve"> Mở rộng nhà máy nước Bắc Cẩm Xuyên cấp nước cho xã Cẩm Quang, huyện Cẩm Xuyên: Phải thực hiện nâng công suất nhà máy; đầu tư đường ống chính dài khoảng 10,5km để cấp nước sạch từ Trạm Bắc Cẩm Xuyên đến trung tâm xã Cẩm Quang; trong khi trạm Bắc Cẩm Xuyên được đặt ở xã Cẩm Thạch; tổng vốn đầu tư dự kiến 14,9 tỷ đồng. </w:t>
      </w:r>
    </w:p>
    <w:p w14:paraId="19F00760" w14:textId="77777777" w:rsidR="00080840" w:rsidRPr="0031459F" w:rsidRDefault="00080840" w:rsidP="00080840">
      <w:pPr>
        <w:pStyle w:val="FootnoteText"/>
        <w:rPr>
          <w:lang w:val="vi-V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233396"/>
      <w:docPartObj>
        <w:docPartGallery w:val="Page Numbers (Top of Page)"/>
        <w:docPartUnique/>
      </w:docPartObj>
    </w:sdtPr>
    <w:sdtEndPr>
      <w:rPr>
        <w:noProof/>
      </w:rPr>
    </w:sdtEndPr>
    <w:sdtContent>
      <w:p w14:paraId="5756D7AD" w14:textId="77777777" w:rsidR="00D807B2" w:rsidRDefault="00D807B2">
        <w:pPr>
          <w:pStyle w:val="Header"/>
          <w:jc w:val="center"/>
        </w:pPr>
        <w:r>
          <w:fldChar w:fldCharType="begin"/>
        </w:r>
        <w:r>
          <w:instrText xml:space="preserve"> PAGE   \* MERGEFORMAT </w:instrText>
        </w:r>
        <w:r>
          <w:fldChar w:fldCharType="separate"/>
        </w:r>
        <w:r w:rsidR="00E017F2">
          <w:rPr>
            <w:noProof/>
          </w:rPr>
          <w:t>9</w:t>
        </w:r>
        <w:r>
          <w:rPr>
            <w:noProof/>
          </w:rPr>
          <w:fldChar w:fldCharType="end"/>
        </w:r>
      </w:p>
    </w:sdtContent>
  </w:sdt>
  <w:p w14:paraId="399CDE2A" w14:textId="77777777" w:rsidR="00D807B2" w:rsidRDefault="00D807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4CD"/>
    <w:rsid w:val="000005E1"/>
    <w:rsid w:val="00004767"/>
    <w:rsid w:val="0002056A"/>
    <w:rsid w:val="00026150"/>
    <w:rsid w:val="000428A3"/>
    <w:rsid w:val="00046197"/>
    <w:rsid w:val="00065860"/>
    <w:rsid w:val="00080840"/>
    <w:rsid w:val="000832D6"/>
    <w:rsid w:val="00096D05"/>
    <w:rsid w:val="000A6644"/>
    <w:rsid w:val="000A6A55"/>
    <w:rsid w:val="000B0394"/>
    <w:rsid w:val="000C4E46"/>
    <w:rsid w:val="000D4C15"/>
    <w:rsid w:val="000E3648"/>
    <w:rsid w:val="000F4B84"/>
    <w:rsid w:val="000F521A"/>
    <w:rsid w:val="000F529C"/>
    <w:rsid w:val="000F7B3C"/>
    <w:rsid w:val="000F7E2F"/>
    <w:rsid w:val="0010391A"/>
    <w:rsid w:val="00113A60"/>
    <w:rsid w:val="00117B07"/>
    <w:rsid w:val="00125318"/>
    <w:rsid w:val="00126EE8"/>
    <w:rsid w:val="0012735E"/>
    <w:rsid w:val="00144D96"/>
    <w:rsid w:val="00147E2F"/>
    <w:rsid w:val="00173307"/>
    <w:rsid w:val="001733C9"/>
    <w:rsid w:val="0017344C"/>
    <w:rsid w:val="00180FDB"/>
    <w:rsid w:val="00181AB2"/>
    <w:rsid w:val="00186363"/>
    <w:rsid w:val="001868A6"/>
    <w:rsid w:val="00187A04"/>
    <w:rsid w:val="00190A24"/>
    <w:rsid w:val="001A5BC1"/>
    <w:rsid w:val="001A6D39"/>
    <w:rsid w:val="001B00D5"/>
    <w:rsid w:val="001B0A2E"/>
    <w:rsid w:val="001B0AB7"/>
    <w:rsid w:val="001D5CC7"/>
    <w:rsid w:val="001F51D1"/>
    <w:rsid w:val="00201E10"/>
    <w:rsid w:val="00205A75"/>
    <w:rsid w:val="00221722"/>
    <w:rsid w:val="00246D28"/>
    <w:rsid w:val="0024751D"/>
    <w:rsid w:val="00250D70"/>
    <w:rsid w:val="00261C38"/>
    <w:rsid w:val="00263AE1"/>
    <w:rsid w:val="00272094"/>
    <w:rsid w:val="002A0E7D"/>
    <w:rsid w:val="002A1C0E"/>
    <w:rsid w:val="002A5C30"/>
    <w:rsid w:val="002A7D5B"/>
    <w:rsid w:val="002C2489"/>
    <w:rsid w:val="002C290E"/>
    <w:rsid w:val="002C2E85"/>
    <w:rsid w:val="002C6E0C"/>
    <w:rsid w:val="002D4428"/>
    <w:rsid w:val="002D52A4"/>
    <w:rsid w:val="002E5A1B"/>
    <w:rsid w:val="002F1C70"/>
    <w:rsid w:val="002F6BF4"/>
    <w:rsid w:val="00301449"/>
    <w:rsid w:val="003034DD"/>
    <w:rsid w:val="0030553D"/>
    <w:rsid w:val="0030644D"/>
    <w:rsid w:val="003100BF"/>
    <w:rsid w:val="0031034B"/>
    <w:rsid w:val="00314510"/>
    <w:rsid w:val="0031473F"/>
    <w:rsid w:val="00315E2D"/>
    <w:rsid w:val="003344C6"/>
    <w:rsid w:val="00337279"/>
    <w:rsid w:val="00340D77"/>
    <w:rsid w:val="003477B2"/>
    <w:rsid w:val="00351045"/>
    <w:rsid w:val="003642F3"/>
    <w:rsid w:val="00365B08"/>
    <w:rsid w:val="003673E3"/>
    <w:rsid w:val="00393793"/>
    <w:rsid w:val="00395AB8"/>
    <w:rsid w:val="00396B77"/>
    <w:rsid w:val="003B1829"/>
    <w:rsid w:val="003B2706"/>
    <w:rsid w:val="003D5DEA"/>
    <w:rsid w:val="003E7D7F"/>
    <w:rsid w:val="003F4282"/>
    <w:rsid w:val="003F61C7"/>
    <w:rsid w:val="003F7D88"/>
    <w:rsid w:val="00401EFE"/>
    <w:rsid w:val="00404D8C"/>
    <w:rsid w:val="004170AD"/>
    <w:rsid w:val="00421B5F"/>
    <w:rsid w:val="00445A23"/>
    <w:rsid w:val="00453E40"/>
    <w:rsid w:val="00467A07"/>
    <w:rsid w:val="004777FA"/>
    <w:rsid w:val="004974B3"/>
    <w:rsid w:val="004A40A9"/>
    <w:rsid w:val="004B7644"/>
    <w:rsid w:val="004C0A9C"/>
    <w:rsid w:val="004C58F0"/>
    <w:rsid w:val="004D50E1"/>
    <w:rsid w:val="004E1C19"/>
    <w:rsid w:val="004E2C60"/>
    <w:rsid w:val="004F259C"/>
    <w:rsid w:val="004F78AB"/>
    <w:rsid w:val="00522F10"/>
    <w:rsid w:val="005341CB"/>
    <w:rsid w:val="005704F3"/>
    <w:rsid w:val="005708CF"/>
    <w:rsid w:val="005716BB"/>
    <w:rsid w:val="00573E8B"/>
    <w:rsid w:val="00575A8E"/>
    <w:rsid w:val="005A40EF"/>
    <w:rsid w:val="005A7677"/>
    <w:rsid w:val="005A7DE8"/>
    <w:rsid w:val="005B74F4"/>
    <w:rsid w:val="005D4050"/>
    <w:rsid w:val="005D7ABA"/>
    <w:rsid w:val="005D7E67"/>
    <w:rsid w:val="005E41EC"/>
    <w:rsid w:val="005E5E09"/>
    <w:rsid w:val="005E6A9F"/>
    <w:rsid w:val="005F07A0"/>
    <w:rsid w:val="00607D98"/>
    <w:rsid w:val="006241FA"/>
    <w:rsid w:val="00634036"/>
    <w:rsid w:val="00661DB0"/>
    <w:rsid w:val="00670475"/>
    <w:rsid w:val="00677682"/>
    <w:rsid w:val="00684AEA"/>
    <w:rsid w:val="00692911"/>
    <w:rsid w:val="006A14AF"/>
    <w:rsid w:val="006A2D17"/>
    <w:rsid w:val="006B1F63"/>
    <w:rsid w:val="006B602C"/>
    <w:rsid w:val="006C16D9"/>
    <w:rsid w:val="006C2E79"/>
    <w:rsid w:val="006D0BD4"/>
    <w:rsid w:val="006E1C40"/>
    <w:rsid w:val="006F11E1"/>
    <w:rsid w:val="006F5C32"/>
    <w:rsid w:val="007016CF"/>
    <w:rsid w:val="00710711"/>
    <w:rsid w:val="007230F6"/>
    <w:rsid w:val="00727115"/>
    <w:rsid w:val="007335F6"/>
    <w:rsid w:val="00733D0A"/>
    <w:rsid w:val="007344D6"/>
    <w:rsid w:val="007451C2"/>
    <w:rsid w:val="00746A25"/>
    <w:rsid w:val="00755442"/>
    <w:rsid w:val="00760EBD"/>
    <w:rsid w:val="0077190D"/>
    <w:rsid w:val="00772858"/>
    <w:rsid w:val="00776D11"/>
    <w:rsid w:val="00777A15"/>
    <w:rsid w:val="007818CB"/>
    <w:rsid w:val="0078682B"/>
    <w:rsid w:val="00795E54"/>
    <w:rsid w:val="007A426F"/>
    <w:rsid w:val="007B74FC"/>
    <w:rsid w:val="007D279D"/>
    <w:rsid w:val="007D65E5"/>
    <w:rsid w:val="007E09A7"/>
    <w:rsid w:val="007E148B"/>
    <w:rsid w:val="007F26B0"/>
    <w:rsid w:val="00803FB7"/>
    <w:rsid w:val="00806B63"/>
    <w:rsid w:val="008369DA"/>
    <w:rsid w:val="00851518"/>
    <w:rsid w:val="00860A21"/>
    <w:rsid w:val="008623DC"/>
    <w:rsid w:val="0087341B"/>
    <w:rsid w:val="00873ABB"/>
    <w:rsid w:val="008775DF"/>
    <w:rsid w:val="00885B9F"/>
    <w:rsid w:val="008934CD"/>
    <w:rsid w:val="00894906"/>
    <w:rsid w:val="008A5545"/>
    <w:rsid w:val="008B32F7"/>
    <w:rsid w:val="008B44DD"/>
    <w:rsid w:val="008B57DB"/>
    <w:rsid w:val="008C1CF1"/>
    <w:rsid w:val="008C529B"/>
    <w:rsid w:val="008D143C"/>
    <w:rsid w:val="008D5BE2"/>
    <w:rsid w:val="008D6F17"/>
    <w:rsid w:val="008E2C51"/>
    <w:rsid w:val="00902B70"/>
    <w:rsid w:val="00912009"/>
    <w:rsid w:val="009142A9"/>
    <w:rsid w:val="00921BD9"/>
    <w:rsid w:val="00933CC0"/>
    <w:rsid w:val="009412B8"/>
    <w:rsid w:val="009510E8"/>
    <w:rsid w:val="0096137B"/>
    <w:rsid w:val="0096510E"/>
    <w:rsid w:val="00974854"/>
    <w:rsid w:val="00976003"/>
    <w:rsid w:val="00977EEC"/>
    <w:rsid w:val="009810EA"/>
    <w:rsid w:val="009936ED"/>
    <w:rsid w:val="0099686F"/>
    <w:rsid w:val="009A76A2"/>
    <w:rsid w:val="009B0218"/>
    <w:rsid w:val="009B07B0"/>
    <w:rsid w:val="009B79F8"/>
    <w:rsid w:val="009C48EB"/>
    <w:rsid w:val="009C4C19"/>
    <w:rsid w:val="009C553E"/>
    <w:rsid w:val="009D4D8B"/>
    <w:rsid w:val="009F1620"/>
    <w:rsid w:val="00A04FC8"/>
    <w:rsid w:val="00A06E3D"/>
    <w:rsid w:val="00A07F28"/>
    <w:rsid w:val="00A11204"/>
    <w:rsid w:val="00A214D7"/>
    <w:rsid w:val="00A23EB6"/>
    <w:rsid w:val="00A260F1"/>
    <w:rsid w:val="00A5031E"/>
    <w:rsid w:val="00A513AD"/>
    <w:rsid w:val="00A52FF5"/>
    <w:rsid w:val="00A64707"/>
    <w:rsid w:val="00A65A39"/>
    <w:rsid w:val="00A661E6"/>
    <w:rsid w:val="00A80306"/>
    <w:rsid w:val="00A84511"/>
    <w:rsid w:val="00A93C09"/>
    <w:rsid w:val="00A9672E"/>
    <w:rsid w:val="00A96A0D"/>
    <w:rsid w:val="00AB1ACD"/>
    <w:rsid w:val="00AB1F3F"/>
    <w:rsid w:val="00AD4B06"/>
    <w:rsid w:val="00AD728C"/>
    <w:rsid w:val="00AF045E"/>
    <w:rsid w:val="00AF176E"/>
    <w:rsid w:val="00B04D87"/>
    <w:rsid w:val="00B1159F"/>
    <w:rsid w:val="00B174E8"/>
    <w:rsid w:val="00B17AA1"/>
    <w:rsid w:val="00B40E2A"/>
    <w:rsid w:val="00B42AD8"/>
    <w:rsid w:val="00B46595"/>
    <w:rsid w:val="00B54C9C"/>
    <w:rsid w:val="00B55946"/>
    <w:rsid w:val="00B62BF0"/>
    <w:rsid w:val="00B72E76"/>
    <w:rsid w:val="00B92F4B"/>
    <w:rsid w:val="00B93AA5"/>
    <w:rsid w:val="00BD1EBA"/>
    <w:rsid w:val="00BE6E76"/>
    <w:rsid w:val="00BF13DF"/>
    <w:rsid w:val="00C10911"/>
    <w:rsid w:val="00C36174"/>
    <w:rsid w:val="00C4008A"/>
    <w:rsid w:val="00C4637D"/>
    <w:rsid w:val="00C46B66"/>
    <w:rsid w:val="00C634E8"/>
    <w:rsid w:val="00C65252"/>
    <w:rsid w:val="00C753E2"/>
    <w:rsid w:val="00C75A4C"/>
    <w:rsid w:val="00C80AFB"/>
    <w:rsid w:val="00C855D7"/>
    <w:rsid w:val="00CA463E"/>
    <w:rsid w:val="00CA4E32"/>
    <w:rsid w:val="00CA63EC"/>
    <w:rsid w:val="00CB41A0"/>
    <w:rsid w:val="00CB6871"/>
    <w:rsid w:val="00CC5563"/>
    <w:rsid w:val="00CC6A5E"/>
    <w:rsid w:val="00CE472D"/>
    <w:rsid w:val="00CE6771"/>
    <w:rsid w:val="00CF3F67"/>
    <w:rsid w:val="00D16794"/>
    <w:rsid w:val="00D24497"/>
    <w:rsid w:val="00D33BC2"/>
    <w:rsid w:val="00D53E92"/>
    <w:rsid w:val="00D70625"/>
    <w:rsid w:val="00D807B2"/>
    <w:rsid w:val="00DA418F"/>
    <w:rsid w:val="00DB0609"/>
    <w:rsid w:val="00DB15BA"/>
    <w:rsid w:val="00DB2CE7"/>
    <w:rsid w:val="00DC28F7"/>
    <w:rsid w:val="00DE5EC1"/>
    <w:rsid w:val="00E017F2"/>
    <w:rsid w:val="00E04C81"/>
    <w:rsid w:val="00E22CD0"/>
    <w:rsid w:val="00E260FC"/>
    <w:rsid w:val="00E2790F"/>
    <w:rsid w:val="00E3508F"/>
    <w:rsid w:val="00E45EE0"/>
    <w:rsid w:val="00E473E7"/>
    <w:rsid w:val="00E75F14"/>
    <w:rsid w:val="00E83403"/>
    <w:rsid w:val="00E94E80"/>
    <w:rsid w:val="00E9738A"/>
    <w:rsid w:val="00EA19D6"/>
    <w:rsid w:val="00EB20BA"/>
    <w:rsid w:val="00EE196E"/>
    <w:rsid w:val="00EE428B"/>
    <w:rsid w:val="00EE6515"/>
    <w:rsid w:val="00EF395C"/>
    <w:rsid w:val="00F10925"/>
    <w:rsid w:val="00F2754D"/>
    <w:rsid w:val="00F3098D"/>
    <w:rsid w:val="00F41134"/>
    <w:rsid w:val="00F41687"/>
    <w:rsid w:val="00F50B37"/>
    <w:rsid w:val="00F55EC1"/>
    <w:rsid w:val="00F61C92"/>
    <w:rsid w:val="00F72514"/>
    <w:rsid w:val="00F743BB"/>
    <w:rsid w:val="00F9014A"/>
    <w:rsid w:val="00FA1D0F"/>
    <w:rsid w:val="00FA47D3"/>
    <w:rsid w:val="00FA4990"/>
    <w:rsid w:val="00FA51AE"/>
    <w:rsid w:val="00FB22CA"/>
    <w:rsid w:val="00FC1637"/>
    <w:rsid w:val="00FC20A1"/>
    <w:rsid w:val="00FC2A64"/>
    <w:rsid w:val="00FC37D9"/>
    <w:rsid w:val="00FC62D9"/>
    <w:rsid w:val="00FC67A1"/>
    <w:rsid w:val="00FE00A4"/>
    <w:rsid w:val="00FE220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ABE02"/>
  <w15:docId w15:val="{D2C8F2CA-3C02-402D-9BA0-20B177E7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4CD"/>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F4B"/>
    <w:pPr>
      <w:ind w:left="720"/>
      <w:contextualSpacing/>
    </w:pPr>
  </w:style>
  <w:style w:type="paragraph" w:styleId="FootnoteText">
    <w:name w:val="footnote text"/>
    <w:basedOn w:val="Normal"/>
    <w:link w:val="FootnoteTextChar"/>
    <w:uiPriority w:val="99"/>
    <w:unhideWhenUsed/>
    <w:qFormat/>
    <w:rsid w:val="006B1F63"/>
    <w:rPr>
      <w:sz w:val="20"/>
      <w:szCs w:val="20"/>
    </w:rPr>
  </w:style>
  <w:style w:type="character" w:customStyle="1" w:styleId="FootnoteTextChar">
    <w:name w:val="Footnote Text Char"/>
    <w:basedOn w:val="DefaultParagraphFont"/>
    <w:link w:val="FootnoteText"/>
    <w:uiPriority w:val="99"/>
    <w:rsid w:val="006B1F63"/>
    <w:rPr>
      <w:rFonts w:ascii=".VnTime" w:eastAsia="Times New Roman" w:hAnsi=".VnTime" w:cs="Times New Roman"/>
      <w:sz w:val="20"/>
      <w:szCs w:val="20"/>
    </w:rPr>
  </w:style>
  <w:style w:type="character" w:styleId="FootnoteReference">
    <w:name w:val="footnote reference"/>
    <w:basedOn w:val="DefaultParagraphFont"/>
    <w:uiPriority w:val="99"/>
    <w:unhideWhenUsed/>
    <w:qFormat/>
    <w:rsid w:val="006B1F63"/>
    <w:rPr>
      <w:vertAlign w:val="superscript"/>
    </w:rPr>
  </w:style>
  <w:style w:type="paragraph" w:styleId="Header">
    <w:name w:val="header"/>
    <w:basedOn w:val="Normal"/>
    <w:link w:val="HeaderChar"/>
    <w:uiPriority w:val="99"/>
    <w:unhideWhenUsed/>
    <w:rsid w:val="00976003"/>
    <w:pPr>
      <w:tabs>
        <w:tab w:val="center" w:pos="4680"/>
        <w:tab w:val="right" w:pos="9360"/>
      </w:tabs>
    </w:pPr>
  </w:style>
  <w:style w:type="character" w:customStyle="1" w:styleId="HeaderChar">
    <w:name w:val="Header Char"/>
    <w:basedOn w:val="DefaultParagraphFont"/>
    <w:link w:val="Header"/>
    <w:uiPriority w:val="99"/>
    <w:rsid w:val="00976003"/>
    <w:rPr>
      <w:rFonts w:ascii=".VnTime" w:eastAsia="Times New Roman" w:hAnsi=".VnTime" w:cs="Times New Roman"/>
      <w:sz w:val="28"/>
      <w:szCs w:val="28"/>
    </w:rPr>
  </w:style>
  <w:style w:type="paragraph" w:styleId="Footer">
    <w:name w:val="footer"/>
    <w:basedOn w:val="Normal"/>
    <w:link w:val="FooterChar"/>
    <w:uiPriority w:val="99"/>
    <w:unhideWhenUsed/>
    <w:rsid w:val="00976003"/>
    <w:pPr>
      <w:tabs>
        <w:tab w:val="center" w:pos="4680"/>
        <w:tab w:val="right" w:pos="9360"/>
      </w:tabs>
    </w:pPr>
  </w:style>
  <w:style w:type="character" w:customStyle="1" w:styleId="FooterChar">
    <w:name w:val="Footer Char"/>
    <w:basedOn w:val="DefaultParagraphFont"/>
    <w:link w:val="Footer"/>
    <w:uiPriority w:val="99"/>
    <w:rsid w:val="00976003"/>
    <w:rPr>
      <w:rFonts w:ascii=".VnTime" w:eastAsia="Times New Roman" w:hAnsi=".VnTime" w:cs="Times New Roman"/>
      <w:sz w:val="28"/>
      <w:szCs w:val="28"/>
    </w:rPr>
  </w:style>
  <w:style w:type="table" w:styleId="TableGrid">
    <w:name w:val="Table Grid"/>
    <w:basedOn w:val="TableNormal"/>
    <w:uiPriority w:val="59"/>
    <w:rsid w:val="00CA63EC"/>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6B77"/>
    <w:rPr>
      <w:rFonts w:ascii="Tahoma" w:hAnsi="Tahoma" w:cs="Tahoma"/>
      <w:sz w:val="16"/>
      <w:szCs w:val="16"/>
    </w:rPr>
  </w:style>
  <w:style w:type="character" w:customStyle="1" w:styleId="BalloonTextChar">
    <w:name w:val="Balloon Text Char"/>
    <w:basedOn w:val="DefaultParagraphFont"/>
    <w:link w:val="BalloonText"/>
    <w:uiPriority w:val="99"/>
    <w:semiHidden/>
    <w:rsid w:val="00396B7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843D7-967F-496D-80A7-648E2CD0A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1872</Words>
  <Characters>10676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 Thieu</dc:creator>
  <cp:lastModifiedBy>dmx</cp:lastModifiedBy>
  <cp:revision>6</cp:revision>
  <cp:lastPrinted>2020-04-14T03:29:00Z</cp:lastPrinted>
  <dcterms:created xsi:type="dcterms:W3CDTF">2020-04-14T03:35:00Z</dcterms:created>
  <dcterms:modified xsi:type="dcterms:W3CDTF">2020-04-16T01:49:00Z</dcterms:modified>
</cp:coreProperties>
</file>