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342" w:type="dxa"/>
        <w:tblLayout w:type="fixed"/>
        <w:tblLook w:val="04A0" w:firstRow="1" w:lastRow="0" w:firstColumn="1" w:lastColumn="0" w:noHBand="0" w:noVBand="1"/>
      </w:tblPr>
      <w:tblGrid>
        <w:gridCol w:w="3589"/>
        <w:gridCol w:w="6401"/>
      </w:tblGrid>
      <w:tr>
        <w:tc>
          <w:tcPr>
            <w:tcW w:w="3589" w:type="dxa"/>
          </w:tcPr>
          <w:p>
            <w:pPr>
              <w:jc w:val="center"/>
              <w:rPr>
                <w:b/>
                <w:sz w:val="26"/>
                <w:szCs w:val="26"/>
                <w:lang w:val="sq-AL"/>
              </w:rPr>
            </w:pPr>
            <w:r>
              <w:rPr>
                <w:b/>
                <w:sz w:val="26"/>
                <w:szCs w:val="26"/>
                <w:lang w:val="sq-AL"/>
              </w:rPr>
              <w:t>HỘI ĐỒNG NHÂN DÂN</w:t>
            </w:r>
          </w:p>
          <w:p>
            <w:pPr>
              <w:jc w:val="center"/>
              <w:rPr>
                <w:b/>
                <w:sz w:val="26"/>
                <w:szCs w:val="26"/>
                <w:lang w:val="sq-AL"/>
              </w:rPr>
            </w:pPr>
            <w:r>
              <w:rPr>
                <w:b/>
                <w:sz w:val="26"/>
                <w:szCs w:val="26"/>
                <w:lang w:val="sq-AL"/>
              </w:rPr>
              <w:t>TỈNH HÀ TĨNH</w:t>
            </w:r>
          </w:p>
          <w:p>
            <w:pPr>
              <w:jc w:val="center"/>
              <w:rPr>
                <w:sz w:val="26"/>
                <w:szCs w:val="26"/>
                <w:lang w:val="sq-AL"/>
              </w:rPr>
            </w:pPr>
            <w:r>
              <w:rPr>
                <w:noProof/>
                <w:sz w:val="26"/>
                <w:szCs w:val="26"/>
                <w:lang w:val="vi-VN" w:eastAsia="vi-VN"/>
              </w:rPr>
              <mc:AlternateContent>
                <mc:Choice Requires="wps">
                  <w:drawing>
                    <wp:anchor distT="4294967294" distB="4294967294" distL="114300" distR="114300" simplePos="0" relativeHeight="251655680" behindDoc="0" locked="0" layoutInCell="1" allowOverlap="1">
                      <wp:simplePos x="0" y="0"/>
                      <wp:positionH relativeFrom="column">
                        <wp:posOffset>710565</wp:posOffset>
                      </wp:positionH>
                      <wp:positionV relativeFrom="paragraph">
                        <wp:posOffset>24764</wp:posOffset>
                      </wp:positionV>
                      <wp:extent cx="683895" cy="0"/>
                      <wp:effectExtent l="0" t="0" r="2095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A04870" id="Straight Connector 3"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95pt,1.95pt" to="109.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"/>
                  </w:pict>
                </mc:Fallback>
              </mc:AlternateContent>
            </w:r>
          </w:p>
          <w:p>
            <w:pPr>
              <w:jc w:val="center"/>
              <w:rPr>
                <w:sz w:val="26"/>
                <w:szCs w:val="26"/>
                <w:lang w:val="sq-AL"/>
              </w:rPr>
            </w:pPr>
            <w:r>
              <w:rPr>
                <w:sz w:val="26"/>
                <w:szCs w:val="26"/>
                <w:lang w:val="sq-AL"/>
              </w:rPr>
              <w:t xml:space="preserve">Số:   </w:t>
            </w:r>
            <w:r>
              <w:rPr>
                <w:sz w:val="26"/>
                <w:szCs w:val="26"/>
                <w:lang w:val="vi-VN"/>
              </w:rPr>
              <w:t xml:space="preserve"> </w:t>
            </w:r>
            <w:r>
              <w:rPr>
                <w:sz w:val="26"/>
                <w:szCs w:val="26"/>
              </w:rPr>
              <w:t xml:space="preserve"> </w:t>
            </w:r>
            <w:r>
              <w:rPr>
                <w:sz w:val="26"/>
                <w:szCs w:val="26"/>
                <w:lang w:val="sq-AL"/>
              </w:rPr>
              <w:t>/NQ-HĐND</w:t>
            </w:r>
          </w:p>
        </w:tc>
        <w:tc>
          <w:tcPr>
            <w:tcW w:w="6401" w:type="dxa"/>
          </w:tcPr>
          <w:p>
            <w:pPr>
              <w:jc w:val="center"/>
              <w:rPr>
                <w:b/>
                <w:sz w:val="26"/>
                <w:szCs w:val="26"/>
                <w:lang w:val="sq-AL"/>
              </w:rPr>
            </w:pPr>
            <w:r>
              <w:rPr>
                <w:b/>
                <w:sz w:val="26"/>
                <w:szCs w:val="26"/>
                <w:lang w:val="sq-AL"/>
              </w:rPr>
              <w:t>CỘNG HÒA XÃ HỘI CHỦ NGHĨA VIỆT NAM</w:t>
            </w:r>
          </w:p>
          <w:p>
            <w:pPr>
              <w:jc w:val="center"/>
              <w:rPr>
                <w:b/>
                <w:sz w:val="28"/>
                <w:szCs w:val="26"/>
                <w:lang w:val="sq-AL"/>
              </w:rPr>
            </w:pPr>
            <w:r>
              <w:rPr>
                <w:b/>
                <w:sz w:val="28"/>
                <w:szCs w:val="26"/>
                <w:lang w:val="sq-AL"/>
              </w:rPr>
              <w:t>Độc lập - Tự do - Hạnh phúc</w:t>
            </w:r>
          </w:p>
          <w:p>
            <w:pPr>
              <w:jc w:val="center"/>
              <w:rPr>
                <w:sz w:val="26"/>
                <w:szCs w:val="26"/>
                <w:lang w:val="sq-AL"/>
              </w:rPr>
            </w:pPr>
            <w:r>
              <w:rPr>
                <w:noProof/>
                <w:sz w:val="26"/>
                <w:szCs w:val="26"/>
                <w:lang w:val="vi-VN" w:eastAsia="vi-VN"/>
              </w:rPr>
              <mc:AlternateContent>
                <mc:Choice Requires="wps">
                  <w:drawing>
                    <wp:anchor distT="4294967294" distB="4294967294" distL="114300" distR="114300" simplePos="0" relativeHeight="251656704" behindDoc="0" locked="0" layoutInCell="1" allowOverlap="1">
                      <wp:simplePos x="0" y="0"/>
                      <wp:positionH relativeFrom="column">
                        <wp:posOffset>892175</wp:posOffset>
                      </wp:positionH>
                      <wp:positionV relativeFrom="paragraph">
                        <wp:posOffset>31114</wp:posOffset>
                      </wp:positionV>
                      <wp:extent cx="2159000" cy="0"/>
                      <wp:effectExtent l="0" t="0" r="1270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EE07C9"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25pt,2.45pt" to="240.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bqX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"/>
                  </w:pict>
                </mc:Fallback>
              </mc:AlternateContent>
            </w:r>
          </w:p>
          <w:p>
            <w:pPr>
              <w:jc w:val="center"/>
              <w:rPr>
                <w:i/>
                <w:sz w:val="26"/>
                <w:szCs w:val="26"/>
                <w:lang w:val="sq-AL"/>
              </w:rPr>
            </w:pPr>
            <w:r>
              <w:rPr>
                <w:i/>
                <w:sz w:val="26"/>
                <w:szCs w:val="26"/>
                <w:lang w:val="sq-AL"/>
              </w:rPr>
              <w:t xml:space="preserve">   Hà Tĩnh, ngày    tháng 12 năm 2024</w:t>
            </w:r>
          </w:p>
        </w:tc>
      </w:tr>
    </w:tbl>
    <w:p>
      <w:pPr>
        <w:jc w:val="center"/>
        <w:rPr>
          <w:rStyle w:val="Bodytext"/>
          <w:b/>
          <w:sz w:val="22"/>
          <w:szCs w:val="28"/>
          <w:lang w:val="sq-AL"/>
        </w:rPr>
      </w:pPr>
    </w:p>
    <w:p>
      <w:pPr>
        <w:jc w:val="center"/>
        <w:rPr>
          <w:rStyle w:val="Bodytext"/>
          <w:b/>
          <w:sz w:val="12"/>
          <w:szCs w:val="28"/>
          <w:lang w:val="sq-AL"/>
        </w:rPr>
      </w:pPr>
    </w:p>
    <w:p>
      <w:pPr>
        <w:spacing w:line="240" w:lineRule="atLeast"/>
        <w:jc w:val="center"/>
        <w:rPr>
          <w:b/>
          <w:noProof/>
          <w:sz w:val="28"/>
          <w:szCs w:val="28"/>
        </w:rPr>
      </w:pPr>
      <w:r>
        <w:rPr>
          <w:b/>
          <w:noProof/>
          <w:sz w:val="28"/>
          <w:szCs w:val="28"/>
          <w:lang w:val="vi-VN"/>
        </w:rPr>
        <w:t>NGHỊ QUYẾT</w:t>
      </w:r>
    </w:p>
    <w:p>
      <w:pPr>
        <w:jc w:val="center"/>
        <w:rPr>
          <w:b/>
          <w:sz w:val="28"/>
          <w:szCs w:val="28"/>
        </w:rPr>
      </w:pPr>
      <w:r>
        <w:rPr>
          <w:b/>
          <w:sz w:val="28"/>
          <w:szCs w:val="28"/>
        </w:rPr>
        <w:t xml:space="preserve">Kết quả giám sát công tác quản lý, khai thác, sử dụng khoáng sản làm </w:t>
      </w:r>
    </w:p>
    <w:p>
      <w:pPr>
        <w:jc w:val="center"/>
        <w:rPr>
          <w:b/>
          <w:bCs/>
          <w:sz w:val="28"/>
          <w:szCs w:val="28"/>
        </w:rPr>
      </w:pPr>
      <w:r>
        <w:rPr>
          <w:b/>
          <w:sz w:val="28"/>
          <w:szCs w:val="28"/>
        </w:rPr>
        <w:t xml:space="preserve">vật liệu xây dựng thông thường </w:t>
      </w:r>
      <w:r>
        <w:rPr>
          <w:b/>
          <w:noProof/>
          <w:sz w:val="28"/>
          <w:szCs w:val="28"/>
          <w:lang w:eastAsia="vi-VN"/>
        </w:rPr>
        <w:t>trên địa bàn tỉnh giai đoạn 2020-2023</w:t>
      </w:r>
    </w:p>
    <w:p>
      <w:pPr>
        <w:jc w:val="center"/>
        <w:rPr>
          <w:b/>
          <w:bCs/>
          <w:sz w:val="28"/>
          <w:szCs w:val="28"/>
          <w:lang w:val="nl-NL"/>
        </w:rPr>
      </w:pPr>
      <w:r>
        <w:rPr>
          <w:b/>
          <w:bCs/>
          <w:noProof/>
          <w:sz w:val="28"/>
          <w:szCs w:val="28"/>
          <w:lang w:val="vi-VN" w:eastAsia="vi-VN"/>
        </w:rPr>
        <mc:AlternateContent>
          <mc:Choice Requires="wps">
            <w:drawing>
              <wp:anchor distT="4294967295" distB="4294967295" distL="114300" distR="114300" simplePos="0" relativeHeight="251659776" behindDoc="0" locked="0" layoutInCell="1" allowOverlap="1">
                <wp:simplePos x="0" y="0"/>
                <wp:positionH relativeFrom="column">
                  <wp:posOffset>2157730</wp:posOffset>
                </wp:positionH>
                <wp:positionV relativeFrom="paragraph">
                  <wp:posOffset>36195</wp:posOffset>
                </wp:positionV>
                <wp:extent cx="14224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91247A" id="Straight Connector 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9pt,2.85pt" to="281.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"/>
            </w:pict>
          </mc:Fallback>
        </mc:AlternateContent>
      </w:r>
    </w:p>
    <w:p>
      <w:pPr>
        <w:jc w:val="center"/>
        <w:rPr>
          <w:b/>
          <w:bCs/>
          <w:sz w:val="28"/>
          <w:szCs w:val="28"/>
          <w:lang w:val="nl-NL"/>
        </w:rPr>
      </w:pPr>
      <w:r>
        <w:rPr>
          <w:b/>
          <w:bCs/>
          <w:sz w:val="28"/>
          <w:szCs w:val="28"/>
          <w:lang w:val="nl-NL"/>
        </w:rPr>
        <w:t>HỘI ÐỒNG NHÂN DÂN TỈNH HÀ TĨNH</w:t>
      </w:r>
    </w:p>
    <w:p>
      <w:pPr>
        <w:jc w:val="center"/>
        <w:rPr>
          <w:b/>
          <w:bCs/>
          <w:sz w:val="28"/>
          <w:szCs w:val="28"/>
          <w:lang w:val="nl-NL"/>
        </w:rPr>
      </w:pPr>
      <w:r>
        <w:rPr>
          <w:b/>
          <w:bCs/>
          <w:sz w:val="28"/>
          <w:szCs w:val="28"/>
          <w:lang w:val="nl-NL"/>
        </w:rPr>
        <w:t>KHOÁ XVIII, KỲ HỌP THỨ 23</w:t>
      </w:r>
    </w:p>
    <w:p>
      <w:pPr>
        <w:jc w:val="both"/>
        <w:rPr>
          <w:noProof/>
          <w:sz w:val="28"/>
          <w:szCs w:val="28"/>
        </w:rPr>
      </w:pPr>
    </w:p>
    <w:p>
      <w:pPr>
        <w:widowControl w:val="0"/>
        <w:spacing w:after="120" w:line="360" w:lineRule="exact"/>
        <w:ind w:firstLine="720"/>
        <w:jc w:val="both"/>
        <w:rPr>
          <w:i/>
          <w:spacing w:val="-4"/>
          <w:sz w:val="28"/>
          <w:szCs w:val="28"/>
          <w:lang w:val="it-IT"/>
        </w:rPr>
      </w:pPr>
      <w:r>
        <w:rPr>
          <w:i/>
          <w:spacing w:val="-4"/>
          <w:sz w:val="28"/>
          <w:szCs w:val="28"/>
          <w:lang w:val="it-IT"/>
        </w:rPr>
        <w:t>Căn cứ Luật Tổ chức chính quyền địa phương ngày 19 tháng 6 năm 2015; Luật sửa đổi, bổ sung một số điều của Luật Tổ chức Chính phủ và Luật Tổ chức chính quyền địa phương ngày 22 tháng 11 năm 2019;</w:t>
      </w:r>
    </w:p>
    <w:p>
      <w:pPr>
        <w:widowControl w:val="0"/>
        <w:spacing w:after="120" w:line="360" w:lineRule="exact"/>
        <w:ind w:firstLine="720"/>
        <w:jc w:val="both"/>
        <w:rPr>
          <w:rFonts w:ascii="Times New Roman Italic" w:hAnsi="Times New Roman Italic"/>
          <w:i/>
          <w:sz w:val="28"/>
          <w:szCs w:val="28"/>
          <w:lang w:val="it-IT"/>
        </w:rPr>
      </w:pPr>
      <w:r>
        <w:rPr>
          <w:rFonts w:ascii="Times New Roman Italic" w:hAnsi="Times New Roman Italic"/>
          <w:i/>
          <w:sz w:val="28"/>
          <w:szCs w:val="28"/>
          <w:lang w:val="it-IT"/>
        </w:rPr>
        <w:t>Căn cứ Luật Hoạt động giám sát của Quốc hội và Hội đồng nhân dân năm 2015;</w:t>
      </w:r>
    </w:p>
    <w:p>
      <w:pPr>
        <w:widowControl w:val="0"/>
        <w:spacing w:after="120" w:line="360" w:lineRule="exact"/>
        <w:ind w:firstLine="720"/>
        <w:jc w:val="both"/>
        <w:rPr>
          <w:i/>
          <w:spacing w:val="-4"/>
          <w:sz w:val="28"/>
          <w:szCs w:val="28"/>
        </w:rPr>
      </w:pPr>
      <w:r>
        <w:rPr>
          <w:i/>
          <w:spacing w:val="-4"/>
          <w:sz w:val="28"/>
          <w:szCs w:val="28"/>
        </w:rPr>
        <w:t>Căn cứ Nghị quyết số 125/NQ-HĐND ngày 14 tháng 7 năm 2023 về chương trình giám sát của Hội đồng nhân dân tỉnh năm 2024;</w:t>
      </w:r>
    </w:p>
    <w:p>
      <w:pPr>
        <w:widowControl w:val="0"/>
        <w:spacing w:after="120" w:line="360" w:lineRule="exact"/>
        <w:ind w:firstLine="720"/>
        <w:jc w:val="both"/>
        <w:rPr>
          <w:i/>
          <w:spacing w:val="-4"/>
          <w:sz w:val="28"/>
          <w:szCs w:val="28"/>
        </w:rPr>
      </w:pPr>
      <w:r>
        <w:rPr>
          <w:i/>
          <w:spacing w:val="-4"/>
          <w:sz w:val="28"/>
          <w:szCs w:val="28"/>
        </w:rPr>
        <w:t xml:space="preserve">Căn cứ Nghị quyết số 176/NQ-HĐND ngày 18 tháng 7 năm 2024 của Hội đồng nhân dân tỉnh về thành lập Đoàn giám sát </w:t>
      </w:r>
      <w:r>
        <w:rPr>
          <w:i/>
          <w:iCs/>
          <w:spacing w:val="-4"/>
          <w:sz w:val="28"/>
          <w:szCs w:val="28"/>
        </w:rPr>
        <w:t>“Việc thực hiện các quy định pháp luật trong quản lý, khai thác và sử dụng khoáng sản làm vật liệu xây dựng thông thường trên địa bàn tỉnh giai đoạn 2020-2023”.</w:t>
      </w:r>
    </w:p>
    <w:p>
      <w:pPr>
        <w:widowControl w:val="0"/>
        <w:spacing w:after="120" w:line="360" w:lineRule="exact"/>
        <w:ind w:firstLine="720"/>
        <w:jc w:val="both"/>
        <w:rPr>
          <w:b/>
          <w:i/>
          <w:spacing w:val="-4"/>
          <w:sz w:val="28"/>
          <w:szCs w:val="28"/>
        </w:rPr>
      </w:pPr>
      <w:r>
        <w:rPr>
          <w:i/>
          <w:spacing w:val="-4"/>
          <w:sz w:val="28"/>
          <w:szCs w:val="28"/>
          <w:lang w:val="it-IT"/>
        </w:rPr>
        <w:t>Xét Tờ trình số 727/TTr-HĐND ngày 10 tháng 12 năm 2024</w:t>
      </w:r>
      <w:r>
        <w:rPr>
          <w:i/>
          <w:spacing w:val="-4"/>
          <w:sz w:val="28"/>
          <w:szCs w:val="28"/>
          <w:lang w:val="vi-VN"/>
        </w:rPr>
        <w:t xml:space="preserve"> </w:t>
      </w:r>
      <w:r>
        <w:rPr>
          <w:i/>
          <w:spacing w:val="-4"/>
          <w:sz w:val="28"/>
          <w:szCs w:val="28"/>
          <w:lang w:val="it-IT"/>
        </w:rPr>
        <w:t>của Thường trực Hội đồng nhân dân tỉnh; Báo cáo số 726/BC-ĐGS ngày 10 tháng 12 năm 2024 của Đoàn giám sát Hội đồng nhân dân tỉnh về kết quả giám sát chuyên đề “</w:t>
      </w:r>
      <w:r>
        <w:rPr>
          <w:i/>
          <w:sz w:val="28"/>
          <w:szCs w:val="28"/>
        </w:rPr>
        <w:t>Việc thực hiện các quy định pháp luật trong quản lý, khai thác và sử dụng khoáng sản làm vật liệu xây dựng thông thường trên địa bàn tỉnh giai đoạn 2020-2023</w:t>
      </w:r>
      <w:r>
        <w:rPr>
          <w:i/>
          <w:spacing w:val="-4"/>
          <w:sz w:val="28"/>
          <w:szCs w:val="28"/>
          <w:lang w:val="it-IT"/>
        </w:rPr>
        <w:t xml:space="preserve">” và ý kiến </w:t>
      </w:r>
      <w:r>
        <w:rPr>
          <w:i/>
          <w:spacing w:val="-4"/>
          <w:sz w:val="28"/>
          <w:szCs w:val="28"/>
        </w:rPr>
        <w:t>thảo luận</w:t>
      </w:r>
      <w:r>
        <w:rPr>
          <w:i/>
          <w:spacing w:val="-4"/>
          <w:sz w:val="28"/>
          <w:szCs w:val="28"/>
          <w:lang w:val="it-IT"/>
        </w:rPr>
        <w:t xml:space="preserve"> của đại biểu Hội đồng nhân dân tỉnh tại </w:t>
      </w:r>
      <w:r>
        <w:rPr>
          <w:i/>
          <w:spacing w:val="-4"/>
          <w:sz w:val="28"/>
          <w:szCs w:val="28"/>
          <w:lang w:val="vi-VN"/>
        </w:rPr>
        <w:t>K</w:t>
      </w:r>
      <w:r>
        <w:rPr>
          <w:i/>
          <w:spacing w:val="-4"/>
          <w:sz w:val="28"/>
          <w:szCs w:val="28"/>
          <w:lang w:val="it-IT"/>
        </w:rPr>
        <w:t>ỳ họp.</w:t>
      </w:r>
    </w:p>
    <w:p>
      <w:pPr>
        <w:widowControl w:val="0"/>
        <w:spacing w:before="360" w:after="360"/>
        <w:jc w:val="center"/>
        <w:rPr>
          <w:b/>
          <w:noProof/>
          <w:sz w:val="28"/>
          <w:szCs w:val="28"/>
        </w:rPr>
      </w:pPr>
      <w:r>
        <w:rPr>
          <w:b/>
          <w:noProof/>
          <w:sz w:val="28"/>
          <w:szCs w:val="28"/>
          <w:lang w:val="vi-VN"/>
        </w:rPr>
        <w:t>QUYẾT NGHỊ:</w:t>
      </w:r>
    </w:p>
    <w:p>
      <w:pPr>
        <w:widowControl w:val="0"/>
        <w:spacing w:after="120" w:line="380" w:lineRule="exact"/>
        <w:ind w:firstLine="720"/>
        <w:jc w:val="both"/>
        <w:rPr>
          <w:i/>
          <w:spacing w:val="-4"/>
          <w:sz w:val="28"/>
          <w:szCs w:val="28"/>
        </w:rPr>
      </w:pPr>
      <w:r>
        <w:rPr>
          <w:b/>
          <w:spacing w:val="-4"/>
          <w:sz w:val="28"/>
          <w:szCs w:val="28"/>
          <w:lang w:val="it-IT"/>
        </w:rPr>
        <w:t>Ðiều 1.</w:t>
      </w:r>
      <w:r>
        <w:rPr>
          <w:spacing w:val="-4"/>
          <w:sz w:val="28"/>
          <w:szCs w:val="28"/>
          <w:lang w:val="it-IT"/>
        </w:rPr>
        <w:t xml:space="preserve"> </w:t>
      </w:r>
      <w:r>
        <w:rPr>
          <w:spacing w:val="-4"/>
          <w:sz w:val="28"/>
          <w:szCs w:val="28"/>
          <w:shd w:val="clear" w:color="auto" w:fill="FFFFFF"/>
        </w:rPr>
        <w:t xml:space="preserve">Tán thành với Báo cáo kết quả giám sát chuyên đề của Hội đồng nhân dân tỉnh về </w:t>
      </w:r>
      <w:r>
        <w:rPr>
          <w:i/>
          <w:spacing w:val="-4"/>
          <w:sz w:val="28"/>
          <w:szCs w:val="28"/>
          <w:shd w:val="clear" w:color="auto" w:fill="FFFFFF"/>
        </w:rPr>
        <w:t>“</w:t>
      </w:r>
      <w:r>
        <w:rPr>
          <w:i/>
          <w:sz w:val="28"/>
          <w:szCs w:val="28"/>
        </w:rPr>
        <w:t>Việc thực hiện các quy định pháp luật trong quản lý, khai thác và sử dụng khoáng sản làm vật liệu xây dựng thông thường trên địa bàn tỉnh giai đoạn 2020-2023</w:t>
      </w:r>
      <w:r>
        <w:rPr>
          <w:i/>
          <w:spacing w:val="-4"/>
          <w:sz w:val="28"/>
          <w:szCs w:val="28"/>
          <w:shd w:val="clear" w:color="auto" w:fill="FFFFFF"/>
        </w:rPr>
        <w:t>”.</w:t>
      </w:r>
    </w:p>
    <w:p>
      <w:pPr>
        <w:shd w:val="clear" w:color="auto" w:fill="FFFFFF"/>
        <w:spacing w:after="120" w:line="380" w:lineRule="exact"/>
        <w:ind w:firstLine="720"/>
        <w:jc w:val="both"/>
        <w:rPr>
          <w:spacing w:val="-4"/>
          <w:sz w:val="28"/>
          <w:szCs w:val="28"/>
          <w:lang w:val="de-DE"/>
        </w:rPr>
      </w:pPr>
      <w:r>
        <w:rPr>
          <w:b/>
          <w:spacing w:val="-4"/>
          <w:sz w:val="28"/>
          <w:szCs w:val="28"/>
          <w:lang w:val="de-DE"/>
        </w:rPr>
        <w:t>Ðiều 2.</w:t>
      </w:r>
      <w:r>
        <w:rPr>
          <w:spacing w:val="-4"/>
          <w:sz w:val="28"/>
          <w:szCs w:val="28"/>
          <w:lang w:val="de-DE"/>
        </w:rPr>
        <w:t xml:space="preserve"> Ủy ban nhân dân tỉnh chỉ đạo các sở, ngành, Ủy ban nhân dân các huyện, thị xã nghiêm túc tiếp thu các nội dung tại Báo cáo kết quả giám sát chuyên đề </w:t>
      </w:r>
      <w:r>
        <w:rPr>
          <w:i/>
          <w:spacing w:val="-4"/>
          <w:sz w:val="28"/>
          <w:szCs w:val="28"/>
          <w:shd w:val="clear" w:color="auto" w:fill="FFFFFF"/>
        </w:rPr>
        <w:t>“</w:t>
      </w:r>
      <w:r>
        <w:rPr>
          <w:i/>
          <w:sz w:val="28"/>
          <w:szCs w:val="28"/>
        </w:rPr>
        <w:t xml:space="preserve">Việc thực hiện các quy định pháp luật trong quản lý, khai thác và sử dụng </w:t>
      </w:r>
      <w:r>
        <w:rPr>
          <w:i/>
          <w:sz w:val="28"/>
          <w:szCs w:val="28"/>
        </w:rPr>
        <w:lastRenderedPageBreak/>
        <w:t>khoáng sản làm vật liệu xây dựng thông thường trên địa bàn tỉnh giai đoạn 2020-2023</w:t>
      </w:r>
      <w:r>
        <w:rPr>
          <w:i/>
          <w:spacing w:val="-4"/>
          <w:sz w:val="28"/>
          <w:szCs w:val="28"/>
          <w:shd w:val="clear" w:color="auto" w:fill="FFFFFF"/>
        </w:rPr>
        <w:t>”</w:t>
      </w:r>
      <w:r>
        <w:rPr>
          <w:i/>
          <w:spacing w:val="-4"/>
          <w:sz w:val="28"/>
          <w:szCs w:val="28"/>
        </w:rPr>
        <w:t xml:space="preserve"> </w:t>
      </w:r>
      <w:r>
        <w:rPr>
          <w:spacing w:val="-4"/>
          <w:sz w:val="28"/>
          <w:szCs w:val="28"/>
          <w:lang w:val="de-DE"/>
        </w:rPr>
        <w:t>và quan tâm thực hiện một số nội dung sau:</w:t>
      </w:r>
    </w:p>
    <w:p>
      <w:pPr>
        <w:shd w:val="clear" w:color="auto" w:fill="FFFFFF"/>
        <w:spacing w:after="120" w:line="380" w:lineRule="exact"/>
        <w:ind w:firstLine="720"/>
        <w:jc w:val="both"/>
        <w:rPr>
          <w:color w:val="000000"/>
          <w:sz w:val="28"/>
          <w:szCs w:val="28"/>
          <w:lang w:val="nl-NL"/>
        </w:rPr>
      </w:pPr>
      <w:r>
        <w:rPr>
          <w:sz w:val="28"/>
          <w:szCs w:val="28"/>
          <w:lang w:val="de-DE"/>
        </w:rPr>
        <w:t xml:space="preserve">(1). Tổ chức triển khai </w:t>
      </w:r>
      <w:r>
        <w:rPr>
          <w:color w:val="000000"/>
          <w:sz w:val="28"/>
          <w:szCs w:val="28"/>
          <w:shd w:val="clear" w:color="auto" w:fill="FFFFFF"/>
        </w:rPr>
        <w:t xml:space="preserve">Kế hoạch thực hiện Quy hoạch thăm dò, khai thác, chế biến và sử dụng các loại khoáng sản làm vật liệu xây dựng thông thường thời kỳ 2021 - 2030, tầm nhìn đến năm 2050 kèm theo </w:t>
      </w:r>
      <w:r>
        <w:rPr>
          <w:sz w:val="28"/>
          <w:szCs w:val="28"/>
          <w:lang w:val="de-DE"/>
        </w:rPr>
        <w:t xml:space="preserve">Quyết định số 711/QĐ-TTg ngày 24/7/2024 của Thủ tướng Chính phủ. Khắc phục và điều chỉnh những hạn chế, bất cập trong </w:t>
      </w:r>
      <w:r>
        <w:rPr>
          <w:sz w:val="28"/>
          <w:szCs w:val="28"/>
        </w:rPr>
        <w:t xml:space="preserve">phương án </w:t>
      </w:r>
      <w:r>
        <w:rPr>
          <w:color w:val="000000"/>
          <w:sz w:val="28"/>
          <w:szCs w:val="28"/>
          <w:lang w:val="nl-NL"/>
        </w:rPr>
        <w:t>thăm dò, khai thác, sử dụng, bảo vệ tài nguyên khoáng sản làm vật liệu xây dựng thông thường trong Quy hoạch tỉnh.</w:t>
      </w:r>
    </w:p>
    <w:p>
      <w:pPr>
        <w:shd w:val="clear" w:color="auto" w:fill="FFFFFF"/>
        <w:spacing w:after="120" w:line="380" w:lineRule="exact"/>
        <w:ind w:firstLine="720"/>
        <w:jc w:val="both"/>
        <w:rPr>
          <w:sz w:val="28"/>
          <w:szCs w:val="28"/>
          <w:lang w:val="de-DE"/>
        </w:rPr>
      </w:pPr>
      <w:r>
        <w:rPr>
          <w:bCs/>
          <w:sz w:val="28"/>
          <w:szCs w:val="28"/>
        </w:rPr>
        <w:t xml:space="preserve">(2). </w:t>
      </w:r>
      <w:r>
        <w:rPr>
          <w:sz w:val="28"/>
          <w:szCs w:val="28"/>
          <w:lang w:val="de-DE"/>
        </w:rPr>
        <w:t xml:space="preserve">Có các giải pháp khuyến khích doanh nghiệp đầu tư công nghệ tiên tiến, nâng cao hiệu quả khai thác, chế biến, sử dụng khoáng sản, giảm thiểu tác động môi trường. </w:t>
      </w:r>
    </w:p>
    <w:p>
      <w:pPr>
        <w:shd w:val="clear" w:color="auto" w:fill="FFFFFF"/>
        <w:spacing w:after="120" w:line="380" w:lineRule="exact"/>
        <w:ind w:firstLine="720"/>
        <w:jc w:val="both"/>
        <w:rPr>
          <w:sz w:val="28"/>
          <w:szCs w:val="28"/>
          <w:lang w:val="de-DE"/>
        </w:rPr>
      </w:pPr>
      <w:r>
        <w:rPr>
          <w:sz w:val="28"/>
          <w:szCs w:val="28"/>
          <w:lang w:val="de-DE"/>
        </w:rPr>
        <w:t>(3). Đẩy mạnh cải cách thủ tục hành chính, tháo gỡ khó khăn, vướng mắc, tạo điều kiện thuận lợi cho doanh nghiệp hoàn chỉnh các hồ sơ, thủ tục về khoáng sản, đất đai, môi trường.</w:t>
      </w:r>
    </w:p>
    <w:p>
      <w:pPr>
        <w:shd w:val="clear" w:color="auto" w:fill="FFFFFF"/>
        <w:spacing w:after="120" w:line="380" w:lineRule="exact"/>
        <w:ind w:firstLine="720"/>
        <w:jc w:val="both"/>
        <w:rPr>
          <w:bCs/>
          <w:sz w:val="28"/>
          <w:szCs w:val="28"/>
        </w:rPr>
      </w:pPr>
      <w:r>
        <w:rPr>
          <w:sz w:val="28"/>
          <w:szCs w:val="28"/>
          <w:lang w:val="de-DE"/>
        </w:rPr>
        <w:t>(4).</w:t>
      </w:r>
      <w:r>
        <w:rPr>
          <w:bCs/>
          <w:sz w:val="28"/>
          <w:szCs w:val="28"/>
        </w:rPr>
        <w:t xml:space="preserve"> Chỉ đạo hoàn thiện hồ sơ thủ tục để sớm cấp phép khai thác đối với các mỏ đã trúng đấu giá quyền khai thác khoáng sản. Đối với các mỏ không đủ điều kiện cấp phép thì thông báo lý do cụ thể đến từng đơn vị. </w:t>
      </w:r>
      <w:r>
        <w:rPr>
          <w:sz w:val="28"/>
          <w:szCs w:val="28"/>
          <w:lang w:val="de-DE"/>
        </w:rPr>
        <w:t xml:space="preserve">Đối với các mỏ thuộc diện không phải đấu giá sau khi hết thời hạn </w:t>
      </w:r>
      <w:r>
        <w:rPr>
          <w:bCs/>
          <w:sz w:val="28"/>
          <w:szCs w:val="28"/>
        </w:rPr>
        <w:t xml:space="preserve">khai thác </w:t>
      </w:r>
      <w:r>
        <w:rPr>
          <w:bCs/>
          <w:sz w:val="28"/>
          <w:szCs w:val="28"/>
        </w:rPr>
        <w:t>và khai thác hết trữ lượng đã nộp tiền cấp quyền khai thác</w:t>
      </w:r>
      <w:r>
        <w:rPr>
          <w:bCs/>
          <w:sz w:val="28"/>
          <w:szCs w:val="28"/>
        </w:rPr>
        <w:t>, nếu còn trữ lượng, nghiên cứu đưa vào phương án đấu giá.</w:t>
      </w:r>
    </w:p>
    <w:p>
      <w:pPr>
        <w:shd w:val="clear" w:color="auto" w:fill="FFFFFF"/>
        <w:spacing w:after="120" w:line="380" w:lineRule="exact"/>
        <w:ind w:firstLine="720"/>
        <w:jc w:val="both"/>
        <w:rPr>
          <w:sz w:val="28"/>
          <w:szCs w:val="28"/>
          <w:lang w:val="de-DE"/>
        </w:rPr>
      </w:pPr>
      <w:bookmarkStart w:id="0" w:name="_GoBack"/>
      <w:bookmarkEnd w:id="0"/>
      <w:r>
        <w:rPr>
          <w:sz w:val="28"/>
          <w:szCs w:val="28"/>
          <w:lang w:val="de-DE"/>
        </w:rPr>
        <w:t>(5). Chỉ đạo đẩy mạnh phối hợp giữa các các sở, ngành trong thanh tra, kiểm tra hoạt động khoáng sản; tránh chồng chéo, ảnh hưởng đến hoạt động của Doanh nghiệp, đồng thời tập trung công tác hậu kiểm để nâng cao hiệu lực quản lý nhà nước.</w:t>
      </w:r>
    </w:p>
    <w:p>
      <w:pPr>
        <w:shd w:val="clear" w:color="auto" w:fill="FFFFFF"/>
        <w:spacing w:after="120" w:line="380" w:lineRule="exact"/>
        <w:ind w:firstLine="720"/>
        <w:jc w:val="both"/>
        <w:rPr>
          <w:sz w:val="28"/>
          <w:szCs w:val="28"/>
          <w:lang w:val="de-DE"/>
        </w:rPr>
      </w:pPr>
      <w:r>
        <w:rPr>
          <w:spacing w:val="-2"/>
          <w:sz w:val="28"/>
          <w:szCs w:val="28"/>
        </w:rPr>
        <w:t>(6). K</w:t>
      </w:r>
      <w:r>
        <w:rPr>
          <w:sz w:val="28"/>
          <w:szCs w:val="28"/>
          <w:lang w:val="de-DE"/>
        </w:rPr>
        <w:t>hẩn trương thẩm định, phê duyệt đề án đóng cửa đối với các mỏ hết thời hạn khai thác; nghiệm thu kết quả thực hiện đề án đóng cửa mỏ khoáng sản và quyết định đóng cửa mỏ khoáng sản. Chỉ đạo các đơn vị chưa lập Đề án đóng cửa mỏ và đơn vị đã được phê duyệt Đề án đóng cửa mỏ hoàn thành đảm bảo theo quy định.</w:t>
      </w:r>
    </w:p>
    <w:p>
      <w:pPr>
        <w:shd w:val="clear" w:color="auto" w:fill="FFFFFF"/>
        <w:spacing w:after="120" w:line="380" w:lineRule="exact"/>
        <w:ind w:firstLine="720"/>
        <w:jc w:val="both"/>
        <w:rPr>
          <w:sz w:val="28"/>
          <w:szCs w:val="28"/>
          <w:lang w:val="de-DE"/>
        </w:rPr>
      </w:pPr>
      <w:r>
        <w:rPr>
          <w:sz w:val="28"/>
          <w:szCs w:val="28"/>
          <w:lang w:val="de-DE"/>
        </w:rPr>
        <w:t>(7). Chỉ đạo rà soát, thu hồi các khoản nợ thuế liên quan đến hoạt động khai thác khoáng sản.</w:t>
      </w:r>
    </w:p>
    <w:p>
      <w:pPr>
        <w:shd w:val="clear" w:color="auto" w:fill="FFFFFF"/>
        <w:spacing w:after="120" w:line="380" w:lineRule="exact"/>
        <w:ind w:firstLine="720"/>
        <w:jc w:val="both"/>
        <w:rPr>
          <w:b/>
          <w:spacing w:val="-4"/>
          <w:sz w:val="28"/>
          <w:szCs w:val="28"/>
          <w:lang w:val="de-DE"/>
        </w:rPr>
      </w:pPr>
      <w:r>
        <w:rPr>
          <w:b/>
          <w:spacing w:val="-4"/>
          <w:sz w:val="28"/>
          <w:szCs w:val="28"/>
          <w:lang w:val="de-DE"/>
        </w:rPr>
        <w:t>Điều 3. Tổ chức thực hiện</w:t>
      </w:r>
    </w:p>
    <w:p>
      <w:pPr>
        <w:shd w:val="clear" w:color="auto" w:fill="FFFFFF"/>
        <w:spacing w:after="120" w:line="380" w:lineRule="exact"/>
        <w:ind w:firstLine="720"/>
        <w:jc w:val="both"/>
        <w:rPr>
          <w:spacing w:val="-4"/>
          <w:sz w:val="28"/>
          <w:szCs w:val="28"/>
          <w:lang w:val="de-DE"/>
        </w:rPr>
      </w:pPr>
      <w:r>
        <w:rPr>
          <w:spacing w:val="-4"/>
          <w:sz w:val="28"/>
          <w:szCs w:val="28"/>
          <w:lang w:val="de-DE"/>
        </w:rPr>
        <w:t xml:space="preserve">1. Ủy ban nhân dân tỉnh tổ chức thực hiện Nghị quyết. </w:t>
      </w:r>
    </w:p>
    <w:p>
      <w:pPr>
        <w:shd w:val="clear" w:color="auto" w:fill="FFFFFF"/>
        <w:spacing w:after="120" w:line="380" w:lineRule="exact"/>
        <w:ind w:firstLine="720"/>
        <w:jc w:val="both"/>
        <w:rPr>
          <w:spacing w:val="-4"/>
          <w:sz w:val="28"/>
          <w:szCs w:val="28"/>
          <w:lang w:val="de-DE"/>
        </w:rPr>
      </w:pPr>
      <w:r>
        <w:rPr>
          <w:spacing w:val="-4"/>
          <w:sz w:val="28"/>
          <w:szCs w:val="28"/>
          <w:lang w:val="de-DE"/>
        </w:rPr>
        <w:lastRenderedPageBreak/>
        <w:t>2. Thường trực Hội đồng nhân dân, các Ban Hội đồng nhân dân, các Tổ đại biểu Hội đồng nhân dân và đại biểu Hội đồng nhân dân tỉnh giám sát việc thực hiện Nghị quyết.</w:t>
      </w:r>
    </w:p>
    <w:p>
      <w:pPr>
        <w:shd w:val="clear" w:color="auto" w:fill="FFFFFF"/>
        <w:spacing w:after="120" w:line="380" w:lineRule="exact"/>
        <w:ind w:firstLine="720"/>
        <w:jc w:val="both"/>
        <w:rPr>
          <w:spacing w:val="-4"/>
          <w:sz w:val="28"/>
          <w:szCs w:val="28"/>
          <w:lang w:val="es-ES_tradnl"/>
        </w:rPr>
      </w:pPr>
      <w:r>
        <w:rPr>
          <w:spacing w:val="-4"/>
          <w:sz w:val="28"/>
          <w:szCs w:val="28"/>
          <w:lang w:val="de-DE"/>
        </w:rPr>
        <w:t>Nghị quyết này được Hội đồng nhân dân tỉnh Hà Tĩnh khóa XVIII, Kỳ họp thứ 23 thông qua ngày 13 tháng 12 năm 2024 và có hiệu lực từ ngày</w:t>
      </w:r>
      <w:r>
        <w:rPr>
          <w:spacing w:val="-4"/>
          <w:sz w:val="28"/>
          <w:szCs w:val="28"/>
          <w:lang w:val="es-ES_tradnl"/>
        </w:rPr>
        <w:t xml:space="preserve"> ký./.</w:t>
      </w:r>
    </w:p>
    <w:p>
      <w:pPr>
        <w:jc w:val="center"/>
        <w:rPr>
          <w:rStyle w:val="Bodytext"/>
          <w:b/>
          <w:sz w:val="22"/>
          <w:szCs w:val="28"/>
          <w:lang w:val="sq-AL"/>
        </w:rPr>
      </w:pPr>
    </w:p>
    <w:tbl>
      <w:tblPr>
        <w:tblW w:w="9660" w:type="dxa"/>
        <w:tblLayout w:type="fixed"/>
        <w:tblLook w:val="0000" w:firstRow="0" w:lastRow="0" w:firstColumn="0" w:lastColumn="0" w:noHBand="0" w:noVBand="0"/>
      </w:tblPr>
      <w:tblGrid>
        <w:gridCol w:w="5070"/>
        <w:gridCol w:w="4590"/>
      </w:tblGrid>
      <w:tr>
        <w:tc>
          <w:tcPr>
            <w:tcW w:w="5070" w:type="dxa"/>
            <w:tcBorders>
              <w:top w:val="nil"/>
              <w:left w:val="nil"/>
              <w:bottom w:val="nil"/>
              <w:right w:val="nil"/>
            </w:tcBorders>
          </w:tcPr>
          <w:p>
            <w:pPr>
              <w:rPr>
                <w:b/>
                <w:i/>
                <w:lang w:val="nl-NL"/>
              </w:rPr>
            </w:pPr>
            <w:r>
              <w:rPr>
                <w:b/>
                <w:i/>
                <w:iCs/>
                <w:lang w:val="nl-NL"/>
              </w:rPr>
              <w:t>Nơi nhận</w:t>
            </w:r>
            <w:r>
              <w:rPr>
                <w:b/>
                <w:i/>
                <w:lang w:val="nl-NL"/>
              </w:rPr>
              <w:t>:</w:t>
            </w:r>
          </w:p>
          <w:p>
            <w:pPr>
              <w:rPr>
                <w:noProof/>
                <w:sz w:val="22"/>
                <w:szCs w:val="22"/>
                <w:lang w:val="es-ES_tradnl" w:eastAsia="en-GB"/>
              </w:rPr>
            </w:pPr>
            <w:r>
              <w:rPr>
                <w:noProof/>
                <w:sz w:val="22"/>
                <w:szCs w:val="22"/>
                <w:lang w:val="es-ES_tradnl" w:eastAsia="en-GB"/>
              </w:rPr>
              <w:t>- Ủy ban Thường vụ Quốc hội;</w:t>
            </w:r>
          </w:p>
          <w:p>
            <w:pPr>
              <w:rPr>
                <w:noProof/>
                <w:sz w:val="22"/>
                <w:szCs w:val="22"/>
                <w:lang w:val="es-ES_tradnl" w:eastAsia="en-GB"/>
              </w:rPr>
            </w:pPr>
            <w:r>
              <w:rPr>
                <w:noProof/>
                <w:sz w:val="22"/>
                <w:szCs w:val="22"/>
                <w:lang w:val="es-ES_tradnl" w:eastAsia="en-GB"/>
              </w:rPr>
              <w:t>- Ban Công tác đại biểu UBTVQH;</w:t>
            </w:r>
          </w:p>
          <w:p>
            <w:pPr>
              <w:rPr>
                <w:noProof/>
                <w:sz w:val="22"/>
                <w:szCs w:val="22"/>
                <w:lang w:val="es-ES_tradnl" w:eastAsia="en-GB"/>
              </w:rPr>
            </w:pPr>
            <w:r>
              <w:rPr>
                <w:noProof/>
                <w:sz w:val="22"/>
                <w:szCs w:val="22"/>
                <w:lang w:val="es-ES_tradnl" w:eastAsia="en-GB"/>
              </w:rPr>
              <w:t xml:space="preserve">- Văn phòng Quốc hội; </w:t>
            </w:r>
          </w:p>
          <w:p>
            <w:pPr>
              <w:rPr>
                <w:noProof/>
                <w:sz w:val="22"/>
                <w:szCs w:val="22"/>
                <w:lang w:val="es-ES_tradnl" w:eastAsia="en-GB"/>
              </w:rPr>
            </w:pPr>
            <w:r>
              <w:rPr>
                <w:noProof/>
                <w:sz w:val="22"/>
                <w:szCs w:val="22"/>
                <w:lang w:val="es-ES_tradnl" w:eastAsia="en-GB"/>
              </w:rPr>
              <w:t>- Văn phòng Chủ tịch nước;</w:t>
            </w:r>
          </w:p>
          <w:p>
            <w:pPr>
              <w:rPr>
                <w:noProof/>
                <w:sz w:val="22"/>
                <w:szCs w:val="22"/>
                <w:lang w:val="es-ES_tradnl" w:eastAsia="en-GB"/>
              </w:rPr>
            </w:pPr>
            <w:r>
              <w:rPr>
                <w:noProof/>
                <w:sz w:val="22"/>
                <w:szCs w:val="22"/>
                <w:lang w:val="es-ES_tradnl" w:eastAsia="en-GB"/>
              </w:rPr>
              <w:t>- Văn phòng Chính phủ, Website Chính phủ;</w:t>
            </w:r>
          </w:p>
          <w:p>
            <w:pPr>
              <w:rPr>
                <w:noProof/>
                <w:sz w:val="22"/>
                <w:szCs w:val="22"/>
                <w:lang w:val="es-ES_tradnl" w:eastAsia="en-GB"/>
              </w:rPr>
            </w:pPr>
            <w:r>
              <w:rPr>
                <w:noProof/>
                <w:sz w:val="22"/>
                <w:szCs w:val="22"/>
                <w:lang w:val="es-ES_tradnl" w:eastAsia="en-GB"/>
              </w:rPr>
              <w:t>- Kiểm toán Nhà nước khu vực II;</w:t>
            </w:r>
          </w:p>
          <w:p>
            <w:pPr>
              <w:rPr>
                <w:noProof/>
                <w:sz w:val="22"/>
                <w:szCs w:val="22"/>
                <w:lang w:val="es-ES_tradnl" w:eastAsia="en-GB"/>
              </w:rPr>
            </w:pPr>
            <w:r>
              <w:rPr>
                <w:noProof/>
                <w:sz w:val="22"/>
                <w:szCs w:val="22"/>
                <w:lang w:val="es-ES_tradnl" w:eastAsia="en-GB"/>
              </w:rPr>
              <w:t>- Bộ Tư lệnh Quân khu IV;</w:t>
            </w:r>
          </w:p>
          <w:p>
            <w:pPr>
              <w:rPr>
                <w:noProof/>
                <w:sz w:val="22"/>
                <w:szCs w:val="22"/>
                <w:lang w:val="es-ES_tradnl" w:eastAsia="en-GB"/>
              </w:rPr>
            </w:pPr>
            <w:r>
              <w:rPr>
                <w:noProof/>
                <w:sz w:val="22"/>
                <w:szCs w:val="22"/>
                <w:lang w:val="es-ES_tradnl" w:eastAsia="en-GB"/>
              </w:rPr>
              <w:t>- TT Tỉnh ủy, TT HĐND tỉnh;</w:t>
            </w:r>
          </w:p>
          <w:p>
            <w:pPr>
              <w:rPr>
                <w:noProof/>
                <w:sz w:val="22"/>
                <w:szCs w:val="22"/>
                <w:lang w:val="es-ES_tradnl" w:eastAsia="en-GB"/>
              </w:rPr>
            </w:pPr>
            <w:r>
              <w:rPr>
                <w:noProof/>
                <w:sz w:val="22"/>
                <w:szCs w:val="22"/>
                <w:lang w:val="es-ES_tradnl" w:eastAsia="en-GB"/>
              </w:rPr>
              <w:t>- UBND tỉnh, UBMTTQ tỉnh;</w:t>
            </w:r>
          </w:p>
          <w:p>
            <w:pPr>
              <w:rPr>
                <w:noProof/>
                <w:sz w:val="22"/>
                <w:szCs w:val="22"/>
                <w:lang w:val="es-ES_tradnl" w:eastAsia="en-GB"/>
              </w:rPr>
            </w:pPr>
            <w:r>
              <w:rPr>
                <w:noProof/>
                <w:sz w:val="22"/>
                <w:szCs w:val="22"/>
                <w:lang w:val="es-ES_tradnl" w:eastAsia="en-GB"/>
              </w:rPr>
              <w:t>- Đại biểu Quốc hội Đoàn Hà Tĩnh;</w:t>
            </w:r>
          </w:p>
          <w:p>
            <w:pPr>
              <w:rPr>
                <w:noProof/>
                <w:sz w:val="22"/>
                <w:szCs w:val="22"/>
                <w:lang w:val="es-ES_tradnl" w:eastAsia="en-GB"/>
              </w:rPr>
            </w:pPr>
            <w:r>
              <w:rPr>
                <w:noProof/>
                <w:sz w:val="22"/>
                <w:szCs w:val="22"/>
                <w:lang w:val="es-ES_tradnl" w:eastAsia="en-GB"/>
              </w:rPr>
              <w:t>- Đại biểu HĐND tỉnh;</w:t>
            </w:r>
          </w:p>
          <w:p>
            <w:pPr>
              <w:rPr>
                <w:noProof/>
                <w:sz w:val="22"/>
                <w:szCs w:val="22"/>
                <w:lang w:val="es-ES_tradnl" w:eastAsia="en-GB"/>
              </w:rPr>
            </w:pPr>
            <w:r>
              <w:rPr>
                <w:noProof/>
                <w:sz w:val="22"/>
                <w:szCs w:val="22"/>
                <w:lang w:val="es-ES_tradnl" w:eastAsia="en-GB"/>
              </w:rPr>
              <w:t>- VP: Tỉnh ủy, Đoàn ĐBQH và HĐND tỉnh;</w:t>
            </w:r>
          </w:p>
          <w:p>
            <w:pPr>
              <w:rPr>
                <w:noProof/>
                <w:sz w:val="22"/>
                <w:szCs w:val="22"/>
                <w:lang w:val="es-ES_tradnl" w:eastAsia="en-GB"/>
              </w:rPr>
            </w:pPr>
            <w:r>
              <w:rPr>
                <w:noProof/>
                <w:sz w:val="22"/>
                <w:szCs w:val="22"/>
                <w:lang w:val="es-ES_tradnl" w:eastAsia="en-GB"/>
              </w:rPr>
              <w:t>- Các sở, ban, ngành, đoàn thể cấp tỉnh;</w:t>
            </w:r>
          </w:p>
          <w:p>
            <w:pPr>
              <w:rPr>
                <w:noProof/>
                <w:sz w:val="22"/>
                <w:szCs w:val="22"/>
                <w:lang w:val="es-ES_tradnl" w:eastAsia="en-GB"/>
              </w:rPr>
            </w:pPr>
            <w:r>
              <w:rPr>
                <w:noProof/>
                <w:sz w:val="22"/>
                <w:szCs w:val="22"/>
                <w:lang w:val="es-ES_tradnl" w:eastAsia="en-GB"/>
              </w:rPr>
              <w:t>- TT HĐND, UBND các huyện, thành phố, thị xã;</w:t>
            </w:r>
          </w:p>
          <w:p>
            <w:pPr>
              <w:rPr>
                <w:noProof/>
                <w:sz w:val="22"/>
                <w:szCs w:val="22"/>
                <w:lang w:eastAsia="en-GB"/>
              </w:rPr>
            </w:pPr>
            <w:r>
              <w:rPr>
                <w:noProof/>
                <w:sz w:val="22"/>
                <w:szCs w:val="22"/>
                <w:lang w:eastAsia="en-GB"/>
              </w:rPr>
              <w:t>- Trung tâm Công báo - Tin học;</w:t>
            </w:r>
          </w:p>
          <w:p>
            <w:r>
              <w:rPr>
                <w:noProof/>
                <w:sz w:val="22"/>
                <w:szCs w:val="22"/>
                <w:lang w:eastAsia="en-GB"/>
              </w:rPr>
              <w:t>- Lưu: VT, TH.HĐ</w:t>
            </w:r>
            <w:r>
              <w:rPr>
                <w:noProof/>
                <w:sz w:val="22"/>
                <w:szCs w:val="22"/>
                <w:vertAlign w:val="subscript"/>
                <w:lang w:eastAsia="en-GB"/>
              </w:rPr>
              <w:t>3</w:t>
            </w:r>
            <w:r>
              <w:rPr>
                <w:noProof/>
                <w:sz w:val="22"/>
                <w:szCs w:val="22"/>
                <w:lang w:eastAsia="en-GB"/>
              </w:rPr>
              <w:t>.</w:t>
            </w:r>
          </w:p>
          <w:p/>
        </w:tc>
        <w:tc>
          <w:tcPr>
            <w:tcW w:w="4590" w:type="dxa"/>
            <w:tcBorders>
              <w:top w:val="nil"/>
              <w:left w:val="nil"/>
              <w:bottom w:val="nil"/>
              <w:right w:val="nil"/>
            </w:tcBorders>
          </w:tcPr>
          <w:p>
            <w:pPr>
              <w:pStyle w:val="Heading2"/>
              <w:spacing w:before="40" w:after="0"/>
              <w:jc w:val="center"/>
              <w:rPr>
                <w:rFonts w:ascii="Times New Roman" w:hAnsi="Times New Roman"/>
                <w:i w:val="0"/>
                <w:sz w:val="28"/>
                <w:lang w:val="en-AU"/>
              </w:rPr>
            </w:pPr>
            <w:r>
              <w:rPr>
                <w:rFonts w:ascii="Times New Roman" w:hAnsi="Times New Roman"/>
                <w:i w:val="0"/>
                <w:sz w:val="28"/>
                <w:lang w:val="en-AU"/>
              </w:rPr>
              <w:t xml:space="preserve">CHỦ TỊCH </w:t>
            </w:r>
          </w:p>
          <w:p>
            <w:pPr>
              <w:spacing w:before="40"/>
              <w:rPr>
                <w:lang w:val="en-AU"/>
              </w:rPr>
            </w:pPr>
          </w:p>
          <w:p>
            <w:pPr>
              <w:spacing w:before="40"/>
              <w:rPr>
                <w:lang w:val="en-AU"/>
              </w:rPr>
            </w:pPr>
          </w:p>
          <w:p>
            <w:pPr>
              <w:spacing w:before="40"/>
              <w:rPr>
                <w:sz w:val="36"/>
                <w:lang w:val="en-AU"/>
              </w:rPr>
            </w:pPr>
          </w:p>
          <w:p>
            <w:pPr>
              <w:spacing w:before="40"/>
              <w:rPr>
                <w:sz w:val="30"/>
                <w:lang w:val="en-AU"/>
              </w:rPr>
            </w:pPr>
          </w:p>
          <w:p>
            <w:pPr>
              <w:spacing w:before="40"/>
              <w:rPr>
                <w:sz w:val="30"/>
                <w:lang w:val="en-AU"/>
              </w:rPr>
            </w:pPr>
          </w:p>
          <w:p>
            <w:pPr>
              <w:spacing w:before="40"/>
              <w:rPr>
                <w:lang w:val="en-AU"/>
              </w:rPr>
            </w:pPr>
          </w:p>
          <w:p>
            <w:pPr>
              <w:pStyle w:val="Heading2"/>
              <w:spacing w:before="40" w:after="0"/>
              <w:ind w:right="-1"/>
              <w:jc w:val="center"/>
              <w:rPr>
                <w:rFonts w:ascii="Times New Roman" w:hAnsi="Times New Roman"/>
                <w:i w:val="0"/>
                <w:sz w:val="28"/>
                <w:lang w:val="en-AU"/>
              </w:rPr>
            </w:pPr>
            <w:r>
              <w:rPr>
                <w:rFonts w:ascii="Times New Roman" w:hAnsi="Times New Roman"/>
                <w:i w:val="0"/>
                <w:sz w:val="28"/>
                <w:lang w:val="en-AU"/>
              </w:rPr>
              <w:t>Hoàng Trung Dũng</w:t>
            </w:r>
          </w:p>
          <w:p>
            <w:pPr>
              <w:rPr>
                <w:lang w:val="en-AU"/>
              </w:rPr>
            </w:pPr>
          </w:p>
          <w:p>
            <w:pPr>
              <w:jc w:val="right"/>
              <w:rPr>
                <w:lang w:val="en-AU"/>
              </w:rPr>
            </w:pPr>
          </w:p>
        </w:tc>
      </w:tr>
    </w:tbl>
    <w:p>
      <w:pPr>
        <w:spacing w:before="60" w:after="60" w:line="240" w:lineRule="atLeast"/>
        <w:rPr>
          <w:b/>
          <w:sz w:val="28"/>
          <w:szCs w:val="28"/>
          <w:shd w:val="clear" w:color="auto" w:fill="FFFFFF"/>
        </w:rPr>
      </w:pPr>
    </w:p>
    <w:sectPr>
      <w:headerReference w:type="default" r:id="rId8"/>
      <w:footerReference w:type="default" r:id="rId9"/>
      <w:pgSz w:w="11907" w:h="16840" w:code="9"/>
      <w:pgMar w:top="1134" w:right="1134" w:bottom="1134" w:left="1701" w:header="72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right"/>
      <w:rPr>
        <w:sz w:val="26"/>
        <w:szCs w:val="26"/>
      </w:rPr>
    </w:pPr>
  </w:p>
  <w:p>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119639"/>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E42"/>
    <w:multiLevelType w:val="hybridMultilevel"/>
    <w:tmpl w:val="B178E3D8"/>
    <w:lvl w:ilvl="0" w:tplc="9E34BF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685235"/>
    <w:multiLevelType w:val="hybridMultilevel"/>
    <w:tmpl w:val="18FCF05C"/>
    <w:lvl w:ilvl="0" w:tplc="C17421A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3A1A48E8"/>
    <w:multiLevelType w:val="hybridMultilevel"/>
    <w:tmpl w:val="6F742C2A"/>
    <w:lvl w:ilvl="0" w:tplc="D868A610">
      <w:start w:val="1"/>
      <w:numFmt w:val="lowerLetter"/>
      <w:lvlText w:val="%1)"/>
      <w:lvlJc w:val="left"/>
      <w:pPr>
        <w:tabs>
          <w:tab w:val="num" w:pos="1080"/>
        </w:tabs>
        <w:ind w:left="1080" w:hanging="360"/>
      </w:pPr>
    </w:lvl>
    <w:lvl w:ilvl="1" w:tplc="45D802E2">
      <w:start w:val="1"/>
      <w:numFmt w:val="decimal"/>
      <w:lvlText w:val="%2."/>
      <w:lvlJc w:val="left"/>
      <w:pPr>
        <w:tabs>
          <w:tab w:val="num" w:pos="2475"/>
        </w:tabs>
        <w:ind w:left="2475" w:hanging="1035"/>
      </w:pPr>
    </w:lvl>
    <w:lvl w:ilvl="2" w:tplc="3D50A8F6">
      <w:start w:val="1"/>
      <w:numFmt w:val="decimal"/>
      <w:lvlText w:val="%3."/>
      <w:lvlJc w:val="left"/>
      <w:pPr>
        <w:tabs>
          <w:tab w:val="num" w:pos="2700"/>
        </w:tabs>
        <w:ind w:left="2700" w:hanging="360"/>
      </w:pPr>
      <w:rPr>
        <w:color w:val="000000"/>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401C32EF"/>
    <w:multiLevelType w:val="hybridMultilevel"/>
    <w:tmpl w:val="88DE4400"/>
    <w:lvl w:ilvl="0" w:tplc="5BE4BC8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6A6A27F7"/>
    <w:multiLevelType w:val="hybridMultilevel"/>
    <w:tmpl w:val="56823792"/>
    <w:lvl w:ilvl="0" w:tplc="9C0E7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hideSpellingErrors/>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2860D-CE91-458E-9F68-BB455222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spacing w:before="240" w:after="60"/>
      <w:outlineLvl w:val="1"/>
    </w:pPr>
    <w:rPr>
      <w:rFonts w:ascii="Arial" w:hAnsi="Arial"/>
      <w:b/>
      <w:bCs/>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w:basedOn w:val="Normal"/>
    <w:link w:val="NormalWebChar"/>
    <w:uiPriority w:val="99"/>
    <w:unhideWhenUsed/>
    <w:pPr>
      <w:spacing w:before="100" w:beforeAutospacing="1" w:after="100" w:afterAutospacing="1"/>
    </w:pPr>
    <w:rPr>
      <w:lang w:val="vi-VN" w:eastAsia="vi-VN"/>
    </w:rPr>
  </w:style>
  <w:style w:type="paragraph" w:styleId="ListParagraph">
    <w:name w:val="List Paragraph"/>
    <w:basedOn w:val="Normal"/>
    <w:uiPriority w:val="34"/>
    <w:qFormat/>
    <w:pPr>
      <w:ind w:left="720"/>
      <w:contextualSpacing/>
    </w:pPr>
    <w:rPr>
      <w:sz w:val="26"/>
      <w:szCs w:val="26"/>
    </w:rPr>
  </w:style>
  <w:style w:type="character" w:customStyle="1" w:styleId="Bodytext">
    <w:name w:val="Body text_"/>
    <w:link w:val="Bodytext1"/>
    <w:locked/>
    <w:rPr>
      <w:spacing w:val="20"/>
      <w:sz w:val="23"/>
      <w:szCs w:val="23"/>
      <w:shd w:val="clear" w:color="auto" w:fill="FFFFFF"/>
    </w:rPr>
  </w:style>
  <w:style w:type="paragraph" w:customStyle="1" w:styleId="Bodytext1">
    <w:name w:val="Body text1"/>
    <w:basedOn w:val="Normal"/>
    <w:link w:val="Bodytext"/>
    <w:pPr>
      <w:widowControl w:val="0"/>
      <w:shd w:val="clear" w:color="auto" w:fill="FFFFFF"/>
      <w:spacing w:line="274" w:lineRule="exact"/>
      <w:jc w:val="center"/>
    </w:pPr>
    <w:rPr>
      <w:rFonts w:eastAsia="Calibri"/>
      <w:spacing w:val="20"/>
      <w:sz w:val="23"/>
      <w:szCs w:val="23"/>
    </w:rPr>
  </w:style>
  <w:style w:type="paragraph" w:customStyle="1" w:styleId="H2">
    <w:name w:val="H2"/>
    <w:basedOn w:val="Normal"/>
    <w:pPr>
      <w:spacing w:before="120"/>
      <w:ind w:firstLine="720"/>
      <w:jc w:val="both"/>
    </w:pPr>
    <w:rPr>
      <w:b/>
      <w:bCs/>
      <w:kern w:val="2"/>
      <w:sz w:val="28"/>
      <w:szCs w:val="28"/>
      <w:lang w:val="vi-VN"/>
    </w:rPr>
  </w:style>
  <w:style w:type="character" w:customStyle="1" w:styleId="apple-converted-space">
    <w:name w:val="apple-converted-space"/>
    <w:basedOn w:val="DefaultParagraphFont"/>
  </w:style>
  <w:style w:type="paragraph" w:customStyle="1" w:styleId="Normal1">
    <w:name w:val="Normal1"/>
    <w:basedOn w:val="Normal"/>
    <w:pPr>
      <w:spacing w:before="100" w:beforeAutospacing="1" w:after="100" w:afterAutospacing="1"/>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Strong">
    <w:name w:val="Strong"/>
    <w:uiPriority w:val="22"/>
    <w:qFormat/>
    <w:rPr>
      <w:b/>
      <w:bCs/>
    </w:rPr>
  </w:style>
  <w:style w:type="paragraph" w:styleId="BodyText0">
    <w:name w:val="Body Text"/>
    <w:basedOn w:val="Normal"/>
    <w:link w:val="BodyTextChar"/>
    <w:pPr>
      <w:jc w:val="center"/>
    </w:pPr>
    <w:rPr>
      <w:b/>
      <w:color w:val="000000"/>
      <w:sz w:val="20"/>
      <w:szCs w:val="20"/>
    </w:rPr>
  </w:style>
  <w:style w:type="character" w:customStyle="1" w:styleId="BodyTextChar">
    <w:name w:val="Body Text Char"/>
    <w:link w:val="BodyText0"/>
    <w:rPr>
      <w:rFonts w:eastAsia="Times New Roman" w:cs="Tahoma"/>
      <w:b/>
      <w:color w:val="000000"/>
      <w:szCs w:val="20"/>
    </w:rPr>
  </w:style>
  <w:style w:type="paragraph" w:customStyle="1" w:styleId="Char">
    <w:name w:val="Char"/>
    <w:basedOn w:val="Normal"/>
    <w:pPr>
      <w:spacing w:after="160" w:line="240" w:lineRule="exact"/>
    </w:pPr>
    <w:rPr>
      <w:rFonts w:ascii="Verdana" w:hAnsi="Verdana"/>
      <w:sz w:val="20"/>
      <w:szCs w:val="20"/>
    </w:rPr>
  </w:style>
  <w:style w:type="character" w:customStyle="1" w:styleId="Bodytext4">
    <w:name w:val="Body text (4)_"/>
    <w:link w:val="Bodytext41"/>
    <w:uiPriority w:val="99"/>
    <w:rPr>
      <w:rFonts w:cs="Times New Roman"/>
      <w:i/>
      <w:iCs/>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180" w:after="600" w:line="240" w:lineRule="atLeast"/>
      <w:ind w:hanging="460"/>
    </w:pPr>
    <w:rPr>
      <w:rFonts w:eastAsia="Calibri"/>
      <w:i/>
      <w:iCs/>
      <w:sz w:val="26"/>
      <w:szCs w:val="26"/>
    </w:rPr>
  </w:style>
  <w:style w:type="character" w:customStyle="1" w:styleId="Heading2Char">
    <w:name w:val="Heading 2 Char"/>
    <w:link w:val="Heading2"/>
    <w:rPr>
      <w:rFonts w:ascii="Arial" w:eastAsia="Times New Roman" w:hAnsi="Arial" w:cs="Arial"/>
      <w:b/>
      <w:bCs/>
      <w:i/>
      <w:iCs/>
      <w:szCs w:val="28"/>
    </w:rPr>
  </w:style>
  <w:style w:type="character" w:customStyle="1" w:styleId="NormalWebChar">
    <w:name w:val="Normal (Web) Char"/>
    <w:aliases w:val=" Char Char Char Char,Char Char Char Char"/>
    <w:link w:val="NormalWeb"/>
    <w:uiPriority w:val="99"/>
    <w:rPr>
      <w:rFonts w:eastAsia="Times New Roman" w:cs="Times New Roman"/>
      <w:sz w:val="24"/>
      <w:szCs w:val="24"/>
      <w:lang w:val="vi-VN" w:eastAsia="vi-VN"/>
    </w:rPr>
  </w:style>
  <w:style w:type="character" w:styleId="FootnoteReference">
    <w:name w:val="footnote reference"/>
    <w:aliases w:val="Footnote dich,Footnote,ftref, BVI fnr,footnote ref,Footnote text,SUPERS,16 Point,Superscript 6 Point,BVI fnr Char Char Char Char Char Char,BVI fnr Car Car Char Char Char Char Char Char,BVI fnr Car Char Char Char Char Char Char,10 pt,R"/>
    <w:unhideWhenUsed/>
    <w:qFormat/>
    <w:rPr>
      <w:vertAlign w:val="superscript"/>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link w:val="BodyTextIndent"/>
    <w:uiPriority w:val="99"/>
    <w:semiHidden/>
    <w:rPr>
      <w:rFonts w:eastAsia="Times New Roman"/>
      <w:sz w:val="24"/>
      <w:szCs w:val="24"/>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sz w:val="28"/>
      <w:szCs w:val="22"/>
    </w:rPr>
  </w:style>
  <w:style w:type="paragraph" w:styleId="FootnoteText">
    <w:name w:val="footnote text"/>
    <w:aliases w:val="single space,footnote text,Footnote Text Char Char Char Char Char,Footnote Text Char Char Char Char Char Char Ch Char,Footnote Text Char Char Char Char Char Char Ch Char Char Char Char Char Char,ft,C,Char Char,fn,fn Char,FOOTNOTES"/>
    <w:basedOn w:val="Normal"/>
    <w:link w:val="FootnoteTextChar"/>
    <w:unhideWhenUsed/>
    <w:rPr>
      <w:sz w:val="20"/>
      <w:szCs w:val="20"/>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 Char Char Ch Char Char Char Char Char Char Char,ft Char,C Char"/>
    <w:basedOn w:val="DefaultParagraphFont"/>
    <w:link w:val="FootnoteText"/>
    <w:rPr>
      <w:rFonts w:eastAsia="Times New Roman"/>
    </w:rPr>
  </w:style>
  <w:style w:type="paragraph" w:styleId="Revision">
    <w:name w:val="Revision"/>
    <w:hidden/>
    <w:uiPriority w:val="99"/>
    <w:semiHidden/>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F863E-ECC9-42E2-9A24-B76A80F9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MR Kien</cp:lastModifiedBy>
  <cp:revision>3</cp:revision>
  <cp:lastPrinted>2023-12-05T06:59:00Z</cp:lastPrinted>
  <dcterms:created xsi:type="dcterms:W3CDTF">2024-12-10T05:15:00Z</dcterms:created>
  <dcterms:modified xsi:type="dcterms:W3CDTF">2024-12-10T09:31:00Z</dcterms:modified>
</cp:coreProperties>
</file>