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83" w:type="dxa"/>
        <w:jc w:val="center"/>
        <w:tblLook w:val="01E0" w:firstRow="1" w:lastRow="1" w:firstColumn="1" w:lastColumn="1" w:noHBand="0" w:noVBand="0"/>
      </w:tblPr>
      <w:tblGrid>
        <w:gridCol w:w="3401"/>
        <w:gridCol w:w="6082"/>
      </w:tblGrid>
      <w:tr>
        <w:trPr>
          <w:jc w:val="center"/>
        </w:trPr>
        <w:tc>
          <w:tcPr>
            <w:tcW w:w="3401" w:type="dxa"/>
          </w:tcPr>
          <w:p>
            <w:pPr>
              <w:keepNext/>
              <w:keepLines/>
              <w:spacing w:before="0" w:after="0"/>
              <w:ind w:firstLine="0"/>
              <w:jc w:val="center"/>
              <w:rPr>
                <w:b/>
                <w:sz w:val="26"/>
                <w:szCs w:val="26"/>
              </w:rPr>
            </w:pPr>
            <w:r>
              <w:rPr>
                <w:b/>
                <w:sz w:val="26"/>
                <w:szCs w:val="26"/>
              </w:rPr>
              <w:t>HỘI ĐỒNG NHÂN DÂN</w:t>
            </w:r>
          </w:p>
          <w:p>
            <w:pPr>
              <w:keepNext/>
              <w:keepLines/>
              <w:spacing w:before="0" w:after="0"/>
              <w:ind w:firstLine="0"/>
              <w:jc w:val="center"/>
              <w:rPr>
                <w:b/>
                <w:sz w:val="26"/>
                <w:szCs w:val="26"/>
              </w:rPr>
            </w:pPr>
            <w:r>
              <w:rPr>
                <w:b/>
                <w:noProof/>
                <w:sz w:val="26"/>
                <w:szCs w:val="26"/>
              </w:rPr>
              <mc:AlternateContent>
                <mc:Choice Requires="wps">
                  <w:drawing>
                    <wp:anchor distT="0" distB="0" distL="114300" distR="114300" simplePos="0" relativeHeight="251664384" behindDoc="0" locked="0" layoutInCell="1" allowOverlap="1">
                      <wp:simplePos x="0" y="0"/>
                      <wp:positionH relativeFrom="column">
                        <wp:posOffset>640080</wp:posOffset>
                      </wp:positionH>
                      <wp:positionV relativeFrom="paragraph">
                        <wp:posOffset>229870</wp:posOffset>
                      </wp:positionV>
                      <wp:extent cx="642620" cy="0"/>
                      <wp:effectExtent l="11430" t="10795" r="12700" b="8255"/>
                      <wp:wrapNone/>
                      <wp:docPr id="1" name="Line 7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2B50DE" id="Line 726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18.1pt" to="10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"/>
                  </w:pict>
                </mc:Fallback>
              </mc:AlternateContent>
            </w:r>
            <w:r>
              <w:rPr>
                <w:b/>
                <w:noProof/>
                <w:sz w:val="26"/>
                <w:szCs w:val="26"/>
              </w:rPr>
              <w:t>TỈNH</w:t>
            </w:r>
            <w:r>
              <w:rPr>
                <w:b/>
                <w:sz w:val="26"/>
                <w:szCs w:val="26"/>
              </w:rPr>
              <w:t xml:space="preserve"> HÀ TĨNH</w:t>
            </w:r>
          </w:p>
        </w:tc>
        <w:tc>
          <w:tcPr>
            <w:tcW w:w="6082" w:type="dxa"/>
          </w:tcPr>
          <w:p>
            <w:pPr>
              <w:keepNext/>
              <w:keepLines/>
              <w:spacing w:before="0" w:after="0"/>
              <w:ind w:firstLine="0"/>
              <w:jc w:val="center"/>
              <w:rPr>
                <w:b/>
                <w:sz w:val="26"/>
                <w:szCs w:val="26"/>
              </w:rPr>
            </w:pPr>
            <w:r>
              <w:rPr>
                <w:b/>
                <w:sz w:val="26"/>
                <w:szCs w:val="26"/>
              </w:rPr>
              <w:t>CỘNG HÒA XÃ HỘI CHỦ NGHĨA VIỆT NAM</w:t>
            </w:r>
          </w:p>
          <w:p>
            <w:pPr>
              <w:keepNext/>
              <w:keepLines/>
              <w:spacing w:before="0" w:after="0"/>
              <w:ind w:firstLine="0"/>
              <w:jc w:val="center"/>
              <w:rPr>
                <w:b/>
                <w:sz w:val="28"/>
                <w:szCs w:val="28"/>
              </w:rPr>
            </w:pPr>
            <w:r>
              <w:rPr>
                <w:b/>
                <w:sz w:val="28"/>
                <w:szCs w:val="28"/>
              </w:rPr>
              <w:t>Độc lập - Tự do - Hạnh phúc</w:t>
            </w:r>
          </w:p>
          <w:p>
            <w:pPr>
              <w:keepNext/>
              <w:keepLines/>
              <w:spacing w:before="0" w:after="0"/>
              <w:ind w:firstLine="0"/>
              <w:jc w:val="center"/>
              <w:rPr>
                <w:b/>
                <w:sz w:val="26"/>
                <w:szCs w:val="26"/>
              </w:rPr>
            </w:pPr>
            <w:r>
              <w:rPr>
                <w:b/>
                <w:noProof/>
                <w:sz w:val="26"/>
                <w:szCs w:val="26"/>
              </w:rPr>
              <mc:AlternateContent>
                <mc:Choice Requires="wps">
                  <w:drawing>
                    <wp:anchor distT="0" distB="0" distL="114300" distR="114300" simplePos="0" relativeHeight="251665408" behindDoc="0" locked="0" layoutInCell="1" allowOverlap="1">
                      <wp:simplePos x="0" y="0"/>
                      <wp:positionH relativeFrom="column">
                        <wp:posOffset>823644</wp:posOffset>
                      </wp:positionH>
                      <wp:positionV relativeFrom="paragraph">
                        <wp:posOffset>24130</wp:posOffset>
                      </wp:positionV>
                      <wp:extent cx="2091397"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09139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FFA19A"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4.85pt,1.9pt" to="229.5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" strokecolor="black [3040]"/>
                  </w:pict>
                </mc:Fallback>
              </mc:AlternateContent>
            </w:r>
          </w:p>
        </w:tc>
      </w:tr>
      <w:tr>
        <w:trPr>
          <w:jc w:val="center"/>
        </w:trPr>
        <w:tc>
          <w:tcPr>
            <w:tcW w:w="3401" w:type="dxa"/>
          </w:tcPr>
          <w:p>
            <w:pPr>
              <w:keepNext/>
              <w:keepLines/>
              <w:spacing w:before="0" w:after="0"/>
              <w:ind w:firstLine="0"/>
              <w:jc w:val="center"/>
              <w:rPr>
                <w:sz w:val="26"/>
                <w:szCs w:val="26"/>
              </w:rPr>
            </w:pPr>
            <w:r>
              <w:rPr>
                <w:sz w:val="26"/>
                <w:szCs w:val="26"/>
              </w:rPr>
              <w:t>Số:           /2024/NQ-HĐND</w:t>
            </w:r>
          </w:p>
        </w:tc>
        <w:tc>
          <w:tcPr>
            <w:tcW w:w="6082" w:type="dxa"/>
          </w:tcPr>
          <w:p>
            <w:pPr>
              <w:keepNext/>
              <w:keepLines/>
              <w:spacing w:before="0" w:after="0"/>
              <w:ind w:firstLine="0"/>
              <w:jc w:val="center"/>
              <w:rPr>
                <w:i/>
                <w:sz w:val="26"/>
                <w:szCs w:val="26"/>
                <w:lang w:val="nl-NL"/>
              </w:rPr>
            </w:pPr>
            <w:r>
              <w:rPr>
                <w:i/>
                <w:sz w:val="26"/>
                <w:szCs w:val="26"/>
                <w:lang w:val="nl-NL"/>
              </w:rPr>
              <w:t>Hà Tĩnh, ngày      tháng     năm 2024</w:t>
            </w:r>
          </w:p>
        </w:tc>
      </w:tr>
    </w:tbl>
    <w:p>
      <w:pPr>
        <w:spacing w:before="0"/>
        <w:ind w:firstLine="0"/>
        <w:rPr>
          <w:sz w:val="28"/>
          <w:szCs w:val="28"/>
          <w:lang w:val="nl-NL"/>
        </w:rPr>
      </w:pPr>
      <w:r>
        <w:rPr>
          <w:noProof/>
          <w:sz w:val="22"/>
          <w:szCs w:val="20"/>
        </w:rPr>
        <mc:AlternateContent>
          <mc:Choice Requires="wps">
            <w:drawing>
              <wp:anchor distT="45720" distB="45720" distL="114300" distR="114300" simplePos="0" relativeHeight="251667456" behindDoc="0" locked="0" layoutInCell="1" allowOverlap="1">
                <wp:simplePos x="0" y="0"/>
                <wp:positionH relativeFrom="margin">
                  <wp:posOffset>396240</wp:posOffset>
                </wp:positionH>
                <wp:positionV relativeFrom="paragraph">
                  <wp:posOffset>58420</wp:posOffset>
                </wp:positionV>
                <wp:extent cx="1123950" cy="29527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95275"/>
                        </a:xfrm>
                        <a:prstGeom prst="rect">
                          <a:avLst/>
                        </a:prstGeom>
                        <a:solidFill>
                          <a:srgbClr val="FFFFFF"/>
                        </a:solidFill>
                        <a:ln w="9525">
                          <a:solidFill>
                            <a:srgbClr val="000000"/>
                          </a:solidFill>
                          <a:miter lim="800000"/>
                          <a:headEnd/>
                          <a:tailEnd/>
                        </a:ln>
                      </wps:spPr>
                      <wps:txbx>
                        <w:txbxContent>
                          <w:p>
                            <w:pPr>
                              <w:spacing w:before="0" w:after="0"/>
                              <w:ind w:firstLine="0"/>
                              <w:jc w:val="center"/>
                              <w:rPr>
                                <w:b/>
                                <w:bCs/>
                                <w:sz w:val="26"/>
                                <w:szCs w:val="26"/>
                              </w:rPr>
                            </w:pPr>
                            <w:r>
                              <w:rPr>
                                <w:b/>
                                <w:bCs/>
                                <w:sz w:val="26"/>
                                <w:szCs w:val="26"/>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8C5C429" id="_x0000_t202" coordsize="21600,21600" o:spt="202" path="m,l,21600r21600,l21600,xe">
                <v:stroke joinstyle="miter"/>
                <v:path gradientshapeok="t" o:connecttype="rect"/>
              </v:shapetype>
              <v:shape id="Text Box 2" o:spid="_x0000_s1026" type="#_x0000_t202" style="position:absolute;left:0;text-align:left;margin-left:31.2pt;margin-top:4.6pt;width:88.5pt;height:23.2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">
                <v:textbox>
                  <w:txbxContent>
                    <w:p w14:paraId="7410B4B1" w14:textId="2E0B869A" w:rsidR="005B27B1" w:rsidRPr="00B363F3" w:rsidRDefault="005B27B1" w:rsidP="00B363F3">
                      <w:pPr>
                        <w:spacing w:before="0" w:after="0"/>
                        <w:ind w:firstLine="0"/>
                        <w:jc w:val="center"/>
                        <w:rPr>
                          <w:b/>
                          <w:bCs/>
                          <w:sz w:val="26"/>
                          <w:szCs w:val="26"/>
                        </w:rPr>
                      </w:pPr>
                      <w:r w:rsidRPr="00B363F3">
                        <w:rPr>
                          <w:b/>
                          <w:bCs/>
                          <w:sz w:val="26"/>
                          <w:szCs w:val="26"/>
                        </w:rPr>
                        <w:t>DỰ THẢO</w:t>
                      </w:r>
                    </w:p>
                  </w:txbxContent>
                </v:textbox>
                <w10:wrap anchorx="margin"/>
              </v:shape>
            </w:pict>
          </mc:Fallback>
        </mc:AlternateContent>
      </w:r>
      <w:r>
        <w:rPr>
          <w:sz w:val="22"/>
          <w:szCs w:val="20"/>
          <w:lang w:val="nl-NL"/>
        </w:rPr>
        <w:t xml:space="preserve"> </w:t>
      </w:r>
    </w:p>
    <w:p>
      <w:pPr>
        <w:spacing w:before="60" w:after="60"/>
        <w:ind w:firstLine="0"/>
        <w:jc w:val="center"/>
        <w:rPr>
          <w:b/>
          <w:sz w:val="28"/>
          <w:szCs w:val="28"/>
          <w:lang w:val="nl-NL"/>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2163445</wp:posOffset>
                </wp:positionH>
                <wp:positionV relativeFrom="paragraph">
                  <wp:posOffset>882650</wp:posOffset>
                </wp:positionV>
                <wp:extent cx="147574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5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6FA971"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35pt,69.5pt" to="286.5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"/>
            </w:pict>
          </mc:Fallback>
        </mc:AlternateContent>
      </w:r>
      <w:r>
        <w:rPr>
          <w:b/>
          <w:sz w:val="28"/>
          <w:szCs w:val="28"/>
          <w:lang w:val="nl-NL"/>
        </w:rPr>
        <w:t>NGHỊ QUYẾT</w:t>
      </w:r>
      <w:r>
        <w:rPr>
          <w:b/>
          <w:sz w:val="28"/>
          <w:szCs w:val="28"/>
          <w:lang w:val="nl-NL"/>
        </w:rPr>
        <w:br/>
      </w:r>
      <w:r>
        <w:rPr>
          <w:b/>
          <w:bCs/>
          <w:sz w:val="28"/>
          <w:szCs w:val="28"/>
        </w:rPr>
        <w:t>Sửa đổi, bổ sung một số điều của Nghị quyết số 97/2022/NQ-HĐND            ngày 16 tháng 12 năm 2022 của Hội đồng nhân dân tỉnh về một số            chính sách hỗ trợ hoạt động bảo vệ môi trường giai đoạn 2023-2025</w:t>
      </w:r>
    </w:p>
    <w:p>
      <w:pPr>
        <w:spacing w:before="60" w:after="60"/>
        <w:ind w:firstLine="0"/>
        <w:rPr>
          <w:b/>
          <w:sz w:val="28"/>
          <w:szCs w:val="28"/>
          <w:lang w:val="nb-NO"/>
        </w:rPr>
      </w:pPr>
    </w:p>
    <w:p>
      <w:pPr>
        <w:spacing w:before="60" w:after="60"/>
        <w:ind w:firstLine="0"/>
        <w:jc w:val="center"/>
        <w:rPr>
          <w:b/>
          <w:sz w:val="28"/>
          <w:szCs w:val="28"/>
          <w:lang w:val="nb-NO"/>
        </w:rPr>
      </w:pPr>
      <w:r>
        <w:rPr>
          <w:b/>
          <w:sz w:val="28"/>
          <w:szCs w:val="28"/>
          <w:lang w:val="nb-NO"/>
        </w:rPr>
        <w:t>HỘI ĐỒNG NHÂN DÂN TỈNH HÀ TĨNH</w:t>
      </w:r>
      <w:r>
        <w:rPr>
          <w:b/>
          <w:sz w:val="28"/>
          <w:szCs w:val="28"/>
          <w:lang w:val="nb-NO"/>
        </w:rPr>
        <w:br/>
        <w:t>KHÓA XVIII, KỲ HỌP THỨ 21</w:t>
      </w:r>
    </w:p>
    <w:p>
      <w:pPr>
        <w:widowControl w:val="0"/>
        <w:spacing w:before="60" w:after="60"/>
        <w:ind w:firstLine="0"/>
        <w:rPr>
          <w:iCs/>
          <w:sz w:val="28"/>
          <w:szCs w:val="28"/>
          <w:lang w:val="nb-NO"/>
        </w:rPr>
      </w:pPr>
    </w:p>
    <w:p>
      <w:pPr>
        <w:spacing w:before="60" w:after="60"/>
        <w:rPr>
          <w:i/>
          <w:sz w:val="28"/>
          <w:szCs w:val="28"/>
        </w:rPr>
      </w:pPr>
      <w:r>
        <w:rPr>
          <w:i/>
          <w:sz w:val="28"/>
          <w:szCs w:val="28"/>
        </w:rPr>
        <w:t xml:space="preserve">Căn cứ Luật Tổ chức chính quyền địa phương ngày 19 tháng 6 năm 2015; Luật sửa đổi, bổ sung một số điều của Luật Tổ chức Chính phủ và Luật Tổ chức chính quyền địa phương ngày 22 tháng 11 năm 2019; </w:t>
      </w:r>
    </w:p>
    <w:p>
      <w:pPr>
        <w:spacing w:before="60" w:after="60"/>
        <w:rPr>
          <w:i/>
          <w:sz w:val="28"/>
          <w:szCs w:val="28"/>
        </w:rPr>
      </w:pPr>
      <w:r>
        <w:rPr>
          <w:i/>
          <w:sz w:val="28"/>
          <w:szCs w:val="28"/>
        </w:rPr>
        <w:t xml:space="preserve">Căn cứ Luật Ban hành văn bản quy phạm pháp luật ngày 22 tháng 6 năm 2015; Luật sửa đổi, bổ sung một số điều của Luật Ban hành văn bản quy phạm pháp luật ngày 18 tháng 6 năm 2020; </w:t>
      </w:r>
    </w:p>
    <w:p>
      <w:pPr>
        <w:spacing w:before="60" w:after="60"/>
        <w:rPr>
          <w:i/>
          <w:sz w:val="28"/>
          <w:szCs w:val="28"/>
        </w:rPr>
      </w:pPr>
      <w:r>
        <w:rPr>
          <w:i/>
          <w:sz w:val="28"/>
          <w:szCs w:val="28"/>
        </w:rPr>
        <w:t>Căn cứ Luật Ngân sách nhà nước ngày 25 tháng 6 năm 2015;</w:t>
      </w:r>
    </w:p>
    <w:p>
      <w:pPr>
        <w:spacing w:before="60" w:after="60"/>
        <w:rPr>
          <w:i/>
          <w:sz w:val="28"/>
          <w:szCs w:val="28"/>
        </w:rPr>
      </w:pPr>
      <w:r>
        <w:rPr>
          <w:i/>
          <w:sz w:val="28"/>
          <w:szCs w:val="28"/>
        </w:rPr>
        <w:t>Căn cứ Luật Bảo vệ môi trường ngày 17 tháng 11 năm 2020;</w:t>
      </w:r>
    </w:p>
    <w:p>
      <w:pPr>
        <w:spacing w:before="60" w:after="60"/>
        <w:rPr>
          <w:i/>
          <w:sz w:val="28"/>
          <w:szCs w:val="28"/>
        </w:rPr>
      </w:pPr>
      <w:r>
        <w:rPr>
          <w:i/>
          <w:sz w:val="28"/>
          <w:szCs w:val="28"/>
        </w:rPr>
        <w:t>Căn cứ Nghị định số 08/2022/NĐ-CP ngày 10 tháng 01 năm 2022 của Chính phủ quy định chi tiết một số điều của Luật Bảo vệ môi trường;</w:t>
      </w:r>
    </w:p>
    <w:p>
      <w:pPr>
        <w:spacing w:before="60" w:after="60"/>
        <w:rPr>
          <w:i/>
          <w:sz w:val="28"/>
          <w:szCs w:val="28"/>
        </w:rPr>
      </w:pPr>
      <w:r>
        <w:rPr>
          <w:i/>
          <w:sz w:val="28"/>
          <w:szCs w:val="28"/>
        </w:rPr>
        <w:t>Xét Tờ trình số .../TTr-UBND ngày .../9/2024 của Ủy ban nhân dân tỉnh về dự thảo Nghị quyết sửa đổi, bổ sung một số điều của Nghị quyết số 97/2022/NQ-HĐND ngày 16/12/2022 của Hội đồng nhân dân tỉnh về một số chính sách hỗ trợ hoạt động bảo vệ môi trường giai đoạn 2023-2025; Báo cáo thẩm tra số .../BC-HĐND ngày .../.../2024 của Ban Kinh tế - Ngân sách và ý kiến thảo luận của đại biểu Hội đồng nhân dân tỉnh tại Kỳ họp.</w:t>
      </w:r>
    </w:p>
    <w:p>
      <w:pPr>
        <w:widowControl w:val="0"/>
        <w:spacing w:before="60" w:after="60"/>
        <w:ind w:firstLine="0"/>
        <w:jc w:val="center"/>
        <w:rPr>
          <w:b/>
          <w:sz w:val="28"/>
          <w:szCs w:val="28"/>
          <w:lang w:val="nb-NO"/>
        </w:rPr>
      </w:pPr>
      <w:r>
        <w:rPr>
          <w:b/>
          <w:sz w:val="28"/>
          <w:szCs w:val="28"/>
          <w:lang w:val="nb-NO"/>
        </w:rPr>
        <w:t>QUYẾT NGHỊ:</w:t>
      </w:r>
    </w:p>
    <w:p>
      <w:pPr>
        <w:spacing w:before="60" w:after="60"/>
        <w:rPr>
          <w:b/>
          <w:bCs/>
          <w:sz w:val="28"/>
          <w:szCs w:val="28"/>
          <w:lang w:val="nb-NO"/>
        </w:rPr>
      </w:pPr>
      <w:r>
        <w:rPr>
          <w:b/>
          <w:bCs/>
          <w:sz w:val="28"/>
          <w:szCs w:val="28"/>
          <w:lang w:val="nb-NO"/>
        </w:rPr>
        <w:t xml:space="preserve">Điều 1. Sửa đổi, bổ sung </w:t>
      </w:r>
      <w:r>
        <w:rPr>
          <w:b/>
          <w:sz w:val="28"/>
          <w:szCs w:val="28"/>
          <w:lang w:val="nb-NO"/>
        </w:rPr>
        <w:t xml:space="preserve">một số điều của Nghị quyết số </w:t>
      </w:r>
      <w:r>
        <w:rPr>
          <w:b/>
          <w:sz w:val="28"/>
          <w:szCs w:val="28"/>
        </w:rPr>
        <w:t xml:space="preserve">97/2022/NQ-HĐND ngày </w:t>
      </w:r>
      <w:r>
        <w:rPr>
          <w:b/>
          <w:sz w:val="28"/>
          <w:szCs w:val="28"/>
          <w:lang w:val="vi-VN"/>
        </w:rPr>
        <w:t>16/12/</w:t>
      </w:r>
      <w:r>
        <w:rPr>
          <w:b/>
          <w:sz w:val="28"/>
          <w:szCs w:val="28"/>
        </w:rPr>
        <w:t xml:space="preserve">2022 của </w:t>
      </w:r>
      <w:r>
        <w:rPr>
          <w:b/>
          <w:bCs/>
          <w:sz w:val="28"/>
          <w:szCs w:val="28"/>
          <w:lang w:val="nb-NO"/>
        </w:rPr>
        <w:t>Hội đồng nhân dân tỉnh</w:t>
      </w:r>
      <w:r>
        <w:rPr>
          <w:i/>
          <w:sz w:val="28"/>
          <w:szCs w:val="28"/>
          <w:lang w:val="nb-NO"/>
        </w:rPr>
        <w:t xml:space="preserve"> </w:t>
      </w:r>
      <w:r>
        <w:rPr>
          <w:b/>
          <w:bCs/>
          <w:sz w:val="28"/>
          <w:szCs w:val="28"/>
        </w:rPr>
        <w:t>về một số chính sách hỗ trợ hoạt động bảo vệ môi trường giai đoạn 2023-2025</w:t>
      </w:r>
    </w:p>
    <w:p>
      <w:pPr>
        <w:spacing w:before="60" w:after="60"/>
        <w:rPr>
          <w:sz w:val="28"/>
          <w:szCs w:val="28"/>
        </w:rPr>
      </w:pPr>
      <w:r>
        <w:rPr>
          <w:sz w:val="28"/>
          <w:szCs w:val="28"/>
        </w:rPr>
        <w:t>1. Sửa đổi, bổ sung điểm a khoản 3 Điều 6 như sau:</w:t>
      </w:r>
    </w:p>
    <w:p>
      <w:pPr>
        <w:spacing w:before="60" w:after="60"/>
        <w:rPr>
          <w:sz w:val="28"/>
          <w:szCs w:val="28"/>
        </w:rPr>
      </w:pPr>
      <w:r>
        <w:rPr>
          <w:sz w:val="28"/>
          <w:szCs w:val="28"/>
        </w:rPr>
        <w:t>“a) Thùng chuyên dụng gom rác được hỗ trợ là một trong các loại: xe gom rác, thùng xe gom rác, xe thu gom rác, xe đẩy rác, thùng rác có bánh xe và các loại thiết bị/phương tiện có tên gọi khác có tác dụng vừa làm xe thu gom rác, vừa làm thùng đựng rác có thể đặt tại các trạm trung chuyển rác/điểm tập kết rác để chứa rác; thùng chuyên dụng gom rác</w:t>
      </w:r>
      <w:r>
        <w:rPr>
          <w:sz w:val="28"/>
          <w:szCs w:val="28"/>
          <w:lang w:val="vi-VN"/>
        </w:rPr>
        <w:t xml:space="preserve"> </w:t>
      </w:r>
      <w:r>
        <w:rPr>
          <w:sz w:val="28"/>
          <w:szCs w:val="28"/>
        </w:rPr>
        <w:t>có thiết kế phù hợp để có thể gắn được vào xe cuốn ép rác khi đưa rác lên xe cuốn ép rác (nhằm hạn chế việc đổ rác thải trực tiếp ra mặt sân nền của trạm trung chuyển rác/điểm tập kết rác).”.</w:t>
      </w:r>
    </w:p>
    <w:p>
      <w:pPr>
        <w:spacing w:before="60" w:after="60"/>
        <w:rPr>
          <w:sz w:val="28"/>
          <w:szCs w:val="28"/>
        </w:rPr>
      </w:pPr>
      <w:r>
        <w:rPr>
          <w:sz w:val="28"/>
          <w:szCs w:val="28"/>
          <w:lang w:val="nb-NO"/>
        </w:rPr>
        <w:t xml:space="preserve">2. Sửa đổi, bổ sung </w:t>
      </w:r>
      <w:r>
        <w:rPr>
          <w:sz w:val="28"/>
          <w:szCs w:val="28"/>
        </w:rPr>
        <w:t>điểm đ khoản 3 Điều 7 như sau:</w:t>
      </w:r>
    </w:p>
    <w:p>
      <w:pPr>
        <w:spacing w:before="60" w:after="60"/>
        <w:rPr>
          <w:sz w:val="28"/>
          <w:szCs w:val="28"/>
        </w:rPr>
      </w:pPr>
      <w:r>
        <w:rPr>
          <w:sz w:val="28"/>
          <w:szCs w:val="28"/>
        </w:rPr>
        <w:lastRenderedPageBreak/>
        <w:t xml:space="preserve">“đ) </w:t>
      </w:r>
      <w:r>
        <w:rPr>
          <w:iCs/>
          <w:sz w:val="28"/>
          <w:szCs w:val="28"/>
        </w:rPr>
        <w:t>Giá xe cuốn ép rác để làm căn cứ tính số tiền hỗ trợ được xác định theo mức giá xe do cơ quan thuế trên địa bàn tỉnh xác định làm căn cứ tính lệ phí trước bạ của xe cuốn ép rác đề nghị hỗ trợ; trường hợp giá xe cuốn ép rác trong thông báo nộp lệ phí trước bạ của cơ quan thuế cao hơn so với giá ghi trên hóa đơn giá trị gia tăng thì giá để làm căn cứ tính số tiền hỗ trợ được xác định theo giá ghi trên hóa đơn giá trị gia tăng mua xe cuốn ép rác đề nghị hỗ trợ.</w:t>
      </w:r>
      <w:r>
        <w:rPr>
          <w:sz w:val="28"/>
          <w:szCs w:val="28"/>
        </w:rPr>
        <w:t>”.</w:t>
      </w:r>
    </w:p>
    <w:p>
      <w:pPr>
        <w:spacing w:before="60" w:after="60"/>
        <w:rPr>
          <w:spacing w:val="-2"/>
          <w:sz w:val="28"/>
          <w:szCs w:val="28"/>
          <w:lang w:val="nb-NO"/>
        </w:rPr>
      </w:pPr>
      <w:r>
        <w:rPr>
          <w:spacing w:val="-2"/>
          <w:sz w:val="28"/>
          <w:szCs w:val="28"/>
          <w:lang w:val="vi-VN"/>
        </w:rPr>
        <w:t>3.</w:t>
      </w:r>
      <w:r>
        <w:rPr>
          <w:spacing w:val="-2"/>
          <w:sz w:val="28"/>
          <w:szCs w:val="28"/>
          <w:lang w:val="nb-NO"/>
        </w:rPr>
        <w:t xml:space="preserve"> Sửa đổi, bổ sung </w:t>
      </w:r>
      <w:r>
        <w:rPr>
          <w:spacing w:val="-2"/>
          <w:sz w:val="28"/>
          <w:szCs w:val="28"/>
          <w:lang w:val="vi-VN"/>
        </w:rPr>
        <w:t xml:space="preserve">một số nội dung tại </w:t>
      </w:r>
      <w:r>
        <w:rPr>
          <w:spacing w:val="-2"/>
          <w:sz w:val="28"/>
          <w:szCs w:val="28"/>
          <w:lang w:val="nb-NO"/>
        </w:rPr>
        <w:t xml:space="preserve">Phụ lục quy trình thực hiện và hồ sơ hỗ trợ ban hành kèm theo Nghị quyết số 97/2022/NQ-HĐND ngày 16/12/2022 của Hội đồng nhân dân </w:t>
      </w:r>
      <w:r>
        <w:rPr>
          <w:spacing w:val="-2"/>
          <w:sz w:val="28"/>
          <w:szCs w:val="28"/>
          <w:lang w:val="vi-VN"/>
        </w:rPr>
        <w:t xml:space="preserve">tỉnh </w:t>
      </w:r>
      <w:r>
        <w:rPr>
          <w:bCs/>
          <w:spacing w:val="-2"/>
          <w:sz w:val="28"/>
          <w:szCs w:val="28"/>
        </w:rPr>
        <w:t>về một số chính sách hỗ trợ hoạt động bảo vệ môi trường giai đoạn 2023-2025</w:t>
      </w:r>
      <w:r>
        <w:rPr>
          <w:spacing w:val="-2"/>
          <w:sz w:val="28"/>
          <w:szCs w:val="28"/>
        </w:rPr>
        <w:t xml:space="preserve"> (</w:t>
      </w:r>
      <w:r>
        <w:rPr>
          <w:spacing w:val="-2"/>
          <w:sz w:val="28"/>
          <w:szCs w:val="28"/>
          <w:lang w:val="nb-NO"/>
        </w:rPr>
        <w:t>có Phụ lục sửa đổi, bổ sung kèm theo).</w:t>
      </w:r>
    </w:p>
    <w:p>
      <w:pPr>
        <w:spacing w:before="60" w:after="60"/>
        <w:rPr>
          <w:b/>
          <w:sz w:val="28"/>
          <w:szCs w:val="28"/>
        </w:rPr>
      </w:pPr>
      <w:r>
        <w:rPr>
          <w:b/>
          <w:sz w:val="28"/>
          <w:szCs w:val="28"/>
          <w:lang w:val="vi-VN"/>
        </w:rPr>
        <w:t xml:space="preserve">Điều 2. </w:t>
      </w:r>
      <w:r>
        <w:rPr>
          <w:b/>
          <w:bCs/>
          <w:spacing w:val="2"/>
          <w:sz w:val="28"/>
          <w:szCs w:val="28"/>
          <w:lang w:val="nb-NO"/>
        </w:rPr>
        <w:t>Trách nhiệm tổ chức thực hiện</w:t>
      </w:r>
    </w:p>
    <w:p>
      <w:pPr>
        <w:spacing w:before="60" w:after="60"/>
        <w:rPr>
          <w:sz w:val="28"/>
          <w:szCs w:val="28"/>
          <w:lang w:val="nb-NO"/>
        </w:rPr>
      </w:pPr>
      <w:r>
        <w:rPr>
          <w:sz w:val="28"/>
          <w:szCs w:val="28"/>
          <w:lang w:val="nb-NO"/>
        </w:rPr>
        <w:t>1. Ủy ban nhân dân tỉnh tổ chức triển khai thực hiện Nghị quyết.</w:t>
      </w:r>
    </w:p>
    <w:p>
      <w:pPr>
        <w:spacing w:before="60" w:after="60"/>
        <w:rPr>
          <w:spacing w:val="-2"/>
          <w:sz w:val="28"/>
          <w:szCs w:val="28"/>
        </w:rPr>
      </w:pPr>
      <w:r>
        <w:rPr>
          <w:sz w:val="28"/>
          <w:szCs w:val="28"/>
          <w:lang w:val="nb-NO"/>
        </w:rPr>
        <w:t>2. Thường trực Hội đồng nhân dân tỉnh, các Ban Hội đồng nhân dân, các Tổ đại biểu Hội đồng nhân dân và đại biểu Hội đồng nhân dân tỉnh giám sát việc thực hiện Nghị quyết.</w:t>
      </w:r>
    </w:p>
    <w:p>
      <w:pPr>
        <w:spacing w:before="60" w:after="60"/>
        <w:rPr>
          <w:b/>
          <w:bCs/>
          <w:sz w:val="28"/>
          <w:szCs w:val="28"/>
          <w:lang w:val="nb-NO"/>
        </w:rPr>
      </w:pPr>
      <w:r>
        <w:rPr>
          <w:b/>
          <w:sz w:val="28"/>
          <w:szCs w:val="28"/>
          <w:lang w:val="nb-NO"/>
        </w:rPr>
        <w:t>Điều 3.</w:t>
      </w:r>
      <w:r>
        <w:rPr>
          <w:sz w:val="28"/>
          <w:szCs w:val="28"/>
          <w:lang w:val="nb-NO"/>
        </w:rPr>
        <w:t xml:space="preserve"> </w:t>
      </w:r>
      <w:r>
        <w:rPr>
          <w:b/>
          <w:sz w:val="28"/>
          <w:szCs w:val="28"/>
        </w:rPr>
        <w:t>Điều khoản thi hành</w:t>
      </w:r>
    </w:p>
    <w:p>
      <w:pPr>
        <w:spacing w:before="60" w:after="60"/>
        <w:rPr>
          <w:sz w:val="28"/>
          <w:szCs w:val="28"/>
          <w:lang w:val="nb-NO"/>
        </w:rPr>
      </w:pPr>
      <w:r>
        <w:rPr>
          <w:sz w:val="28"/>
          <w:szCs w:val="28"/>
          <w:lang w:val="nb-NO"/>
        </w:rPr>
        <w:t>1. Nghị quyết này được Hội đồng nhân dân tỉnh Hà Tĩnh khóa XVIII,</w:t>
      </w:r>
      <w:r>
        <w:rPr>
          <w:sz w:val="28"/>
          <w:szCs w:val="28"/>
          <w:lang w:val="vi-VN"/>
        </w:rPr>
        <w:t xml:space="preserve"> </w:t>
      </w:r>
      <w:r>
        <w:rPr>
          <w:sz w:val="28"/>
          <w:szCs w:val="28"/>
          <w:lang w:val="nb-NO"/>
        </w:rPr>
        <w:t>Kỳ họp thứ 21 thông qua ngày ... tháng .... năm 2024 và có hiệu lực kể từ ngày ký ban hành đến ngày 31 tháng 12 năm 2025.</w:t>
      </w:r>
    </w:p>
    <w:p>
      <w:pPr>
        <w:spacing w:before="60" w:after="60"/>
        <w:rPr>
          <w:sz w:val="28"/>
          <w:szCs w:val="28"/>
        </w:rPr>
      </w:pPr>
      <w:r>
        <w:rPr>
          <w:sz w:val="28"/>
          <w:szCs w:val="28"/>
          <w:lang w:val="nb-NO"/>
        </w:rPr>
        <w:t xml:space="preserve">2. Quy định chuyển tiếp: </w:t>
      </w:r>
      <w:r>
        <w:rPr>
          <w:spacing w:val="-2"/>
          <w:sz w:val="28"/>
          <w:szCs w:val="28"/>
        </w:rPr>
        <w:t xml:space="preserve">Các tổ chức, cá nhân thuộc đối tượng được hưởng chính sách hỗ trợ theo quy định tại Nghị quyết số 97/2022/NQ-HĐND ngày 16/12/2022 của </w:t>
      </w:r>
      <w:r>
        <w:rPr>
          <w:spacing w:val="-2"/>
          <w:sz w:val="28"/>
          <w:szCs w:val="28"/>
          <w:lang w:val="nb-NO"/>
        </w:rPr>
        <w:t xml:space="preserve">Hội đồng nhân dân </w:t>
      </w:r>
      <w:r>
        <w:rPr>
          <w:spacing w:val="-2"/>
          <w:sz w:val="28"/>
          <w:szCs w:val="28"/>
          <w:lang w:val="vi-VN"/>
        </w:rPr>
        <w:t xml:space="preserve">tỉnh </w:t>
      </w:r>
      <w:r>
        <w:rPr>
          <w:bCs/>
          <w:spacing w:val="-2"/>
          <w:sz w:val="28"/>
          <w:szCs w:val="28"/>
        </w:rPr>
        <w:t>về một số chính sách hỗ trợ hoạt động bảo vệ môi trường giai đoạn 2023-2025</w:t>
      </w:r>
      <w:r>
        <w:rPr>
          <w:bCs/>
          <w:spacing w:val="-2"/>
          <w:sz w:val="28"/>
          <w:szCs w:val="28"/>
          <w:lang w:val="vi-VN"/>
        </w:rPr>
        <w:t xml:space="preserve"> </w:t>
      </w:r>
      <w:r>
        <w:rPr>
          <w:spacing w:val="-2"/>
          <w:sz w:val="28"/>
          <w:szCs w:val="28"/>
        </w:rPr>
        <w:t>nhưng đến trước thời điểm Nghị quyết này có hiệu lực thi hành chưa được hỗ trợ thì được áp dụng hỗ trợ theo quy định tại Nghị quyết này</w:t>
      </w:r>
      <w:r>
        <w:rPr>
          <w:sz w:val="28"/>
          <w:szCs w:val="28"/>
          <w:lang w:val="nb-NO"/>
        </w:rPr>
        <w:t>.</w:t>
      </w:r>
      <w:r>
        <w:rPr>
          <w:sz w:val="28"/>
          <w:szCs w:val="28"/>
        </w:rPr>
        <w:t>/.</w:t>
      </w:r>
    </w:p>
    <w:p>
      <w:pPr>
        <w:spacing w:before="60" w:after="60"/>
        <w:rPr>
          <w:sz w:val="28"/>
          <w:szCs w:val="28"/>
          <w:lang w:val="nb-NO"/>
        </w:rPr>
      </w:pPr>
    </w:p>
    <w:tbl>
      <w:tblPr>
        <w:tblW w:w="9209" w:type="dxa"/>
        <w:jc w:val="center"/>
        <w:tblLook w:val="04A0" w:firstRow="1" w:lastRow="0" w:firstColumn="1" w:lastColumn="0" w:noHBand="0" w:noVBand="1"/>
      </w:tblPr>
      <w:tblGrid>
        <w:gridCol w:w="5524"/>
        <w:gridCol w:w="3685"/>
      </w:tblGrid>
      <w:tr>
        <w:trPr>
          <w:jc w:val="center"/>
        </w:trPr>
        <w:tc>
          <w:tcPr>
            <w:tcW w:w="5524" w:type="dxa"/>
            <w:hideMark/>
          </w:tcPr>
          <w:p>
            <w:pPr>
              <w:keepNext/>
              <w:keepLines/>
              <w:spacing w:before="0" w:after="0"/>
              <w:ind w:firstLine="0"/>
              <w:outlineLvl w:val="0"/>
              <w:rPr>
                <w:b/>
                <w:bCs/>
                <w:sz w:val="22"/>
                <w:lang w:val="nb-NO"/>
              </w:rPr>
            </w:pPr>
            <w:r>
              <w:rPr>
                <w:b/>
                <w:bCs/>
                <w:i/>
                <w:sz w:val="22"/>
                <w:lang w:val="nb-NO"/>
              </w:rPr>
              <w:t>Nơi nhận:</w:t>
            </w:r>
            <w:r>
              <w:rPr>
                <w:b/>
                <w:bCs/>
                <w:sz w:val="22"/>
                <w:lang w:val="nb-NO"/>
              </w:rPr>
              <w:t xml:space="preserve">   </w:t>
            </w:r>
            <w:r>
              <w:rPr>
                <w:b/>
                <w:bCs/>
                <w:sz w:val="22"/>
                <w:lang w:val="nb-NO"/>
              </w:rPr>
              <w:tab/>
            </w:r>
            <w:r>
              <w:rPr>
                <w:b/>
                <w:bCs/>
                <w:sz w:val="22"/>
                <w:lang w:val="nb-NO"/>
              </w:rPr>
              <w:tab/>
            </w:r>
            <w:r>
              <w:rPr>
                <w:b/>
                <w:bCs/>
                <w:sz w:val="22"/>
                <w:lang w:val="nb-NO"/>
              </w:rPr>
              <w:tab/>
            </w:r>
            <w:r>
              <w:rPr>
                <w:b/>
                <w:bCs/>
                <w:sz w:val="22"/>
                <w:lang w:val="nb-NO"/>
              </w:rPr>
              <w:tab/>
              <w:t xml:space="preserve">        </w:t>
            </w:r>
          </w:p>
          <w:p>
            <w:pPr>
              <w:spacing w:before="0" w:after="0"/>
              <w:ind w:firstLine="0"/>
              <w:rPr>
                <w:sz w:val="22"/>
                <w:lang w:val="nb-NO"/>
              </w:rPr>
            </w:pPr>
            <w:r>
              <w:rPr>
                <w:sz w:val="22"/>
                <w:lang w:val="nb-NO"/>
              </w:rPr>
              <w:t>- Ủy ban Thường vụ Quốc hội;</w:t>
            </w:r>
          </w:p>
          <w:p>
            <w:pPr>
              <w:spacing w:before="0" w:after="0"/>
              <w:ind w:firstLine="0"/>
              <w:rPr>
                <w:sz w:val="22"/>
                <w:lang w:val="nb-NO"/>
              </w:rPr>
            </w:pPr>
            <w:r>
              <w:rPr>
                <w:sz w:val="22"/>
                <w:lang w:val="nb-NO"/>
              </w:rPr>
              <w:t>- Ban Công tác đại biểu Quốc hội;</w:t>
            </w:r>
          </w:p>
          <w:p>
            <w:pPr>
              <w:spacing w:before="0" w:after="0"/>
              <w:ind w:firstLine="0"/>
              <w:rPr>
                <w:sz w:val="22"/>
                <w:lang w:val="nb-NO"/>
              </w:rPr>
            </w:pPr>
            <w:r>
              <w:rPr>
                <w:sz w:val="22"/>
                <w:lang w:val="nb-NO"/>
              </w:rPr>
              <w:t>- Văn phòng Quốc hội;</w:t>
            </w:r>
          </w:p>
          <w:p>
            <w:pPr>
              <w:spacing w:before="0" w:after="0"/>
              <w:ind w:firstLine="0"/>
              <w:rPr>
                <w:sz w:val="22"/>
                <w:lang w:val="nb-NO"/>
              </w:rPr>
            </w:pPr>
            <w:r>
              <w:rPr>
                <w:sz w:val="22"/>
                <w:lang w:val="nb-NO"/>
              </w:rPr>
              <w:t>- Văn phòng Chủ tịch nước;</w:t>
            </w:r>
          </w:p>
          <w:p>
            <w:pPr>
              <w:spacing w:before="0" w:after="0"/>
              <w:ind w:firstLine="0"/>
              <w:rPr>
                <w:sz w:val="22"/>
                <w:lang w:val="nb-NO"/>
              </w:rPr>
            </w:pPr>
            <w:r>
              <w:rPr>
                <w:sz w:val="22"/>
                <w:lang w:val="nb-NO"/>
              </w:rPr>
              <w:t>- Văn phòng Chính phủ, Website chính phủ;</w:t>
            </w:r>
          </w:p>
          <w:p>
            <w:pPr>
              <w:spacing w:before="0" w:after="0"/>
              <w:ind w:firstLine="0"/>
              <w:rPr>
                <w:sz w:val="22"/>
                <w:lang w:val="nb-NO"/>
              </w:rPr>
            </w:pPr>
            <w:r>
              <w:rPr>
                <w:sz w:val="22"/>
                <w:lang w:val="nb-NO"/>
              </w:rPr>
              <w:t>- Các Bộ: Tài nguyên và Môi trường, Tài chính;</w:t>
            </w:r>
          </w:p>
          <w:p>
            <w:pPr>
              <w:spacing w:before="0" w:after="0"/>
              <w:ind w:firstLine="0"/>
              <w:rPr>
                <w:sz w:val="22"/>
                <w:lang w:val="nb-NO"/>
              </w:rPr>
            </w:pPr>
            <w:r>
              <w:rPr>
                <w:sz w:val="22"/>
                <w:lang w:val="nb-NO"/>
              </w:rPr>
              <w:t>- Cục Kiểm tra văn bản QPPL - Bộ Tư pháp;</w:t>
            </w:r>
          </w:p>
          <w:p>
            <w:pPr>
              <w:spacing w:before="0" w:after="0"/>
              <w:ind w:firstLine="0"/>
              <w:rPr>
                <w:sz w:val="22"/>
                <w:lang w:val="nb-NO"/>
              </w:rPr>
            </w:pPr>
            <w:r>
              <w:rPr>
                <w:sz w:val="22"/>
                <w:lang w:val="nb-NO"/>
              </w:rPr>
              <w:t>- Kiểm toán Nhà nước khu vực II;</w:t>
            </w:r>
          </w:p>
          <w:p>
            <w:pPr>
              <w:spacing w:before="0" w:after="0"/>
              <w:ind w:firstLine="0"/>
              <w:rPr>
                <w:sz w:val="22"/>
                <w:lang w:val="nb-NO"/>
              </w:rPr>
            </w:pPr>
            <w:r>
              <w:rPr>
                <w:sz w:val="22"/>
                <w:lang w:val="nb-NO"/>
              </w:rPr>
              <w:t>- Bộ Tư lệnh Quân khu IV;</w:t>
            </w:r>
          </w:p>
          <w:p>
            <w:pPr>
              <w:spacing w:before="0" w:after="0"/>
              <w:ind w:firstLine="0"/>
              <w:rPr>
                <w:sz w:val="22"/>
              </w:rPr>
            </w:pPr>
            <w:r>
              <w:rPr>
                <w:sz w:val="22"/>
                <w:lang w:val="nb-NO"/>
              </w:rPr>
              <w:t>-</w:t>
            </w:r>
            <w:r>
              <w:rPr>
                <w:sz w:val="22"/>
              </w:rPr>
              <w:t xml:space="preserve"> TT Tỉnh ủy, TT HĐND tỉnh;</w:t>
            </w:r>
          </w:p>
          <w:p>
            <w:pPr>
              <w:pStyle w:val="NormalWeb"/>
              <w:spacing w:before="0" w:beforeAutospacing="0" w:after="0" w:afterAutospacing="0"/>
              <w:jc w:val="both"/>
              <w:rPr>
                <w:sz w:val="22"/>
                <w:szCs w:val="22"/>
              </w:rPr>
            </w:pPr>
            <w:r>
              <w:rPr>
                <w:sz w:val="22"/>
                <w:szCs w:val="22"/>
              </w:rPr>
              <w:t>- UBND tỉnh, UBMTTQVN tỉnh;</w:t>
            </w:r>
          </w:p>
          <w:p>
            <w:pPr>
              <w:pStyle w:val="NormalWeb"/>
              <w:spacing w:before="0" w:beforeAutospacing="0" w:after="0" w:afterAutospacing="0"/>
              <w:jc w:val="both"/>
              <w:rPr>
                <w:sz w:val="22"/>
                <w:szCs w:val="22"/>
              </w:rPr>
            </w:pPr>
            <w:r>
              <w:rPr>
                <w:sz w:val="22"/>
                <w:szCs w:val="22"/>
              </w:rPr>
              <w:t>- Đoàn đại biểu Quốc hội tỉnh Hà Tĩnh;</w:t>
            </w:r>
          </w:p>
          <w:p>
            <w:pPr>
              <w:pStyle w:val="NormalWeb"/>
              <w:spacing w:before="0" w:beforeAutospacing="0" w:after="0" w:afterAutospacing="0"/>
              <w:jc w:val="both"/>
              <w:rPr>
                <w:sz w:val="22"/>
                <w:szCs w:val="22"/>
              </w:rPr>
            </w:pPr>
            <w:r>
              <w:rPr>
                <w:sz w:val="22"/>
                <w:szCs w:val="22"/>
              </w:rPr>
              <w:t>- Đại biểu HĐND tỉnh;</w:t>
            </w:r>
          </w:p>
          <w:p>
            <w:pPr>
              <w:pStyle w:val="NormalWeb"/>
              <w:spacing w:before="0" w:beforeAutospacing="0" w:after="0" w:afterAutospacing="0"/>
              <w:jc w:val="both"/>
              <w:rPr>
                <w:sz w:val="22"/>
                <w:szCs w:val="22"/>
              </w:rPr>
            </w:pPr>
            <w:r>
              <w:rPr>
                <w:sz w:val="22"/>
                <w:szCs w:val="22"/>
              </w:rPr>
              <w:t>- Các Ban HĐND tỉnh;</w:t>
            </w:r>
          </w:p>
          <w:p>
            <w:pPr>
              <w:pStyle w:val="NormalWeb"/>
              <w:spacing w:before="0" w:beforeAutospacing="0" w:after="0" w:afterAutospacing="0"/>
              <w:jc w:val="both"/>
              <w:rPr>
                <w:sz w:val="22"/>
                <w:szCs w:val="22"/>
              </w:rPr>
            </w:pPr>
            <w:r>
              <w:rPr>
                <w:sz w:val="22"/>
                <w:szCs w:val="22"/>
              </w:rPr>
              <w:t>- VP: Tỉnh ủy, Đoàn ĐBQH và HĐND tỉnh, UBND tỉnh;</w:t>
            </w:r>
          </w:p>
          <w:p>
            <w:pPr>
              <w:pStyle w:val="NormalWeb"/>
              <w:spacing w:before="0" w:beforeAutospacing="0" w:after="0" w:afterAutospacing="0"/>
              <w:jc w:val="both"/>
              <w:rPr>
                <w:sz w:val="22"/>
                <w:szCs w:val="22"/>
              </w:rPr>
            </w:pPr>
            <w:r>
              <w:rPr>
                <w:sz w:val="22"/>
                <w:szCs w:val="22"/>
              </w:rPr>
              <w:t>- Các sở, ban, ngành, đoàn thể cấp tỉnh;</w:t>
            </w:r>
          </w:p>
          <w:p>
            <w:pPr>
              <w:pStyle w:val="NormalWeb"/>
              <w:spacing w:before="0" w:beforeAutospacing="0" w:after="0" w:afterAutospacing="0"/>
              <w:jc w:val="both"/>
              <w:rPr>
                <w:sz w:val="22"/>
                <w:szCs w:val="22"/>
              </w:rPr>
            </w:pPr>
            <w:r>
              <w:rPr>
                <w:sz w:val="22"/>
                <w:szCs w:val="22"/>
              </w:rPr>
              <w:t>- TT HĐND, UBND các huyện, thành phố, thị xã;</w:t>
            </w:r>
          </w:p>
          <w:p>
            <w:pPr>
              <w:pStyle w:val="NormalWeb"/>
              <w:spacing w:before="0" w:beforeAutospacing="0" w:after="0" w:afterAutospacing="0"/>
              <w:jc w:val="both"/>
              <w:rPr>
                <w:sz w:val="22"/>
                <w:szCs w:val="22"/>
              </w:rPr>
            </w:pPr>
            <w:r>
              <w:rPr>
                <w:sz w:val="22"/>
                <w:szCs w:val="22"/>
              </w:rPr>
              <w:t>- Trung tâm Công báo - Tin học tỉnh;</w:t>
            </w:r>
          </w:p>
          <w:p>
            <w:pPr>
              <w:spacing w:before="0" w:after="0"/>
              <w:ind w:firstLine="0"/>
              <w:rPr>
                <w:sz w:val="22"/>
                <w:lang w:val="nb-NO"/>
              </w:rPr>
            </w:pPr>
            <w:r>
              <w:rPr>
                <w:sz w:val="22"/>
              </w:rPr>
              <w:t>- Lưu: VT, TH.</w:t>
            </w:r>
          </w:p>
        </w:tc>
        <w:tc>
          <w:tcPr>
            <w:tcW w:w="3685" w:type="dxa"/>
          </w:tcPr>
          <w:p>
            <w:pPr>
              <w:spacing w:before="0" w:after="0"/>
              <w:ind w:firstLine="0"/>
              <w:jc w:val="center"/>
              <w:rPr>
                <w:b/>
                <w:sz w:val="28"/>
                <w:szCs w:val="28"/>
                <w:lang w:val="nb-NO"/>
              </w:rPr>
            </w:pPr>
            <w:r>
              <w:rPr>
                <w:b/>
                <w:sz w:val="28"/>
                <w:szCs w:val="28"/>
                <w:lang w:val="nb-NO"/>
              </w:rPr>
              <w:t>CHỦ TỊCH</w:t>
            </w:r>
          </w:p>
          <w:p>
            <w:pPr>
              <w:spacing w:before="0" w:after="0"/>
              <w:ind w:firstLine="0"/>
              <w:jc w:val="center"/>
              <w:rPr>
                <w:b/>
                <w:sz w:val="28"/>
                <w:szCs w:val="28"/>
                <w:lang w:val="nb-NO"/>
              </w:rPr>
            </w:pPr>
          </w:p>
          <w:p>
            <w:pPr>
              <w:spacing w:before="0" w:after="0"/>
              <w:ind w:firstLine="0"/>
              <w:jc w:val="center"/>
              <w:rPr>
                <w:b/>
                <w:sz w:val="28"/>
                <w:szCs w:val="28"/>
                <w:lang w:val="nb-NO"/>
              </w:rPr>
            </w:pPr>
          </w:p>
          <w:p>
            <w:pPr>
              <w:spacing w:before="0" w:after="0"/>
              <w:ind w:firstLine="0"/>
              <w:jc w:val="center"/>
              <w:rPr>
                <w:b/>
                <w:sz w:val="28"/>
                <w:szCs w:val="28"/>
                <w:lang w:val="nb-NO"/>
              </w:rPr>
            </w:pPr>
          </w:p>
          <w:p>
            <w:pPr>
              <w:spacing w:before="0" w:after="0"/>
              <w:ind w:firstLine="0"/>
              <w:jc w:val="center"/>
              <w:rPr>
                <w:b/>
                <w:sz w:val="28"/>
                <w:szCs w:val="28"/>
                <w:lang w:val="nb-NO"/>
              </w:rPr>
            </w:pPr>
          </w:p>
          <w:p>
            <w:pPr>
              <w:spacing w:before="0" w:after="0"/>
              <w:ind w:firstLine="0"/>
              <w:jc w:val="center"/>
              <w:rPr>
                <w:b/>
                <w:sz w:val="28"/>
                <w:szCs w:val="28"/>
                <w:lang w:val="nb-NO"/>
              </w:rPr>
            </w:pPr>
          </w:p>
          <w:p>
            <w:pPr>
              <w:spacing w:before="0" w:after="0"/>
              <w:ind w:firstLine="0"/>
              <w:jc w:val="center"/>
              <w:rPr>
                <w:b/>
                <w:sz w:val="28"/>
                <w:szCs w:val="28"/>
                <w:lang w:val="nb-NO"/>
              </w:rPr>
            </w:pPr>
          </w:p>
          <w:p>
            <w:pPr>
              <w:spacing w:before="0" w:after="0"/>
              <w:ind w:firstLine="0"/>
              <w:jc w:val="center"/>
              <w:rPr>
                <w:b/>
                <w:sz w:val="28"/>
                <w:szCs w:val="28"/>
                <w:lang w:val="nb-NO"/>
              </w:rPr>
            </w:pPr>
            <w:r>
              <w:rPr>
                <w:b/>
                <w:sz w:val="28"/>
                <w:szCs w:val="28"/>
                <w:lang w:val="nb-NO"/>
              </w:rPr>
              <w:t>Hoàng Trung Dũng</w:t>
            </w:r>
          </w:p>
          <w:p>
            <w:pPr>
              <w:spacing w:before="0" w:after="0"/>
              <w:ind w:firstLine="0"/>
              <w:jc w:val="center"/>
              <w:rPr>
                <w:b/>
                <w:sz w:val="28"/>
                <w:szCs w:val="28"/>
                <w:lang w:val="nb-NO"/>
              </w:rPr>
            </w:pPr>
          </w:p>
          <w:p>
            <w:pPr>
              <w:spacing w:before="0" w:after="0"/>
              <w:ind w:firstLine="0"/>
              <w:jc w:val="center"/>
              <w:rPr>
                <w:b/>
                <w:sz w:val="28"/>
                <w:szCs w:val="28"/>
                <w:lang w:val="nb-NO"/>
              </w:rPr>
            </w:pPr>
          </w:p>
          <w:p>
            <w:pPr>
              <w:spacing w:before="0" w:after="0"/>
              <w:ind w:firstLine="0"/>
              <w:jc w:val="center"/>
              <w:rPr>
                <w:b/>
                <w:sz w:val="28"/>
                <w:szCs w:val="28"/>
                <w:lang w:val="nb-NO"/>
              </w:rPr>
            </w:pPr>
          </w:p>
          <w:p>
            <w:pPr>
              <w:spacing w:before="0" w:after="0"/>
              <w:ind w:firstLine="0"/>
              <w:jc w:val="center"/>
              <w:rPr>
                <w:b/>
                <w:sz w:val="28"/>
                <w:szCs w:val="28"/>
                <w:lang w:val="nb-NO"/>
              </w:rPr>
            </w:pPr>
          </w:p>
          <w:p>
            <w:pPr>
              <w:spacing w:before="0" w:after="0"/>
              <w:ind w:firstLine="0"/>
              <w:jc w:val="center"/>
              <w:rPr>
                <w:b/>
                <w:sz w:val="28"/>
                <w:szCs w:val="28"/>
                <w:lang w:val="nb-NO"/>
              </w:rPr>
            </w:pPr>
          </w:p>
          <w:p>
            <w:pPr>
              <w:spacing w:before="0" w:after="0"/>
              <w:ind w:firstLine="0"/>
              <w:jc w:val="center"/>
              <w:rPr>
                <w:b/>
                <w:sz w:val="28"/>
                <w:szCs w:val="28"/>
                <w:lang w:val="nb-NO"/>
              </w:rPr>
            </w:pPr>
          </w:p>
        </w:tc>
      </w:tr>
    </w:tbl>
    <w:p>
      <w:pPr>
        <w:spacing w:before="0"/>
        <w:ind w:firstLine="0"/>
        <w:rPr>
          <w:b/>
          <w:sz w:val="28"/>
          <w:szCs w:val="28"/>
          <w:lang w:val="nb-NO"/>
        </w:rPr>
      </w:pPr>
      <w:r>
        <w:rPr>
          <w:b/>
          <w:sz w:val="28"/>
          <w:szCs w:val="28"/>
          <w:lang w:val="nb-NO"/>
        </w:rPr>
        <w:br w:type="page"/>
      </w:r>
    </w:p>
    <w:p>
      <w:pPr>
        <w:tabs>
          <w:tab w:val="num" w:pos="0"/>
        </w:tabs>
        <w:spacing w:before="0"/>
        <w:ind w:firstLine="0"/>
        <w:jc w:val="center"/>
        <w:rPr>
          <w:b/>
          <w:sz w:val="28"/>
          <w:szCs w:val="28"/>
          <w:lang w:val="nb-NO"/>
        </w:rPr>
        <w:sectPr>
          <w:headerReference w:type="default" r:id="rId9"/>
          <w:headerReference w:type="first" r:id="rId10"/>
          <w:pgSz w:w="11907" w:h="16840" w:code="9"/>
          <w:pgMar w:top="1134" w:right="1134" w:bottom="1134" w:left="1701" w:header="567" w:footer="567" w:gutter="0"/>
          <w:pgNumType w:start="1"/>
          <w:cols w:space="708"/>
          <w:titlePg/>
          <w:docGrid w:linePitch="381"/>
        </w:sectPr>
      </w:pPr>
    </w:p>
    <w:p>
      <w:pPr>
        <w:tabs>
          <w:tab w:val="num" w:pos="0"/>
        </w:tabs>
        <w:spacing w:before="0"/>
        <w:ind w:firstLine="0"/>
        <w:jc w:val="center"/>
        <w:rPr>
          <w:b/>
          <w:sz w:val="28"/>
          <w:szCs w:val="28"/>
          <w:lang w:val="nb-NO"/>
        </w:rPr>
      </w:pPr>
      <w:r>
        <w:rPr>
          <w:noProof/>
          <w:sz w:val="28"/>
          <w:szCs w:val="28"/>
        </w:rPr>
        <w:lastRenderedPageBreak/>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852170</wp:posOffset>
                </wp:positionV>
                <wp:extent cx="132408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324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C050EF" id="Straight Connector 2" o:spid="_x0000_s1026" style="position:absolute;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67.1pt" to="104.25pt,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" strokecolor="black [3040]"/>
            </w:pict>
          </mc:Fallback>
        </mc:AlternateContent>
      </w:r>
      <w:r>
        <w:rPr>
          <w:b/>
          <w:sz w:val="28"/>
          <w:szCs w:val="28"/>
          <w:lang w:val="nb-NO"/>
        </w:rPr>
        <w:t>Phụ lục</w:t>
      </w:r>
      <w:r>
        <w:rPr>
          <w:b/>
          <w:sz w:val="28"/>
          <w:szCs w:val="28"/>
          <w:lang w:val="nb-NO"/>
        </w:rPr>
        <w:br/>
        <w:t>SỬA ĐỔI, BỔ SUNG QUY TRÌNH THỰC HIỆN VÀ HỒ SƠ HỖ TRỢ</w:t>
      </w:r>
      <w:r>
        <w:rPr>
          <w:b/>
          <w:sz w:val="28"/>
          <w:szCs w:val="28"/>
          <w:lang w:val="nb-NO"/>
        </w:rPr>
        <w:br/>
      </w:r>
      <w:r>
        <w:rPr>
          <w:bCs/>
          <w:i/>
          <w:iCs/>
          <w:sz w:val="28"/>
          <w:szCs w:val="28"/>
          <w:lang w:val="nb-NO"/>
        </w:rPr>
        <w:t>(Ban hành kèm theo Nghị quyết số:          /2024/NQ-HĐND ngày     /    /2024</w:t>
      </w:r>
      <w:r>
        <w:rPr>
          <w:bCs/>
          <w:i/>
          <w:iCs/>
          <w:sz w:val="28"/>
          <w:szCs w:val="28"/>
          <w:lang w:val="nb-NO"/>
        </w:rPr>
        <w:br/>
        <w:t>của Hội đồng nhân dân tỉnh)</w:t>
      </w:r>
    </w:p>
    <w:p>
      <w:pPr>
        <w:tabs>
          <w:tab w:val="num" w:pos="0"/>
        </w:tabs>
        <w:spacing w:before="0"/>
        <w:ind w:firstLine="0"/>
        <w:rPr>
          <w:bCs/>
          <w:i/>
          <w:iCs/>
          <w:sz w:val="28"/>
          <w:szCs w:val="28"/>
          <w:lang w:val="nb-NO"/>
        </w:rPr>
      </w:pPr>
    </w:p>
    <w:p>
      <w:pPr>
        <w:shd w:val="clear" w:color="auto" w:fill="FFFFFF"/>
        <w:spacing w:before="0"/>
        <w:rPr>
          <w:bCs/>
          <w:sz w:val="28"/>
          <w:szCs w:val="28"/>
        </w:rPr>
      </w:pPr>
      <w:bookmarkStart w:id="0" w:name="muc_2_2_2"/>
      <w:r>
        <w:rPr>
          <w:bCs/>
          <w:sz w:val="28"/>
          <w:szCs w:val="28"/>
        </w:rPr>
        <w:t>1. Bãi bỏ</w:t>
      </w:r>
      <w:r>
        <w:rPr>
          <w:sz w:val="28"/>
          <w:szCs w:val="28"/>
        </w:rPr>
        <w:t xml:space="preserve"> tiểu mục 5 Mục I Phần 1.</w:t>
      </w:r>
    </w:p>
    <w:p>
      <w:pPr>
        <w:shd w:val="clear" w:color="auto" w:fill="FFFFFF"/>
        <w:spacing w:before="0"/>
        <w:rPr>
          <w:bCs/>
          <w:sz w:val="28"/>
          <w:szCs w:val="28"/>
        </w:rPr>
      </w:pPr>
      <w:r>
        <w:rPr>
          <w:bCs/>
          <w:sz w:val="28"/>
          <w:szCs w:val="28"/>
        </w:rPr>
        <w:t xml:space="preserve">2. </w:t>
      </w:r>
      <w:r>
        <w:rPr>
          <w:bCs/>
          <w:sz w:val="28"/>
          <w:szCs w:val="28"/>
          <w:lang w:val="vi-VN"/>
        </w:rPr>
        <w:t xml:space="preserve">Sửa đổi, bổ sung điểm a </w:t>
      </w:r>
      <w:r>
        <w:rPr>
          <w:bCs/>
          <w:sz w:val="28"/>
          <w:szCs w:val="28"/>
        </w:rPr>
        <w:t>M</w:t>
      </w:r>
      <w:r>
        <w:rPr>
          <w:bCs/>
          <w:sz w:val="28"/>
          <w:szCs w:val="28"/>
          <w:lang w:val="vi-VN"/>
        </w:rPr>
        <w:t xml:space="preserve">ục 2 </w:t>
      </w:r>
      <w:r>
        <w:rPr>
          <w:bCs/>
          <w:sz w:val="28"/>
          <w:szCs w:val="28"/>
        </w:rPr>
        <w:t xml:space="preserve">Phần 2 như sau: </w:t>
      </w:r>
    </w:p>
    <w:p>
      <w:pPr>
        <w:shd w:val="clear" w:color="auto" w:fill="FFFFFF"/>
        <w:spacing w:before="0"/>
        <w:rPr>
          <w:bCs/>
          <w:sz w:val="28"/>
          <w:szCs w:val="28"/>
          <w:lang w:val="vi-VN"/>
        </w:rPr>
      </w:pPr>
      <w:r>
        <w:rPr>
          <w:bCs/>
          <w:sz w:val="28"/>
          <w:szCs w:val="28"/>
        </w:rPr>
        <w:t>“</w:t>
      </w:r>
      <w:r>
        <w:rPr>
          <w:bCs/>
          <w:i/>
          <w:iCs/>
          <w:sz w:val="28"/>
          <w:szCs w:val="28"/>
          <w:lang w:val="vi-VN"/>
        </w:rPr>
        <w:t>a) Quy trình hỗ trợ:</w:t>
      </w:r>
    </w:p>
    <w:p>
      <w:pPr>
        <w:spacing w:before="0"/>
        <w:rPr>
          <w:sz w:val="28"/>
          <w:szCs w:val="28"/>
        </w:rPr>
      </w:pPr>
      <w:r>
        <w:rPr>
          <w:sz w:val="28"/>
          <w:szCs w:val="28"/>
        </w:rPr>
        <w:t>- Sau khi Ủy ban nhân dân cấp huyện có quyết định phân khai kế hoạch kinh phí thực hiện, Ủy ban nhân dân cấp xã tổ chức thực hiện mua chế phẩm sinh học và bàn giao cho đơn vị trực tiếp quản lý mô hình hố ủ rác thải hữu cơ tập trung thực hiện.</w:t>
      </w:r>
    </w:p>
    <w:p>
      <w:pPr>
        <w:spacing w:before="0"/>
        <w:rPr>
          <w:sz w:val="28"/>
          <w:szCs w:val="28"/>
        </w:rPr>
      </w:pPr>
      <w:r>
        <w:rPr>
          <w:sz w:val="28"/>
          <w:szCs w:val="28"/>
        </w:rPr>
        <w:t>- Sau khi triển khai thực hiện việc ủ phân từ rác hữu cơ, đơn vị trực tiếp quản lý mô hình hố ủ rác hữu cơ</w:t>
      </w:r>
      <w:r>
        <w:rPr>
          <w:sz w:val="28"/>
          <w:szCs w:val="28"/>
          <w:lang w:val="vi-VN"/>
        </w:rPr>
        <w:t xml:space="preserve"> gửi </w:t>
      </w:r>
      <w:r>
        <w:rPr>
          <w:sz w:val="28"/>
          <w:szCs w:val="28"/>
        </w:rPr>
        <w:t>báo cáo</w:t>
      </w:r>
      <w:r>
        <w:rPr>
          <w:sz w:val="28"/>
          <w:szCs w:val="28"/>
          <w:lang w:val="vi-VN"/>
        </w:rPr>
        <w:t xml:space="preserve"> kết quả thực hiện về </w:t>
      </w:r>
      <w:r>
        <w:rPr>
          <w:sz w:val="28"/>
          <w:szCs w:val="28"/>
        </w:rPr>
        <w:t xml:space="preserve">Ủy ban nhân dân cấp </w:t>
      </w:r>
      <w:r>
        <w:rPr>
          <w:sz w:val="28"/>
          <w:szCs w:val="28"/>
          <w:lang w:val="vi-VN"/>
        </w:rPr>
        <w:t>xã.</w:t>
      </w:r>
    </w:p>
    <w:p>
      <w:pPr>
        <w:spacing w:before="0"/>
        <w:rPr>
          <w:sz w:val="28"/>
          <w:szCs w:val="28"/>
        </w:rPr>
      </w:pPr>
      <w:r>
        <w:rPr>
          <w:sz w:val="28"/>
          <w:szCs w:val="28"/>
        </w:rPr>
        <w:t>- Trước ngày 30/10, Ủy ban nhân dân cấp xã tổ chức nghiệm thu, tổng hợp báo cáo, lập hồ sơ đề nghị hỗ trợ nộp hồ sơ trực tiếp tại Trung tâm Hành chính công cấp huyện hoặc nộp trực tuyến (nếu có) hoặc qua dịch vụ bưu chính công ích hoặc qua hệ thống phần mềm quản lý văn bản và hồ sơ công việc để Ủy ban nhân dân cấp huyện thẩm định. Trường hợp hồ sơ đề nghị của Ủy ban nhân dân cấp xã chưa đảm bảo yêu cầu, trong thời hạn 05 ngày làm việc kể từ ngày tiếp nhận hồ sơ, Ủy ban nhân dân cấp huyện phải có văn bản yêu cầu bổ sung hoặc giải trình làm rõ theo quy định.</w:t>
      </w:r>
    </w:p>
    <w:p>
      <w:pPr>
        <w:spacing w:before="0"/>
        <w:rPr>
          <w:sz w:val="28"/>
          <w:szCs w:val="28"/>
        </w:rPr>
      </w:pPr>
      <w:bookmarkStart w:id="1" w:name="_Hlk178077101"/>
      <w:r>
        <w:rPr>
          <w:sz w:val="28"/>
          <w:szCs w:val="28"/>
        </w:rPr>
        <w:t xml:space="preserve">- Trong </w:t>
      </w:r>
      <w:r>
        <w:rPr>
          <w:sz w:val="28"/>
          <w:szCs w:val="28"/>
          <w:lang w:val="vi-VN"/>
        </w:rPr>
        <w:t xml:space="preserve">thời hạn 10 ngày làm việc kể từ ngày </w:t>
      </w:r>
      <w:r>
        <w:rPr>
          <w:sz w:val="28"/>
          <w:szCs w:val="28"/>
        </w:rPr>
        <w:t>nhận đủ hồ sơ, Ủy ban nhân dân cấp huyện thực hiện thẩm định, tổng hợp kinh phí thực hiện trên địa bàn các xã, phường, thị trấn, gửi Sở Tài nguyên và Môi trường.</w:t>
      </w:r>
    </w:p>
    <w:p>
      <w:pPr>
        <w:spacing w:before="0"/>
        <w:rPr>
          <w:sz w:val="28"/>
          <w:szCs w:val="28"/>
        </w:rPr>
      </w:pPr>
      <w:r>
        <w:rPr>
          <w:sz w:val="28"/>
          <w:szCs w:val="28"/>
        </w:rPr>
        <w:t xml:space="preserve">- </w:t>
      </w:r>
      <w:bookmarkStart w:id="2" w:name="_Hlk178179941"/>
      <w:r>
        <w:rPr>
          <w:sz w:val="28"/>
          <w:szCs w:val="28"/>
        </w:rPr>
        <w:t xml:space="preserve">Trong </w:t>
      </w:r>
      <w:r>
        <w:rPr>
          <w:sz w:val="28"/>
          <w:szCs w:val="28"/>
          <w:lang w:val="vi-VN"/>
        </w:rPr>
        <w:t xml:space="preserve">thời hạn </w:t>
      </w:r>
      <w:r>
        <w:rPr>
          <w:sz w:val="28"/>
          <w:szCs w:val="28"/>
        </w:rPr>
        <w:t>07</w:t>
      </w:r>
      <w:r>
        <w:rPr>
          <w:sz w:val="28"/>
          <w:szCs w:val="28"/>
          <w:lang w:val="vi-VN"/>
        </w:rPr>
        <w:t xml:space="preserve"> ngày làm việc kể từ ngày </w:t>
      </w:r>
      <w:r>
        <w:rPr>
          <w:sz w:val="28"/>
          <w:szCs w:val="28"/>
        </w:rPr>
        <w:t xml:space="preserve">nhận đủ báo cáo tổng hợp kinh phí của UBND cấp huyện, Sở Tài nguyên và Môi trường rà soát, tổng hợp chung toàn tỉnh, gửi Sở Tài chính để soát xét, tham mưu Ủy ban nhân dân tỉnh cấp kinh phí cho Ủy ban nhân cấp huyện theo quy </w:t>
      </w:r>
      <w:r>
        <w:rPr>
          <w:sz w:val="28"/>
          <w:szCs w:val="28"/>
          <w:lang w:val="vi-VN"/>
        </w:rPr>
        <w:t>định</w:t>
      </w:r>
      <w:bookmarkEnd w:id="2"/>
      <w:r>
        <w:rPr>
          <w:sz w:val="28"/>
          <w:szCs w:val="28"/>
          <w:lang w:val="vi-VN"/>
        </w:rPr>
        <w:t>.</w:t>
      </w:r>
      <w:r>
        <w:rPr>
          <w:sz w:val="28"/>
          <w:szCs w:val="28"/>
        </w:rPr>
        <w:t>”.</w:t>
      </w:r>
    </w:p>
    <w:bookmarkEnd w:id="1"/>
    <w:p>
      <w:pPr>
        <w:shd w:val="clear" w:color="auto" w:fill="FFFFFF"/>
        <w:spacing w:before="0"/>
        <w:rPr>
          <w:bCs/>
          <w:sz w:val="28"/>
          <w:szCs w:val="28"/>
        </w:rPr>
      </w:pPr>
      <w:r>
        <w:rPr>
          <w:bCs/>
          <w:sz w:val="28"/>
          <w:szCs w:val="28"/>
          <w:lang w:val="vi-VN"/>
        </w:rPr>
        <w:t>3. Bổ sung thành phần hồ sơ đề nghị hỗ trợ vào sau gạch đầu dòng thứ 6</w:t>
      </w:r>
      <w:r>
        <w:rPr>
          <w:bCs/>
          <w:sz w:val="28"/>
          <w:szCs w:val="28"/>
        </w:rPr>
        <w:t xml:space="preserve"> điểm b Mục </w:t>
      </w:r>
      <w:r>
        <w:rPr>
          <w:bCs/>
          <w:sz w:val="28"/>
          <w:szCs w:val="28"/>
          <w:lang w:val="vi-VN"/>
        </w:rPr>
        <w:t>2</w:t>
      </w:r>
      <w:r>
        <w:rPr>
          <w:bCs/>
          <w:sz w:val="28"/>
          <w:szCs w:val="28"/>
        </w:rPr>
        <w:t xml:space="preserve"> Phần 2 như sau: </w:t>
      </w:r>
    </w:p>
    <w:p>
      <w:pPr>
        <w:shd w:val="clear" w:color="auto" w:fill="FFFFFF"/>
        <w:spacing w:before="0"/>
        <w:rPr>
          <w:bCs/>
          <w:sz w:val="28"/>
          <w:szCs w:val="28"/>
        </w:rPr>
      </w:pPr>
      <w:r>
        <w:rPr>
          <w:bCs/>
          <w:sz w:val="28"/>
          <w:szCs w:val="28"/>
          <w:lang w:val="vi-VN"/>
        </w:rPr>
        <w:t>“- Bản sao</w:t>
      </w:r>
      <w:r>
        <w:rPr>
          <w:bCs/>
          <w:sz w:val="28"/>
          <w:szCs w:val="28"/>
        </w:rPr>
        <w:t xml:space="preserve"> giấy chứng nhận lưu hành chế phẩm sinh học theo quy định tại Nghị định số 60/2016/NĐ-CP ngày 01/7/2016 của Chính phủ quy định một số điều kiện đầu tư kinh doanh trong lĩnh vực </w:t>
      </w:r>
      <w:r>
        <w:rPr>
          <w:bCs/>
          <w:sz w:val="28"/>
          <w:szCs w:val="28"/>
          <w:lang w:val="vi-VN"/>
        </w:rPr>
        <w:t>t</w:t>
      </w:r>
      <w:r>
        <w:rPr>
          <w:bCs/>
          <w:sz w:val="28"/>
          <w:szCs w:val="28"/>
        </w:rPr>
        <w:t xml:space="preserve">ài nguyên và </w:t>
      </w:r>
      <w:r>
        <w:rPr>
          <w:bCs/>
          <w:sz w:val="28"/>
          <w:szCs w:val="28"/>
          <w:lang w:val="vi-VN"/>
        </w:rPr>
        <w:t>m</w:t>
      </w:r>
      <w:r>
        <w:rPr>
          <w:bCs/>
          <w:sz w:val="28"/>
          <w:szCs w:val="28"/>
        </w:rPr>
        <w:t>ôi trường.”.</w:t>
      </w:r>
    </w:p>
    <w:p>
      <w:pPr>
        <w:shd w:val="clear" w:color="auto" w:fill="FFFFFF"/>
        <w:spacing w:before="0"/>
        <w:rPr>
          <w:bCs/>
          <w:sz w:val="28"/>
          <w:szCs w:val="28"/>
        </w:rPr>
      </w:pPr>
      <w:r>
        <w:rPr>
          <w:bCs/>
          <w:sz w:val="28"/>
          <w:szCs w:val="28"/>
        </w:rPr>
        <w:t xml:space="preserve">4. Sửa </w:t>
      </w:r>
      <w:r>
        <w:rPr>
          <w:bCs/>
          <w:sz w:val="28"/>
          <w:szCs w:val="28"/>
          <w:lang w:val="vi-VN"/>
        </w:rPr>
        <w:t xml:space="preserve">đổi, bổ sung </w:t>
      </w:r>
      <w:r>
        <w:rPr>
          <w:bCs/>
          <w:sz w:val="28"/>
          <w:szCs w:val="28"/>
        </w:rPr>
        <w:t xml:space="preserve">điểm a Mục 3 Phần 2 như sau: </w:t>
      </w:r>
    </w:p>
    <w:p>
      <w:pPr>
        <w:spacing w:before="0"/>
        <w:rPr>
          <w:i/>
          <w:sz w:val="28"/>
          <w:szCs w:val="28"/>
        </w:rPr>
      </w:pPr>
      <w:r>
        <w:rPr>
          <w:bCs/>
          <w:i/>
          <w:sz w:val="28"/>
          <w:szCs w:val="28"/>
          <w:lang w:val="vi-VN"/>
        </w:rPr>
        <w:t>“</w:t>
      </w:r>
      <w:r>
        <w:rPr>
          <w:bCs/>
          <w:i/>
          <w:sz w:val="28"/>
          <w:szCs w:val="28"/>
        </w:rPr>
        <w:t>a)</w:t>
      </w:r>
      <w:r>
        <w:rPr>
          <w:i/>
          <w:sz w:val="28"/>
          <w:szCs w:val="28"/>
        </w:rPr>
        <w:t xml:space="preserve"> Quy trình hỗ trợ: </w:t>
      </w:r>
    </w:p>
    <w:p>
      <w:pPr>
        <w:spacing w:before="0"/>
        <w:rPr>
          <w:sz w:val="28"/>
          <w:szCs w:val="28"/>
        </w:rPr>
      </w:pPr>
      <w:r>
        <w:rPr>
          <w:sz w:val="28"/>
          <w:szCs w:val="28"/>
        </w:rPr>
        <w:t xml:space="preserve">- Sau khi Ủy ban nhân dân cấp huyện có quyết định phân khai kế hoạch kinh phí thực hiện, Ủy ban nhân dân cấp xã tổ chức thực hiện mua thùng chuyên </w:t>
      </w:r>
      <w:r>
        <w:rPr>
          <w:sz w:val="28"/>
          <w:szCs w:val="28"/>
        </w:rPr>
        <w:lastRenderedPageBreak/>
        <w:t>dụng gom rác và chế phẩm khử mùi và bàn giao cho Hợp tác xã/Tổ, đội vệ sinh môi trường trực tiếp quản lý trạm trung chuyển/điểm tập kết để thực hiện.</w:t>
      </w:r>
    </w:p>
    <w:p>
      <w:pPr>
        <w:spacing w:before="0"/>
        <w:rPr>
          <w:sz w:val="28"/>
          <w:szCs w:val="28"/>
          <w:lang w:val="vi-VN"/>
        </w:rPr>
      </w:pPr>
      <w:r>
        <w:rPr>
          <w:sz w:val="28"/>
          <w:szCs w:val="28"/>
        </w:rPr>
        <w:t>- Sau khi triển khai thực hiện, Hợp tác xã/Tổ, đội vệ sinh môi trường được giao quản lý trạm trung chuyển/điểm tập kết gửi báo cáo kết quả thực hiện về Ủy ban nhân dân cấp xã</w:t>
      </w:r>
      <w:r>
        <w:rPr>
          <w:sz w:val="28"/>
          <w:szCs w:val="28"/>
          <w:lang w:val="vi-VN"/>
        </w:rPr>
        <w:t>.</w:t>
      </w:r>
    </w:p>
    <w:p>
      <w:pPr>
        <w:spacing w:before="0"/>
        <w:rPr>
          <w:sz w:val="28"/>
          <w:szCs w:val="28"/>
        </w:rPr>
      </w:pPr>
      <w:r>
        <w:rPr>
          <w:sz w:val="28"/>
          <w:szCs w:val="28"/>
        </w:rPr>
        <w:t xml:space="preserve">- Trước </w:t>
      </w:r>
      <w:r>
        <w:rPr>
          <w:sz w:val="28"/>
          <w:szCs w:val="28"/>
          <w:lang w:val="vi-VN"/>
        </w:rPr>
        <w:t xml:space="preserve">ngày </w:t>
      </w:r>
      <w:r>
        <w:rPr>
          <w:sz w:val="28"/>
          <w:szCs w:val="28"/>
        </w:rPr>
        <w:t xml:space="preserve">30/10, Ủy ban nhân dân cấp xã tổ chức nghiệm </w:t>
      </w:r>
      <w:r>
        <w:rPr>
          <w:sz w:val="28"/>
          <w:szCs w:val="28"/>
          <w:lang w:val="vi-VN"/>
        </w:rPr>
        <w:t>thu, tổng hợp báo cáo, lập hồ sơ đề nghị hỗ trợ</w:t>
      </w:r>
      <w:r>
        <w:rPr>
          <w:sz w:val="28"/>
          <w:szCs w:val="28"/>
        </w:rPr>
        <w:t xml:space="preserve"> </w:t>
      </w:r>
      <w:r>
        <w:rPr>
          <w:spacing w:val="-2"/>
          <w:sz w:val="28"/>
          <w:szCs w:val="28"/>
        </w:rPr>
        <w:t>nộp hồ sơ trực tiếp tại Trung tâm Hành chính công cấp huyện</w:t>
      </w:r>
      <w:r>
        <w:rPr>
          <w:spacing w:val="-2"/>
          <w:sz w:val="28"/>
          <w:szCs w:val="28"/>
          <w:lang w:val="vi-VN"/>
        </w:rPr>
        <w:t xml:space="preserve"> hoặc</w:t>
      </w:r>
      <w:r>
        <w:rPr>
          <w:spacing w:val="-2"/>
          <w:sz w:val="28"/>
          <w:szCs w:val="28"/>
        </w:rPr>
        <w:t xml:space="preserve"> nộp trực tuyến (nếu có) hoặc qua dịch vụ bưu chính công ích</w:t>
      </w:r>
      <w:r>
        <w:rPr>
          <w:spacing w:val="-2"/>
          <w:sz w:val="28"/>
          <w:szCs w:val="28"/>
          <w:lang w:val="vi-VN"/>
        </w:rPr>
        <w:t xml:space="preserve"> hoặc</w:t>
      </w:r>
      <w:r>
        <w:rPr>
          <w:spacing w:val="-2"/>
          <w:sz w:val="28"/>
          <w:szCs w:val="28"/>
        </w:rPr>
        <w:t xml:space="preserve"> qua hệ thống phần mềm quản lý văn bản và hồ sơ công việc</w:t>
      </w:r>
      <w:r>
        <w:rPr>
          <w:spacing w:val="-2"/>
          <w:sz w:val="28"/>
          <w:szCs w:val="28"/>
          <w:lang w:val="vi-VN"/>
        </w:rPr>
        <w:t xml:space="preserve"> </w:t>
      </w:r>
      <w:r>
        <w:rPr>
          <w:sz w:val="28"/>
          <w:szCs w:val="28"/>
        </w:rPr>
        <w:t xml:space="preserve">để Ủy ban nhân dân cấp huyện thẩm </w:t>
      </w:r>
      <w:r>
        <w:rPr>
          <w:sz w:val="28"/>
          <w:szCs w:val="28"/>
          <w:lang w:val="vi-VN"/>
        </w:rPr>
        <w:t xml:space="preserve">định. </w:t>
      </w:r>
      <w:r>
        <w:rPr>
          <w:sz w:val="28"/>
          <w:szCs w:val="28"/>
        </w:rPr>
        <w:t>Trường hợp hồ sơ đề nghị của Ủy ban nhân dân cấp xã chưa đảm bảo yêu cầu, trong thời hạn 05 ngày làm việc kể từ ngày tiếp nhận hồ sơ, Ủy ban nhân dân cấp huyện phải có văn bản yêu cầu bổ sung hoặc giải trình làm rõ theo quy định.</w:t>
      </w:r>
    </w:p>
    <w:p>
      <w:pPr>
        <w:spacing w:before="0"/>
        <w:rPr>
          <w:sz w:val="28"/>
          <w:szCs w:val="28"/>
        </w:rPr>
      </w:pPr>
      <w:r>
        <w:rPr>
          <w:sz w:val="28"/>
          <w:szCs w:val="28"/>
        </w:rPr>
        <w:t xml:space="preserve">- Trong </w:t>
      </w:r>
      <w:r>
        <w:rPr>
          <w:sz w:val="28"/>
          <w:szCs w:val="28"/>
          <w:lang w:val="vi-VN"/>
        </w:rPr>
        <w:t>thời hạn 10 ngày làm việc</w:t>
      </w:r>
      <w:r>
        <w:rPr>
          <w:sz w:val="28"/>
          <w:szCs w:val="28"/>
        </w:rPr>
        <w:t xml:space="preserve"> </w:t>
      </w:r>
      <w:r>
        <w:rPr>
          <w:sz w:val="28"/>
          <w:szCs w:val="28"/>
          <w:lang w:val="vi-VN"/>
        </w:rPr>
        <w:t xml:space="preserve">kể từ ngày </w:t>
      </w:r>
      <w:r>
        <w:rPr>
          <w:sz w:val="28"/>
          <w:szCs w:val="28"/>
        </w:rPr>
        <w:t>nhận đủ hồ sơ, Ủy ban nhân dân cấp huyện thực hiện thẩm định, tổng hợp kinh phí thực hiện trên địa bàn các xã, phường, thị trấn gửi Sở Tài nguyên và Môi trường.</w:t>
      </w:r>
    </w:p>
    <w:p>
      <w:pPr>
        <w:shd w:val="clear" w:color="auto" w:fill="FFFFFF"/>
        <w:spacing w:before="0"/>
        <w:rPr>
          <w:sz w:val="28"/>
          <w:szCs w:val="28"/>
        </w:rPr>
      </w:pPr>
      <w:r>
        <w:rPr>
          <w:sz w:val="28"/>
          <w:szCs w:val="28"/>
        </w:rPr>
        <w:t>- Trong thời hạn 07 ngày làm việc kể từ ngày nhận đủ báo cáo tổng hợp kinh phí của UBND cấp huyện, Sở Tài nguyên và Môi trường rà soát, tổng hợp chung toàn tỉnh, gửi Sở Tài chính để soát xét, tham mưu Ủy ban nhân dân tỉnh cấp kinh phí cho Ủy ban nhân cấp huyện theo quy định.”.</w:t>
      </w:r>
    </w:p>
    <w:p>
      <w:pPr>
        <w:shd w:val="clear" w:color="auto" w:fill="FFFFFF"/>
        <w:spacing w:before="0"/>
        <w:rPr>
          <w:bCs/>
          <w:sz w:val="28"/>
          <w:szCs w:val="28"/>
        </w:rPr>
      </w:pPr>
      <w:r>
        <w:rPr>
          <w:bCs/>
          <w:sz w:val="28"/>
          <w:szCs w:val="28"/>
        </w:rPr>
        <w:t>5</w:t>
      </w:r>
      <w:r>
        <w:rPr>
          <w:bCs/>
          <w:sz w:val="28"/>
          <w:szCs w:val="28"/>
          <w:lang w:val="vi-VN"/>
        </w:rPr>
        <w:t>. Bổ sung thành phần hồ sơ đề nghị hỗ trợ vào sau gạch đầu dòng thứ 6</w:t>
      </w:r>
      <w:r>
        <w:rPr>
          <w:bCs/>
          <w:sz w:val="28"/>
          <w:szCs w:val="28"/>
        </w:rPr>
        <w:t xml:space="preserve"> điểm b Mục </w:t>
      </w:r>
      <w:r>
        <w:rPr>
          <w:bCs/>
          <w:sz w:val="28"/>
          <w:szCs w:val="28"/>
          <w:lang w:val="vi-VN"/>
        </w:rPr>
        <w:t>3</w:t>
      </w:r>
      <w:r>
        <w:rPr>
          <w:bCs/>
          <w:sz w:val="28"/>
          <w:szCs w:val="28"/>
        </w:rPr>
        <w:t xml:space="preserve"> Phần 2 như sau:</w:t>
      </w:r>
    </w:p>
    <w:p>
      <w:pPr>
        <w:shd w:val="clear" w:color="auto" w:fill="FFFFFF"/>
        <w:spacing w:before="0"/>
        <w:rPr>
          <w:bCs/>
          <w:sz w:val="28"/>
          <w:szCs w:val="28"/>
          <w:lang w:val="vi-VN"/>
        </w:rPr>
      </w:pPr>
      <w:r>
        <w:rPr>
          <w:bCs/>
          <w:sz w:val="28"/>
          <w:szCs w:val="28"/>
          <w:lang w:val="vi-VN"/>
        </w:rPr>
        <w:t>“- Bản sao</w:t>
      </w:r>
      <w:r>
        <w:rPr>
          <w:bCs/>
          <w:sz w:val="28"/>
          <w:szCs w:val="28"/>
        </w:rPr>
        <w:t xml:space="preserve"> giấy chứng nhận lưu hành chế phẩm sinh học theo quy định tại Nghị định số 60/2016/NĐ-CP ngày 01/7/2016 của Chính phủ quy định một số điều kiện đầu tư kinh doanh trong lĩnh vực </w:t>
      </w:r>
      <w:r>
        <w:rPr>
          <w:bCs/>
          <w:sz w:val="28"/>
          <w:szCs w:val="28"/>
          <w:lang w:val="vi-VN"/>
        </w:rPr>
        <w:t>t</w:t>
      </w:r>
      <w:r>
        <w:rPr>
          <w:bCs/>
          <w:sz w:val="28"/>
          <w:szCs w:val="28"/>
        </w:rPr>
        <w:t xml:space="preserve">ài nguyên và </w:t>
      </w:r>
      <w:r>
        <w:rPr>
          <w:bCs/>
          <w:sz w:val="28"/>
          <w:szCs w:val="28"/>
          <w:lang w:val="vi-VN"/>
        </w:rPr>
        <w:t>m</w:t>
      </w:r>
      <w:r>
        <w:rPr>
          <w:bCs/>
          <w:sz w:val="28"/>
          <w:szCs w:val="28"/>
        </w:rPr>
        <w:t>ôi trường.”.</w:t>
      </w:r>
    </w:p>
    <w:p>
      <w:pPr>
        <w:shd w:val="clear" w:color="auto" w:fill="FFFFFF"/>
        <w:spacing w:before="0"/>
        <w:rPr>
          <w:bCs/>
          <w:sz w:val="28"/>
          <w:szCs w:val="28"/>
        </w:rPr>
      </w:pPr>
      <w:r>
        <w:rPr>
          <w:bCs/>
          <w:sz w:val="28"/>
          <w:szCs w:val="28"/>
        </w:rPr>
        <w:t xml:space="preserve">6. Sửa </w:t>
      </w:r>
      <w:r>
        <w:rPr>
          <w:bCs/>
          <w:sz w:val="28"/>
          <w:szCs w:val="28"/>
          <w:lang w:val="vi-VN"/>
        </w:rPr>
        <w:t xml:space="preserve">đổi, bổ sung </w:t>
      </w:r>
      <w:r>
        <w:rPr>
          <w:bCs/>
          <w:sz w:val="28"/>
          <w:szCs w:val="28"/>
        </w:rPr>
        <w:t>Mục 4 Phần 2 như sau:</w:t>
      </w:r>
    </w:p>
    <w:p>
      <w:pPr>
        <w:shd w:val="clear" w:color="auto" w:fill="FFFFFF"/>
        <w:spacing w:before="0"/>
        <w:rPr>
          <w:b/>
          <w:bCs/>
          <w:sz w:val="28"/>
          <w:szCs w:val="28"/>
          <w:lang w:val="vi-VN"/>
        </w:rPr>
      </w:pPr>
      <w:r>
        <w:rPr>
          <w:b/>
          <w:bCs/>
          <w:sz w:val="28"/>
          <w:szCs w:val="28"/>
        </w:rPr>
        <w:t>“4</w:t>
      </w:r>
      <w:r>
        <w:rPr>
          <w:b/>
          <w:bCs/>
          <w:sz w:val="28"/>
          <w:szCs w:val="28"/>
          <w:lang w:val="vi-VN"/>
        </w:rPr>
        <w:t>. Đối với c</w:t>
      </w:r>
      <w:r>
        <w:rPr>
          <w:b/>
          <w:bCs/>
          <w:sz w:val="28"/>
          <w:szCs w:val="28"/>
        </w:rPr>
        <w:t>hính sách</w:t>
      </w:r>
      <w:r>
        <w:rPr>
          <w:b/>
          <w:bCs/>
          <w:sz w:val="28"/>
          <w:szCs w:val="28"/>
          <w:lang w:val="vi-VN"/>
        </w:rPr>
        <w:t xml:space="preserve"> hỗ trợ </w:t>
      </w:r>
      <w:r>
        <w:rPr>
          <w:b/>
          <w:bCs/>
          <w:sz w:val="28"/>
          <w:szCs w:val="28"/>
        </w:rPr>
        <w:t>mua xe cuốn ép rác</w:t>
      </w:r>
      <w:r>
        <w:rPr>
          <w:b/>
          <w:bCs/>
          <w:sz w:val="28"/>
          <w:szCs w:val="28"/>
          <w:lang w:val="vi-VN"/>
        </w:rPr>
        <w:t xml:space="preserve"> phục vụ thu gom, vận chuyển rác thải sinh hoạt (quy định tại Điều </w:t>
      </w:r>
      <w:r>
        <w:rPr>
          <w:b/>
          <w:bCs/>
          <w:sz w:val="28"/>
          <w:szCs w:val="28"/>
        </w:rPr>
        <w:t>7</w:t>
      </w:r>
      <w:r>
        <w:rPr>
          <w:b/>
          <w:bCs/>
          <w:sz w:val="28"/>
          <w:szCs w:val="28"/>
          <w:lang w:val="vi-VN"/>
        </w:rPr>
        <w:t xml:space="preserve"> Nghị quyết </w:t>
      </w:r>
      <w:r>
        <w:rPr>
          <w:b/>
          <w:bCs/>
          <w:sz w:val="28"/>
          <w:szCs w:val="28"/>
        </w:rPr>
        <w:t>này</w:t>
      </w:r>
      <w:r>
        <w:rPr>
          <w:b/>
          <w:bCs/>
          <w:sz w:val="28"/>
          <w:szCs w:val="28"/>
          <w:lang w:val="vi-VN"/>
        </w:rPr>
        <w:t>)</w:t>
      </w:r>
    </w:p>
    <w:p>
      <w:pPr>
        <w:spacing w:before="0"/>
        <w:rPr>
          <w:i/>
          <w:sz w:val="28"/>
          <w:szCs w:val="28"/>
        </w:rPr>
      </w:pPr>
      <w:r>
        <w:rPr>
          <w:bCs/>
          <w:i/>
          <w:sz w:val="28"/>
          <w:szCs w:val="28"/>
        </w:rPr>
        <w:t>a)</w:t>
      </w:r>
      <w:r>
        <w:rPr>
          <w:i/>
          <w:sz w:val="28"/>
          <w:szCs w:val="28"/>
        </w:rPr>
        <w:t xml:space="preserve"> Quy trình hỗ trợ: </w:t>
      </w:r>
    </w:p>
    <w:p>
      <w:pPr>
        <w:spacing w:before="0"/>
        <w:rPr>
          <w:bCs/>
          <w:sz w:val="28"/>
          <w:szCs w:val="28"/>
        </w:rPr>
      </w:pPr>
      <w:r>
        <w:rPr>
          <w:bCs/>
          <w:sz w:val="28"/>
          <w:szCs w:val="28"/>
        </w:rPr>
        <w:t>- Căn cứ kế hoạch được Ủy ban nhân dân tỉnh giao, Hợp tác xã môi trường tổ chức thực hiện kế hoạch mua xe cuốn ép rác.</w:t>
      </w:r>
    </w:p>
    <w:p>
      <w:pPr>
        <w:spacing w:before="0"/>
        <w:rPr>
          <w:bCs/>
          <w:sz w:val="28"/>
          <w:szCs w:val="28"/>
        </w:rPr>
      </w:pPr>
      <w:r>
        <w:rPr>
          <w:bCs/>
          <w:sz w:val="28"/>
          <w:szCs w:val="28"/>
        </w:rPr>
        <w:t>- Sau khi thực hiện hoàn thành việc mua xe cuốn ép rác, hợp tác xã môi trường lập hồ sơ đề nghị hỗ trợ theo quy định, nộp hồ sơ trực tiếp tại Trung tâm Phục vụ Hành chính công của tỉnh (Bộ phận Một cửa Sở Tài nguyên và Môi trường) hoặc nộp trực tuyến (nếu có) hoặc qua dịch vụ bưu chính công ích hoặc qua hệ thống phần mềm quản lý văn bản và hồ sơ công việc đến Sở Tài nguyên và Môi trường.</w:t>
      </w:r>
    </w:p>
    <w:p>
      <w:pPr>
        <w:spacing w:before="0"/>
        <w:rPr>
          <w:bCs/>
          <w:sz w:val="28"/>
          <w:szCs w:val="28"/>
        </w:rPr>
      </w:pPr>
      <w:r>
        <w:rPr>
          <w:bCs/>
          <w:sz w:val="28"/>
          <w:szCs w:val="28"/>
        </w:rPr>
        <w:t xml:space="preserve">- Sở Tài nguyên và Môi trường rà soát hồ sơ đề nghị hỗ trợ, trường hợp hồ sơ chưa đảm bảo yêu cầu, trong thời hạn 05 ngày làm việc kể từ ngày tiếp </w:t>
      </w:r>
      <w:r>
        <w:rPr>
          <w:bCs/>
          <w:sz w:val="28"/>
          <w:szCs w:val="28"/>
        </w:rPr>
        <w:lastRenderedPageBreak/>
        <w:t>nhận hồ sơ, Sở Tài nguyên và Môi trường có văn bản yêu cầu bổ sung hoặc nêu rõ lý do theo quy định.</w:t>
      </w:r>
    </w:p>
    <w:p>
      <w:pPr>
        <w:spacing w:before="0"/>
        <w:rPr>
          <w:bCs/>
          <w:iCs/>
          <w:spacing w:val="-4"/>
          <w:sz w:val="28"/>
          <w:szCs w:val="28"/>
          <w:lang w:val="vi-VN"/>
        </w:rPr>
      </w:pPr>
      <w:r>
        <w:rPr>
          <w:bCs/>
          <w:spacing w:val="-4"/>
          <w:sz w:val="28"/>
          <w:szCs w:val="28"/>
        </w:rPr>
        <w:t xml:space="preserve">- Trong thời hạn </w:t>
      </w:r>
      <w:r>
        <w:rPr>
          <w:bCs/>
          <w:spacing w:val="-4"/>
          <w:sz w:val="28"/>
          <w:szCs w:val="28"/>
          <w:lang w:val="vi-VN"/>
        </w:rPr>
        <w:t>15</w:t>
      </w:r>
      <w:r>
        <w:rPr>
          <w:bCs/>
          <w:spacing w:val="-4"/>
          <w:sz w:val="28"/>
          <w:szCs w:val="28"/>
        </w:rPr>
        <w:t xml:space="preserve"> ngày</w:t>
      </w:r>
      <w:r>
        <w:rPr>
          <w:bCs/>
          <w:spacing w:val="-4"/>
          <w:sz w:val="28"/>
          <w:szCs w:val="28"/>
          <w:lang w:val="vi-VN"/>
        </w:rPr>
        <w:t xml:space="preserve"> làm việc</w:t>
      </w:r>
      <w:r>
        <w:rPr>
          <w:bCs/>
          <w:spacing w:val="-4"/>
          <w:sz w:val="28"/>
          <w:szCs w:val="28"/>
        </w:rPr>
        <w:t xml:space="preserve"> kể từ ngày nhận đủ hồ sơ, Sở Tài nguyên và Môi trường chủ trì, phối hợp Sở Tài chính và các đơn vị, địa phương liên quan tổ chức kiểm tra, nghiệm thu; tổng hợp hồ sơ đề nghị hỗ trợ gửi Sở Tài chính</w:t>
      </w:r>
      <w:r>
        <w:rPr>
          <w:bCs/>
          <w:iCs/>
          <w:spacing w:val="-4"/>
          <w:sz w:val="28"/>
          <w:szCs w:val="28"/>
          <w:lang w:val="vi-VN"/>
        </w:rPr>
        <w:t>.</w:t>
      </w:r>
    </w:p>
    <w:p>
      <w:pPr>
        <w:spacing w:before="0"/>
        <w:rPr>
          <w:bCs/>
          <w:sz w:val="28"/>
          <w:szCs w:val="28"/>
        </w:rPr>
      </w:pPr>
      <w:r>
        <w:rPr>
          <w:bCs/>
          <w:sz w:val="28"/>
          <w:szCs w:val="28"/>
        </w:rPr>
        <w:t xml:space="preserve">- Trong thời hạn </w:t>
      </w:r>
      <w:r>
        <w:rPr>
          <w:bCs/>
          <w:sz w:val="28"/>
          <w:szCs w:val="28"/>
          <w:lang w:val="vi-VN"/>
        </w:rPr>
        <w:t>10</w:t>
      </w:r>
      <w:r>
        <w:rPr>
          <w:bCs/>
          <w:sz w:val="28"/>
          <w:szCs w:val="28"/>
        </w:rPr>
        <w:t xml:space="preserve"> ngày làm việc </w:t>
      </w:r>
      <w:r>
        <w:rPr>
          <w:bCs/>
          <w:sz w:val="28"/>
          <w:szCs w:val="28"/>
          <w:lang w:val="vi-VN"/>
        </w:rPr>
        <w:t>kể</w:t>
      </w:r>
      <w:r>
        <w:rPr>
          <w:bCs/>
          <w:sz w:val="28"/>
          <w:szCs w:val="28"/>
        </w:rPr>
        <w:t xml:space="preserve"> từ ngày nhận đủ hồ sơ, Sở Tài chính soát xét, tổng hợp tham mưu trình Ủy ban nhân dân tỉnh phê duyệt.</w:t>
      </w:r>
    </w:p>
    <w:p>
      <w:pPr>
        <w:spacing w:before="0"/>
        <w:rPr>
          <w:bCs/>
          <w:sz w:val="28"/>
          <w:szCs w:val="28"/>
        </w:rPr>
      </w:pPr>
      <w:r>
        <w:rPr>
          <w:bCs/>
          <w:sz w:val="28"/>
          <w:szCs w:val="28"/>
          <w:lang w:val="vi-VN"/>
        </w:rPr>
        <w:t xml:space="preserve">- Trong thời hạn 07 ngày làm việc kể từ ngày nhận </w:t>
      </w:r>
      <w:r>
        <w:rPr>
          <w:bCs/>
          <w:sz w:val="28"/>
          <w:szCs w:val="28"/>
        </w:rPr>
        <w:t>đủ hồ sơ trình của Sở Tài chính</w:t>
      </w:r>
      <w:r>
        <w:rPr>
          <w:bCs/>
          <w:sz w:val="28"/>
          <w:szCs w:val="28"/>
          <w:lang w:val="vi-VN"/>
        </w:rPr>
        <w:t xml:space="preserve">, </w:t>
      </w:r>
      <w:r>
        <w:rPr>
          <w:bCs/>
          <w:sz w:val="28"/>
          <w:szCs w:val="28"/>
        </w:rPr>
        <w:t>Ủy ban nhân dân tỉnh</w:t>
      </w:r>
      <w:r>
        <w:rPr>
          <w:bCs/>
          <w:sz w:val="28"/>
          <w:szCs w:val="28"/>
          <w:lang w:val="vi-VN"/>
        </w:rPr>
        <w:t xml:space="preserve"> xem xét phê duyệt và cấp kinh phí cho đơn vị thụ hưởng theo quy định.</w:t>
      </w:r>
    </w:p>
    <w:p>
      <w:pPr>
        <w:spacing w:before="0"/>
        <w:rPr>
          <w:i/>
          <w:sz w:val="28"/>
          <w:szCs w:val="28"/>
        </w:rPr>
      </w:pPr>
      <w:r>
        <w:rPr>
          <w:i/>
          <w:sz w:val="28"/>
          <w:szCs w:val="28"/>
        </w:rPr>
        <w:t xml:space="preserve">b) </w:t>
      </w:r>
      <w:r>
        <w:rPr>
          <w:i/>
          <w:sz w:val="28"/>
          <w:szCs w:val="28"/>
          <w:lang w:val="vi-VN"/>
        </w:rPr>
        <w:t>Thành phần h</w:t>
      </w:r>
      <w:r>
        <w:rPr>
          <w:i/>
          <w:sz w:val="28"/>
          <w:szCs w:val="28"/>
        </w:rPr>
        <w:t>ồ sơ</w:t>
      </w:r>
      <w:r>
        <w:rPr>
          <w:i/>
          <w:sz w:val="28"/>
          <w:szCs w:val="28"/>
          <w:lang w:val="vi-VN"/>
        </w:rPr>
        <w:t xml:space="preserve"> đề nghị</w:t>
      </w:r>
      <w:r>
        <w:rPr>
          <w:i/>
          <w:sz w:val="28"/>
          <w:szCs w:val="28"/>
        </w:rPr>
        <w:t xml:space="preserve"> hỗ trợ:</w:t>
      </w:r>
      <w:bookmarkStart w:id="3" w:name="_GoBack"/>
      <w:bookmarkEnd w:id="3"/>
    </w:p>
    <w:p>
      <w:pPr>
        <w:spacing w:before="0"/>
        <w:rPr>
          <w:spacing w:val="-4"/>
          <w:sz w:val="28"/>
          <w:szCs w:val="28"/>
          <w:lang w:val="vi-VN"/>
        </w:rPr>
      </w:pPr>
      <w:r>
        <w:rPr>
          <w:spacing w:val="-4"/>
          <w:sz w:val="28"/>
          <w:szCs w:val="28"/>
        </w:rPr>
        <w:t xml:space="preserve">- Bản chính Tờ trình đề nghị hỗ trợ kinh phí xe cuốn ép rác (theo mẫu </w:t>
      </w:r>
      <w:r>
        <w:rPr>
          <w:spacing w:val="-4"/>
          <w:sz w:val="28"/>
          <w:szCs w:val="28"/>
          <w:lang w:val="vi-VN"/>
        </w:rPr>
        <w:t>số 01</w:t>
      </w:r>
      <w:r>
        <w:rPr>
          <w:spacing w:val="-4"/>
          <w:sz w:val="28"/>
          <w:szCs w:val="28"/>
        </w:rPr>
        <w:t>).</w:t>
      </w:r>
    </w:p>
    <w:p>
      <w:pPr>
        <w:spacing w:before="0"/>
        <w:rPr>
          <w:sz w:val="28"/>
          <w:szCs w:val="28"/>
        </w:rPr>
      </w:pPr>
      <w:r>
        <w:rPr>
          <w:sz w:val="28"/>
          <w:szCs w:val="28"/>
          <w:lang w:val="vi-VN"/>
        </w:rPr>
        <w:t>- Bản sao Giấy chứng nhận đăng ký Hợp tác xã và Điều lệ hoạt động của Hợp tác xã</w:t>
      </w:r>
      <w:r>
        <w:rPr>
          <w:sz w:val="28"/>
          <w:szCs w:val="28"/>
        </w:rPr>
        <w:t>.</w:t>
      </w:r>
    </w:p>
    <w:p>
      <w:pPr>
        <w:spacing w:before="0"/>
        <w:rPr>
          <w:spacing w:val="-4"/>
          <w:sz w:val="28"/>
          <w:szCs w:val="28"/>
          <w:lang w:val="vi-VN"/>
        </w:rPr>
      </w:pPr>
      <w:r>
        <w:rPr>
          <w:spacing w:val="-4"/>
          <w:sz w:val="28"/>
          <w:szCs w:val="28"/>
          <w:lang w:val="vi-VN"/>
        </w:rPr>
        <w:t xml:space="preserve">- Bản chính Phương án hoạt động thu gom, vận chuyển rác thải sinh hoạt của Hợp tác xã (trong đó nêu rõ hình thức quản lý, sử dụng xe cuốn ép rác; phạm vi thu gom rác đảm bảo điều kiện hỗ trợ) được </w:t>
      </w:r>
      <w:r>
        <w:rPr>
          <w:bCs/>
          <w:spacing w:val="-4"/>
          <w:sz w:val="28"/>
          <w:szCs w:val="28"/>
        </w:rPr>
        <w:t>Ủy ban nhân dân</w:t>
      </w:r>
      <w:r>
        <w:rPr>
          <w:spacing w:val="-4"/>
          <w:sz w:val="28"/>
          <w:szCs w:val="28"/>
          <w:lang w:val="vi-VN"/>
        </w:rPr>
        <w:t xml:space="preserve"> cấp huyện xác nhận; Cam kết của Hợp tác xã về</w:t>
      </w:r>
      <w:r>
        <w:rPr>
          <w:spacing w:val="-4"/>
          <w:sz w:val="28"/>
          <w:szCs w:val="28"/>
        </w:rPr>
        <w:t xml:space="preserve"> duy trì hoạt </w:t>
      </w:r>
      <w:r>
        <w:rPr>
          <w:spacing w:val="-4"/>
          <w:sz w:val="28"/>
          <w:szCs w:val="28"/>
          <w:lang w:val="vi-VN"/>
        </w:rPr>
        <w:t>độ</w:t>
      </w:r>
      <w:r>
        <w:rPr>
          <w:spacing w:val="-4"/>
          <w:sz w:val="28"/>
          <w:szCs w:val="28"/>
        </w:rPr>
        <w:t>ng</w:t>
      </w:r>
      <w:r>
        <w:rPr>
          <w:spacing w:val="-4"/>
          <w:sz w:val="28"/>
          <w:szCs w:val="28"/>
          <w:lang w:val="vi-VN"/>
        </w:rPr>
        <w:t xml:space="preserve"> thu gom, vận chuyển rác thải trên </w:t>
      </w:r>
      <w:r>
        <w:rPr>
          <w:spacing w:val="-4"/>
          <w:sz w:val="28"/>
          <w:szCs w:val="28"/>
        </w:rPr>
        <w:t xml:space="preserve">phạm vi </w:t>
      </w:r>
      <w:r>
        <w:rPr>
          <w:spacing w:val="-4"/>
          <w:sz w:val="28"/>
          <w:szCs w:val="28"/>
          <w:lang w:val="vi-VN"/>
        </w:rPr>
        <w:t>địa bàn cụm xã đã hợp đồng trong thời gian tối</w:t>
      </w:r>
      <w:r>
        <w:rPr>
          <w:spacing w:val="-4"/>
          <w:sz w:val="28"/>
          <w:szCs w:val="28"/>
        </w:rPr>
        <w:t xml:space="preserve"> thiếu </w:t>
      </w:r>
      <w:r>
        <w:rPr>
          <w:spacing w:val="-4"/>
          <w:sz w:val="28"/>
          <w:szCs w:val="28"/>
          <w:lang w:val="vi-VN"/>
        </w:rPr>
        <w:t>5 năm kể từ thời điểm được hỗ trợ và hoàn trả kinh phí hỗ trợ nếu không thực hiện đúng cam kết.</w:t>
      </w:r>
    </w:p>
    <w:p>
      <w:pPr>
        <w:spacing w:before="0"/>
        <w:rPr>
          <w:spacing w:val="-2"/>
          <w:sz w:val="28"/>
          <w:szCs w:val="28"/>
          <w:lang w:val="vi-VN"/>
        </w:rPr>
      </w:pPr>
      <w:r>
        <w:rPr>
          <w:spacing w:val="-2"/>
          <w:sz w:val="28"/>
          <w:szCs w:val="28"/>
          <w:lang w:val="vi-VN"/>
        </w:rPr>
        <w:t xml:space="preserve">- Bản sao Hợp đồng thu gom, vận chuyển rác thải sinh hoạt của Hợp tác xã: </w:t>
      </w:r>
    </w:p>
    <w:p>
      <w:pPr>
        <w:spacing w:before="0"/>
        <w:rPr>
          <w:sz w:val="28"/>
          <w:szCs w:val="28"/>
        </w:rPr>
      </w:pPr>
      <w:r>
        <w:rPr>
          <w:sz w:val="28"/>
          <w:szCs w:val="28"/>
          <w:lang w:val="vi-VN"/>
        </w:rPr>
        <w:t>+ Đối với Hợp tác xã được hỗ trợ 01 xe cuốn ép rác thì phải có hợp đồng với 05 xã, phường, thị trấn trở lên hoặc phạm vi cụm xã có quy mô dân số từ 24.000 người trở lên</w:t>
      </w:r>
      <w:r>
        <w:rPr>
          <w:sz w:val="28"/>
          <w:szCs w:val="28"/>
        </w:rPr>
        <w:t>.</w:t>
      </w:r>
    </w:p>
    <w:p>
      <w:pPr>
        <w:spacing w:before="0"/>
        <w:rPr>
          <w:sz w:val="28"/>
          <w:szCs w:val="28"/>
          <w:lang w:val="vi-VN"/>
        </w:rPr>
      </w:pPr>
      <w:r>
        <w:rPr>
          <w:sz w:val="28"/>
          <w:szCs w:val="28"/>
          <w:lang w:val="vi-VN"/>
        </w:rPr>
        <w:t>+ Đối với Hợp tác xã được hỗ trợ 02 xe cuốn ép rác thì phải có hợp đồng với từ  08 xã, phường, thị trấn trở lên hoặc phạm vi cụm xã có quy mô dân số từ 40.000 người trở lên.</w:t>
      </w:r>
    </w:p>
    <w:p>
      <w:pPr>
        <w:spacing w:before="0"/>
        <w:rPr>
          <w:sz w:val="28"/>
          <w:szCs w:val="28"/>
        </w:rPr>
      </w:pPr>
      <w:r>
        <w:rPr>
          <w:sz w:val="28"/>
          <w:szCs w:val="28"/>
          <w:lang w:val="vi-VN"/>
        </w:rPr>
        <w:t>- Bản sao Hợp đồng, biên bản nghiệm thu, thanh lý hợp đồng, hóa đơn giá trị gia tăng mua xe cuốn ép rác theo quy định.</w:t>
      </w:r>
    </w:p>
    <w:p>
      <w:pPr>
        <w:spacing w:before="0"/>
        <w:rPr>
          <w:sz w:val="28"/>
          <w:szCs w:val="28"/>
        </w:rPr>
      </w:pPr>
      <w:r>
        <w:rPr>
          <w:sz w:val="28"/>
          <w:szCs w:val="28"/>
          <w:lang w:val="vi-VN"/>
        </w:rPr>
        <w:t>- Bản sao Thông báo nộp lệ phí trước bạ của cơ quan thuế trên địa bàn tỉnh đối với xe cuốn ép rác đề nghị hỗ trợ.</w:t>
      </w:r>
    </w:p>
    <w:p>
      <w:pPr>
        <w:spacing w:before="0"/>
        <w:rPr>
          <w:sz w:val="28"/>
          <w:szCs w:val="28"/>
          <w:lang w:val="vi-VN"/>
        </w:rPr>
      </w:pPr>
      <w:r>
        <w:rPr>
          <w:sz w:val="28"/>
          <w:szCs w:val="28"/>
          <w:lang w:val="vi-VN"/>
        </w:rPr>
        <w:t xml:space="preserve">- Bản sao Hồ sơ </w:t>
      </w:r>
      <w:r>
        <w:rPr>
          <w:sz w:val="28"/>
          <w:szCs w:val="28"/>
        </w:rPr>
        <w:t>xe, gồm: Giấy chứng nhận xuất xưởng, các thông số kỹ thuật; hồ sơ hải quan, bản photo công chứng (đối với xe nhập khẩu); giấy chứng nhận kiểm định an toàn kỹ thuật và bảo vệ môi trường theo quy định của pháp luật về giao thông vận tải đối với xe cuốn ép rác của Hợp tác xã được hỗ trợ.</w:t>
      </w:r>
    </w:p>
    <w:p>
      <w:pPr>
        <w:shd w:val="clear" w:color="auto" w:fill="FFFFFF"/>
        <w:spacing w:before="0"/>
        <w:rPr>
          <w:sz w:val="28"/>
          <w:szCs w:val="28"/>
        </w:rPr>
      </w:pPr>
      <w:r>
        <w:rPr>
          <w:bCs/>
          <w:i/>
          <w:sz w:val="28"/>
          <w:szCs w:val="28"/>
          <w:lang w:val="vi-VN"/>
        </w:rPr>
        <w:t>c) Số lượng hồ sơ:</w:t>
      </w:r>
      <w:r>
        <w:rPr>
          <w:b/>
          <w:bCs/>
          <w:sz w:val="28"/>
          <w:szCs w:val="28"/>
          <w:lang w:val="vi-VN"/>
        </w:rPr>
        <w:t xml:space="preserve"> </w:t>
      </w:r>
      <w:r>
        <w:rPr>
          <w:bCs/>
          <w:sz w:val="28"/>
          <w:szCs w:val="28"/>
        </w:rPr>
        <w:t>01 bộ (đối với các loại giấy tờ là bản sao khi nộp hồ sơ phải kèm theo bản chính để đối chiếu hoặc bản sao có công chứng)”./.</w:t>
      </w:r>
    </w:p>
    <w:bookmarkEnd w:id="0"/>
    <w:p>
      <w:pPr>
        <w:pStyle w:val="NormalWeb"/>
        <w:shd w:val="clear" w:color="auto" w:fill="FFFFFF"/>
        <w:spacing w:before="0" w:beforeAutospacing="0" w:after="120" w:afterAutospacing="0"/>
        <w:jc w:val="right"/>
        <w:rPr>
          <w:sz w:val="28"/>
          <w:szCs w:val="28"/>
        </w:rPr>
      </w:pPr>
      <w:r>
        <w:rPr>
          <w:b/>
          <w:sz w:val="28"/>
          <w:szCs w:val="28"/>
          <w:lang w:val="nb-NO"/>
        </w:rPr>
        <w:t>HỘI ĐỒNG NHÂN DÂN TỈNH</w:t>
      </w:r>
    </w:p>
    <w:sectPr>
      <w:type w:val="continuous"/>
      <w:pgSz w:w="11907" w:h="16840" w:code="9"/>
      <w:pgMar w:top="1134" w:right="1134" w:bottom="1134" w:left="1701" w:header="567" w:footer="567"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8539081"/>
      <w:docPartObj>
        <w:docPartGallery w:val="Page Numbers (Top of Page)"/>
        <w:docPartUnique/>
      </w:docPartObj>
    </w:sdtPr>
    <w:sdtEndPr>
      <w:rPr>
        <w:noProof/>
        <w:sz w:val="28"/>
        <w:szCs w:val="28"/>
      </w:rPr>
    </w:sdtEndPr>
    <w:sdtContent>
      <w:p>
        <w:pPr>
          <w:pStyle w:val="Header"/>
          <w:ind w:firstLine="0"/>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noProof/>
            <w:sz w:val="28"/>
            <w:szCs w:val="28"/>
          </w:rPr>
          <w:t>2</w:t>
        </w:r>
        <w:r>
          <w:rPr>
            <w:noProof/>
            <w:sz w:val="28"/>
            <w:szCs w:val="28"/>
          </w:rPr>
          <w:fldChar w:fldCharType="end"/>
        </w:r>
      </w:p>
    </w:sdtContent>
  </w:sdt>
  <w:p>
    <w:pPr>
      <w:pStyle w:val="Header"/>
      <w:ind w:firstLine="0"/>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ind w:hanging="142"/>
      <w:jc w:val="center"/>
    </w:pPr>
  </w:p>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E3197"/>
    <w:multiLevelType w:val="hybridMultilevel"/>
    <w:tmpl w:val="207A5BF6"/>
    <w:lvl w:ilvl="0" w:tplc="86CCA9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ind w:firstLine="720"/>
      <w:jc w:val="both"/>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pPr>
      <w:spacing w:before="0" w:after="0"/>
      <w:ind w:firstLine="0"/>
      <w:jc w:val="left"/>
    </w:pPr>
    <w:rPr>
      <w:rFonts w:eastAsia="MS Mincho"/>
      <w:sz w:val="20"/>
      <w:szCs w:val="20"/>
      <w:lang w:eastAsia="ja-JP"/>
    </w:rPr>
  </w:style>
  <w:style w:type="character" w:customStyle="1" w:styleId="FootnoteTextChar">
    <w:name w:val="Footnote Text Char"/>
    <w:link w:val="FootnoteText"/>
    <w:uiPriority w:val="99"/>
    <w:rPr>
      <w:rFonts w:eastAsia="MS Mincho" w:cs="Times New Roman"/>
      <w:sz w:val="20"/>
      <w:szCs w:val="20"/>
      <w:lang w:eastAsia="ja-JP"/>
    </w:rPr>
  </w:style>
  <w:style w:type="character" w:styleId="FootnoteReference">
    <w:name w:val="footnote reference"/>
    <w:aliases w:val="BVI fnr Char Char Char Char Char,BVI fnr Car Car Char Char Char Char Char,BVI fnr Car Char Char Char Char Char,BVI fnr Car Car Car Car Char Char Char1 Char Char,BVI fnr Car Car Car Car Char Char Char Char Char Char Char Char"/>
    <w:link w:val="BVIfnrCharCharCharChar"/>
    <w:uiPriority w:val="99"/>
    <w:rPr>
      <w:vertAlign w:val="superscript"/>
    </w:rPr>
  </w:style>
  <w:style w:type="paragraph" w:customStyle="1" w:styleId="BVIfnrCharCharCharChar">
    <w:name w:val="BVI fnr Char Char Char Char"/>
    <w:aliases w:val="BVI fnr Car Car Char Char Char Char,BVI fnr Car Char Char Char Char,BVI fnr Car Car Car Car Char Char Char1 Char,BVI fnr Car Car Car Car Char Char Char Char Char Char Char,BVI fnr Char1 Char"/>
    <w:basedOn w:val="Normal"/>
    <w:link w:val="FootnoteReference"/>
    <w:uiPriority w:val="99"/>
    <w:pPr>
      <w:spacing w:before="0" w:after="160" w:line="240" w:lineRule="exact"/>
      <w:ind w:firstLine="0"/>
      <w:jc w:val="left"/>
    </w:pPr>
    <w:rPr>
      <w:vertAlign w:val="superscript"/>
    </w:rPr>
  </w:style>
  <w:style w:type="paragraph" w:customStyle="1" w:styleId="noidung01">
    <w:name w:val="noi dung 01"/>
    <w:basedOn w:val="Normal"/>
    <w:qFormat/>
    <w:pPr>
      <w:tabs>
        <w:tab w:val="left" w:pos="851"/>
      </w:tabs>
      <w:spacing w:after="40" w:line="276" w:lineRule="auto"/>
      <w:ind w:firstLine="567"/>
    </w:pPr>
    <w:rPr>
      <w:rFonts w:eastAsia="Arial" w:cs="Arial"/>
      <w:spacing w:val="-4"/>
      <w:szCs w:val="24"/>
      <w:lang w:val="it-IT"/>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NormalWeb">
    <w:name w:val="Normal (Web)"/>
    <w:aliases w:val="Char Char Char Char Char Char Char Char Char Char Char Char Char Char Char,Char Char Char Char Char Char Char Char Char Char Char Char,Char Char Cha"/>
    <w:basedOn w:val="Normal"/>
    <w:link w:val="NormalWebChar"/>
    <w:uiPriority w:val="99"/>
    <w:unhideWhenUsed/>
    <w:pPr>
      <w:spacing w:before="100" w:beforeAutospacing="1" w:after="100" w:afterAutospacing="1"/>
      <w:ind w:firstLine="0"/>
      <w:jc w:val="left"/>
    </w:pPr>
    <w:rPr>
      <w:rFonts w:eastAsia="Times New Roman"/>
      <w:szCs w:val="24"/>
    </w:rPr>
  </w:style>
  <w:style w:type="paragraph" w:styleId="BodyText">
    <w:name w:val="Body Text"/>
    <w:basedOn w:val="Normal"/>
    <w:link w:val="BodyTextChar"/>
    <w:qFormat/>
    <w:pPr>
      <w:spacing w:before="40" w:after="40" w:line="320" w:lineRule="exact"/>
      <w:ind w:firstLine="0"/>
    </w:pPr>
    <w:rPr>
      <w:rFonts w:ascii=".VnTimeH" w:eastAsia="Times New Roman" w:hAnsi=".VnTimeH"/>
      <w:sz w:val="26"/>
      <w:szCs w:val="20"/>
    </w:rPr>
  </w:style>
  <w:style w:type="character" w:customStyle="1" w:styleId="BodyTextChar">
    <w:name w:val="Body Text Char"/>
    <w:link w:val="BodyText"/>
    <w:rPr>
      <w:rFonts w:ascii=".VnTimeH" w:eastAsia="Times New Roman" w:hAnsi=".VnTimeH" w:cs="Times New Roman"/>
      <w:sz w:val="26"/>
      <w:szCs w:val="20"/>
    </w:rPr>
  </w:style>
  <w:style w:type="paragraph" w:styleId="Header">
    <w:name w:val="header"/>
    <w:basedOn w:val="Normal"/>
    <w:link w:val="HeaderChar"/>
    <w:uiPriority w:val="99"/>
    <w:unhideWhenUsed/>
    <w:pPr>
      <w:tabs>
        <w:tab w:val="center" w:pos="4680"/>
        <w:tab w:val="right" w:pos="9360"/>
      </w:tabs>
      <w:spacing w:before="0"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before="0" w:after="0"/>
    </w:pPr>
  </w:style>
  <w:style w:type="character" w:customStyle="1" w:styleId="FooterChar">
    <w:name w:val="Footer Char"/>
    <w:basedOn w:val="DefaultParagraphFont"/>
    <w:link w:val="Footer"/>
    <w:uiPriority w:val="99"/>
  </w:style>
  <w:style w:type="character" w:customStyle="1" w:styleId="NormalWebChar">
    <w:name w:val="Normal (Web) Char"/>
    <w:aliases w:val="Char Char Char Char Char Char Char Char Char Char Char Char Char Char Char Char,Char Char Char Char Char Char Char Char Char Char Char Char Char,Char Char Cha Char"/>
    <w:link w:val="NormalWeb"/>
    <w:uiPriority w:val="99"/>
    <w:rPr>
      <w:rFonts w:eastAsia="Times New Roman"/>
      <w:sz w:val="24"/>
      <w:szCs w:val="24"/>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style>
  <w:style w:type="character" w:styleId="EndnoteReference">
    <w:name w:val="endnote reference"/>
    <w:basedOn w:val="DefaultParagraphFont"/>
    <w:uiPriority w:val="99"/>
    <w:semiHidden/>
    <w:unhideWhenUsed/>
    <w:rPr>
      <w:vertAlign w:val="superscript"/>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character" w:customStyle="1" w:styleId="fontstyle21">
    <w:name w:val="fontstyle21"/>
    <w:rPr>
      <w:rFonts w:ascii="TimesNewRomanPS-ItalicMT" w:hAnsi="TimesNewRomanPS-ItalicMT" w:hint="default"/>
      <w:b w:val="0"/>
      <w:bCs w:val="0"/>
      <w:i/>
      <w:iCs/>
      <w:color w:val="000000"/>
      <w:sz w:val="30"/>
      <w:szCs w:val="30"/>
    </w:rPr>
  </w:style>
  <w:style w:type="character" w:customStyle="1" w:styleId="fontstyle31">
    <w:name w:val="fontstyle31"/>
    <w:rPr>
      <w:rFonts w:ascii="TimesNewRomanPS-ItalicMT" w:hAnsi="TimesNewRomanPS-ItalicMT" w:hint="default"/>
      <w:b w:val="0"/>
      <w:bCs w:val="0"/>
      <w:i/>
      <w:iCs/>
      <w:color w:val="000000"/>
      <w:sz w:val="30"/>
      <w:szCs w:val="30"/>
    </w:rPr>
  </w:style>
  <w:style w:type="character" w:customStyle="1" w:styleId="fontstyle41">
    <w:name w:val="fontstyle41"/>
    <w:rPr>
      <w:rFonts w:ascii="TimesNewRomanPS-BoldItalicMT" w:hAnsi="TimesNewRomanPS-BoldItalicMT" w:hint="default"/>
      <w:b/>
      <w:bCs/>
      <w:i/>
      <w:iCs/>
      <w:color w:val="000000"/>
      <w:sz w:val="24"/>
      <w:szCs w:val="24"/>
    </w:rPr>
  </w:style>
  <w:style w:type="paragraph" w:customStyle="1" w:styleId="CharCharChar1CharCharCharCharCharChar1Char">
    <w:name w:val="Char Char Char1 Char Char Char Char Char Char1 Char"/>
    <w:basedOn w:val="Normal"/>
    <w:pPr>
      <w:spacing w:before="0" w:after="160" w:line="240" w:lineRule="exact"/>
      <w:ind w:firstLine="0"/>
      <w:jc w:val="left"/>
    </w:pPr>
    <w:rPr>
      <w:rFonts w:ascii="Verdana" w:eastAsia="Times New Roman" w:hAnsi="Verdana"/>
      <w:sz w:val="20"/>
      <w:szCs w:val="20"/>
      <w:lang w:val="en-GB"/>
    </w:rPr>
  </w:style>
  <w:style w:type="paragraph" w:styleId="Revision">
    <w:name w:val="Revision"/>
    <w:hidden/>
    <w:uiPriority w:val="99"/>
    <w:semiHidden/>
    <w:rPr>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ind w:firstLine="720"/>
      <w:jc w:val="both"/>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pPr>
      <w:spacing w:before="0" w:after="0"/>
      <w:ind w:firstLine="0"/>
      <w:jc w:val="left"/>
    </w:pPr>
    <w:rPr>
      <w:rFonts w:eastAsia="MS Mincho"/>
      <w:sz w:val="20"/>
      <w:szCs w:val="20"/>
      <w:lang w:eastAsia="ja-JP"/>
    </w:rPr>
  </w:style>
  <w:style w:type="character" w:customStyle="1" w:styleId="FootnoteTextChar">
    <w:name w:val="Footnote Text Char"/>
    <w:link w:val="FootnoteText"/>
    <w:uiPriority w:val="99"/>
    <w:rPr>
      <w:rFonts w:eastAsia="MS Mincho" w:cs="Times New Roman"/>
      <w:sz w:val="20"/>
      <w:szCs w:val="20"/>
      <w:lang w:eastAsia="ja-JP"/>
    </w:rPr>
  </w:style>
  <w:style w:type="character" w:styleId="FootnoteReference">
    <w:name w:val="footnote reference"/>
    <w:aliases w:val="BVI fnr Char Char Char Char Char,BVI fnr Car Car Char Char Char Char Char,BVI fnr Car Char Char Char Char Char,BVI fnr Car Car Car Car Char Char Char1 Char Char,BVI fnr Car Car Car Car Char Char Char Char Char Char Char Char"/>
    <w:link w:val="BVIfnrCharCharCharChar"/>
    <w:uiPriority w:val="99"/>
    <w:rPr>
      <w:vertAlign w:val="superscript"/>
    </w:rPr>
  </w:style>
  <w:style w:type="paragraph" w:customStyle="1" w:styleId="BVIfnrCharCharCharChar">
    <w:name w:val="BVI fnr Char Char Char Char"/>
    <w:aliases w:val="BVI fnr Car Car Char Char Char Char,BVI fnr Car Char Char Char Char,BVI fnr Car Car Car Car Char Char Char1 Char,BVI fnr Car Car Car Car Char Char Char Char Char Char Char,BVI fnr Char1 Char"/>
    <w:basedOn w:val="Normal"/>
    <w:link w:val="FootnoteReference"/>
    <w:uiPriority w:val="99"/>
    <w:pPr>
      <w:spacing w:before="0" w:after="160" w:line="240" w:lineRule="exact"/>
      <w:ind w:firstLine="0"/>
      <w:jc w:val="left"/>
    </w:pPr>
    <w:rPr>
      <w:vertAlign w:val="superscript"/>
    </w:rPr>
  </w:style>
  <w:style w:type="paragraph" w:customStyle="1" w:styleId="noidung01">
    <w:name w:val="noi dung 01"/>
    <w:basedOn w:val="Normal"/>
    <w:qFormat/>
    <w:pPr>
      <w:tabs>
        <w:tab w:val="left" w:pos="851"/>
      </w:tabs>
      <w:spacing w:after="40" w:line="276" w:lineRule="auto"/>
      <w:ind w:firstLine="567"/>
    </w:pPr>
    <w:rPr>
      <w:rFonts w:eastAsia="Arial" w:cs="Arial"/>
      <w:spacing w:val="-4"/>
      <w:szCs w:val="24"/>
      <w:lang w:val="it-IT"/>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NormalWeb">
    <w:name w:val="Normal (Web)"/>
    <w:aliases w:val="Char Char Char Char Char Char Char Char Char Char Char Char Char Char Char,Char Char Char Char Char Char Char Char Char Char Char Char,Char Char Cha"/>
    <w:basedOn w:val="Normal"/>
    <w:link w:val="NormalWebChar"/>
    <w:uiPriority w:val="99"/>
    <w:unhideWhenUsed/>
    <w:pPr>
      <w:spacing w:before="100" w:beforeAutospacing="1" w:after="100" w:afterAutospacing="1"/>
      <w:ind w:firstLine="0"/>
      <w:jc w:val="left"/>
    </w:pPr>
    <w:rPr>
      <w:rFonts w:eastAsia="Times New Roman"/>
      <w:szCs w:val="24"/>
    </w:rPr>
  </w:style>
  <w:style w:type="paragraph" w:styleId="BodyText">
    <w:name w:val="Body Text"/>
    <w:basedOn w:val="Normal"/>
    <w:link w:val="BodyTextChar"/>
    <w:qFormat/>
    <w:pPr>
      <w:spacing w:before="40" w:after="40" w:line="320" w:lineRule="exact"/>
      <w:ind w:firstLine="0"/>
    </w:pPr>
    <w:rPr>
      <w:rFonts w:ascii=".VnTimeH" w:eastAsia="Times New Roman" w:hAnsi=".VnTimeH"/>
      <w:sz w:val="26"/>
      <w:szCs w:val="20"/>
    </w:rPr>
  </w:style>
  <w:style w:type="character" w:customStyle="1" w:styleId="BodyTextChar">
    <w:name w:val="Body Text Char"/>
    <w:link w:val="BodyText"/>
    <w:rPr>
      <w:rFonts w:ascii=".VnTimeH" w:eastAsia="Times New Roman" w:hAnsi=".VnTimeH" w:cs="Times New Roman"/>
      <w:sz w:val="26"/>
      <w:szCs w:val="20"/>
    </w:rPr>
  </w:style>
  <w:style w:type="paragraph" w:styleId="Header">
    <w:name w:val="header"/>
    <w:basedOn w:val="Normal"/>
    <w:link w:val="HeaderChar"/>
    <w:uiPriority w:val="99"/>
    <w:unhideWhenUsed/>
    <w:pPr>
      <w:tabs>
        <w:tab w:val="center" w:pos="4680"/>
        <w:tab w:val="right" w:pos="9360"/>
      </w:tabs>
      <w:spacing w:before="0"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before="0" w:after="0"/>
    </w:pPr>
  </w:style>
  <w:style w:type="character" w:customStyle="1" w:styleId="FooterChar">
    <w:name w:val="Footer Char"/>
    <w:basedOn w:val="DefaultParagraphFont"/>
    <w:link w:val="Footer"/>
    <w:uiPriority w:val="99"/>
  </w:style>
  <w:style w:type="character" w:customStyle="1" w:styleId="NormalWebChar">
    <w:name w:val="Normal (Web) Char"/>
    <w:aliases w:val="Char Char Char Char Char Char Char Char Char Char Char Char Char Char Char Char,Char Char Char Char Char Char Char Char Char Char Char Char Char,Char Char Cha Char"/>
    <w:link w:val="NormalWeb"/>
    <w:uiPriority w:val="99"/>
    <w:rPr>
      <w:rFonts w:eastAsia="Times New Roman"/>
      <w:sz w:val="24"/>
      <w:szCs w:val="24"/>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style>
  <w:style w:type="character" w:styleId="EndnoteReference">
    <w:name w:val="endnote reference"/>
    <w:basedOn w:val="DefaultParagraphFont"/>
    <w:uiPriority w:val="99"/>
    <w:semiHidden/>
    <w:unhideWhenUsed/>
    <w:rPr>
      <w:vertAlign w:val="superscript"/>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character" w:customStyle="1" w:styleId="fontstyle21">
    <w:name w:val="fontstyle21"/>
    <w:rPr>
      <w:rFonts w:ascii="TimesNewRomanPS-ItalicMT" w:hAnsi="TimesNewRomanPS-ItalicMT" w:hint="default"/>
      <w:b w:val="0"/>
      <w:bCs w:val="0"/>
      <w:i/>
      <w:iCs/>
      <w:color w:val="000000"/>
      <w:sz w:val="30"/>
      <w:szCs w:val="30"/>
    </w:rPr>
  </w:style>
  <w:style w:type="character" w:customStyle="1" w:styleId="fontstyle31">
    <w:name w:val="fontstyle31"/>
    <w:rPr>
      <w:rFonts w:ascii="TimesNewRomanPS-ItalicMT" w:hAnsi="TimesNewRomanPS-ItalicMT" w:hint="default"/>
      <w:b w:val="0"/>
      <w:bCs w:val="0"/>
      <w:i/>
      <w:iCs/>
      <w:color w:val="000000"/>
      <w:sz w:val="30"/>
      <w:szCs w:val="30"/>
    </w:rPr>
  </w:style>
  <w:style w:type="character" w:customStyle="1" w:styleId="fontstyle41">
    <w:name w:val="fontstyle41"/>
    <w:rPr>
      <w:rFonts w:ascii="TimesNewRomanPS-BoldItalicMT" w:hAnsi="TimesNewRomanPS-BoldItalicMT" w:hint="default"/>
      <w:b/>
      <w:bCs/>
      <w:i/>
      <w:iCs/>
      <w:color w:val="000000"/>
      <w:sz w:val="24"/>
      <w:szCs w:val="24"/>
    </w:rPr>
  </w:style>
  <w:style w:type="paragraph" w:customStyle="1" w:styleId="CharCharChar1CharCharCharCharCharChar1Char">
    <w:name w:val="Char Char Char1 Char Char Char Char Char Char1 Char"/>
    <w:basedOn w:val="Normal"/>
    <w:pPr>
      <w:spacing w:before="0" w:after="160" w:line="240" w:lineRule="exact"/>
      <w:ind w:firstLine="0"/>
      <w:jc w:val="left"/>
    </w:pPr>
    <w:rPr>
      <w:rFonts w:ascii="Verdana" w:eastAsia="Times New Roman" w:hAnsi="Verdana"/>
      <w:sz w:val="20"/>
      <w:szCs w:val="20"/>
      <w:lang w:val="en-GB"/>
    </w:rPr>
  </w:style>
  <w:style w:type="paragraph" w:styleId="Revision">
    <w:name w:val="Revision"/>
    <w:hidden/>
    <w:uiPriority w:val="99"/>
    <w:semiHidden/>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62103">
      <w:bodyDiv w:val="1"/>
      <w:marLeft w:val="0"/>
      <w:marRight w:val="0"/>
      <w:marTop w:val="0"/>
      <w:marBottom w:val="0"/>
      <w:divBdr>
        <w:top w:val="none" w:sz="0" w:space="0" w:color="auto"/>
        <w:left w:val="none" w:sz="0" w:space="0" w:color="auto"/>
        <w:bottom w:val="none" w:sz="0" w:space="0" w:color="auto"/>
        <w:right w:val="none" w:sz="0" w:space="0" w:color="auto"/>
      </w:divBdr>
    </w:div>
    <w:div w:id="253638070">
      <w:bodyDiv w:val="1"/>
      <w:marLeft w:val="0"/>
      <w:marRight w:val="0"/>
      <w:marTop w:val="0"/>
      <w:marBottom w:val="0"/>
      <w:divBdr>
        <w:top w:val="none" w:sz="0" w:space="0" w:color="auto"/>
        <w:left w:val="none" w:sz="0" w:space="0" w:color="auto"/>
        <w:bottom w:val="none" w:sz="0" w:space="0" w:color="auto"/>
        <w:right w:val="none" w:sz="0" w:space="0" w:color="auto"/>
      </w:divBdr>
    </w:div>
    <w:div w:id="581718934">
      <w:bodyDiv w:val="1"/>
      <w:marLeft w:val="0"/>
      <w:marRight w:val="0"/>
      <w:marTop w:val="0"/>
      <w:marBottom w:val="0"/>
      <w:divBdr>
        <w:top w:val="none" w:sz="0" w:space="0" w:color="auto"/>
        <w:left w:val="none" w:sz="0" w:space="0" w:color="auto"/>
        <w:bottom w:val="none" w:sz="0" w:space="0" w:color="auto"/>
        <w:right w:val="none" w:sz="0" w:space="0" w:color="auto"/>
      </w:divBdr>
    </w:div>
    <w:div w:id="624234428">
      <w:bodyDiv w:val="1"/>
      <w:marLeft w:val="0"/>
      <w:marRight w:val="0"/>
      <w:marTop w:val="0"/>
      <w:marBottom w:val="0"/>
      <w:divBdr>
        <w:top w:val="none" w:sz="0" w:space="0" w:color="auto"/>
        <w:left w:val="none" w:sz="0" w:space="0" w:color="auto"/>
        <w:bottom w:val="none" w:sz="0" w:space="0" w:color="auto"/>
        <w:right w:val="none" w:sz="0" w:space="0" w:color="auto"/>
      </w:divBdr>
    </w:div>
    <w:div w:id="706374885">
      <w:bodyDiv w:val="1"/>
      <w:marLeft w:val="0"/>
      <w:marRight w:val="0"/>
      <w:marTop w:val="0"/>
      <w:marBottom w:val="0"/>
      <w:divBdr>
        <w:top w:val="none" w:sz="0" w:space="0" w:color="auto"/>
        <w:left w:val="none" w:sz="0" w:space="0" w:color="auto"/>
        <w:bottom w:val="none" w:sz="0" w:space="0" w:color="auto"/>
        <w:right w:val="none" w:sz="0" w:space="0" w:color="auto"/>
      </w:divBdr>
    </w:div>
    <w:div w:id="719130702">
      <w:bodyDiv w:val="1"/>
      <w:marLeft w:val="0"/>
      <w:marRight w:val="0"/>
      <w:marTop w:val="0"/>
      <w:marBottom w:val="0"/>
      <w:divBdr>
        <w:top w:val="none" w:sz="0" w:space="0" w:color="auto"/>
        <w:left w:val="none" w:sz="0" w:space="0" w:color="auto"/>
        <w:bottom w:val="none" w:sz="0" w:space="0" w:color="auto"/>
        <w:right w:val="none" w:sz="0" w:space="0" w:color="auto"/>
      </w:divBdr>
    </w:div>
    <w:div w:id="858085593">
      <w:bodyDiv w:val="1"/>
      <w:marLeft w:val="0"/>
      <w:marRight w:val="0"/>
      <w:marTop w:val="0"/>
      <w:marBottom w:val="0"/>
      <w:divBdr>
        <w:top w:val="none" w:sz="0" w:space="0" w:color="auto"/>
        <w:left w:val="none" w:sz="0" w:space="0" w:color="auto"/>
        <w:bottom w:val="none" w:sz="0" w:space="0" w:color="auto"/>
        <w:right w:val="none" w:sz="0" w:space="0" w:color="auto"/>
      </w:divBdr>
    </w:div>
    <w:div w:id="963540263">
      <w:bodyDiv w:val="1"/>
      <w:marLeft w:val="0"/>
      <w:marRight w:val="0"/>
      <w:marTop w:val="0"/>
      <w:marBottom w:val="0"/>
      <w:divBdr>
        <w:top w:val="none" w:sz="0" w:space="0" w:color="auto"/>
        <w:left w:val="none" w:sz="0" w:space="0" w:color="auto"/>
        <w:bottom w:val="none" w:sz="0" w:space="0" w:color="auto"/>
        <w:right w:val="none" w:sz="0" w:space="0" w:color="auto"/>
      </w:divBdr>
    </w:div>
    <w:div w:id="1495758036">
      <w:bodyDiv w:val="1"/>
      <w:marLeft w:val="0"/>
      <w:marRight w:val="0"/>
      <w:marTop w:val="0"/>
      <w:marBottom w:val="0"/>
      <w:divBdr>
        <w:top w:val="none" w:sz="0" w:space="0" w:color="auto"/>
        <w:left w:val="none" w:sz="0" w:space="0" w:color="auto"/>
        <w:bottom w:val="none" w:sz="0" w:space="0" w:color="auto"/>
        <w:right w:val="none" w:sz="0" w:space="0" w:color="auto"/>
      </w:divBdr>
    </w:div>
    <w:div w:id="1524711156">
      <w:bodyDiv w:val="1"/>
      <w:marLeft w:val="0"/>
      <w:marRight w:val="0"/>
      <w:marTop w:val="0"/>
      <w:marBottom w:val="0"/>
      <w:divBdr>
        <w:top w:val="none" w:sz="0" w:space="0" w:color="auto"/>
        <w:left w:val="none" w:sz="0" w:space="0" w:color="auto"/>
        <w:bottom w:val="none" w:sz="0" w:space="0" w:color="auto"/>
        <w:right w:val="none" w:sz="0" w:space="0" w:color="auto"/>
      </w:divBdr>
    </w:div>
    <w:div w:id="1535846854">
      <w:bodyDiv w:val="1"/>
      <w:marLeft w:val="0"/>
      <w:marRight w:val="0"/>
      <w:marTop w:val="0"/>
      <w:marBottom w:val="0"/>
      <w:divBdr>
        <w:top w:val="none" w:sz="0" w:space="0" w:color="auto"/>
        <w:left w:val="none" w:sz="0" w:space="0" w:color="auto"/>
        <w:bottom w:val="none" w:sz="0" w:space="0" w:color="auto"/>
        <w:right w:val="none" w:sz="0" w:space="0" w:color="auto"/>
      </w:divBdr>
    </w:div>
    <w:div w:id="1749617460">
      <w:bodyDiv w:val="1"/>
      <w:marLeft w:val="0"/>
      <w:marRight w:val="0"/>
      <w:marTop w:val="0"/>
      <w:marBottom w:val="0"/>
      <w:divBdr>
        <w:top w:val="none" w:sz="0" w:space="0" w:color="auto"/>
        <w:left w:val="none" w:sz="0" w:space="0" w:color="auto"/>
        <w:bottom w:val="none" w:sz="0" w:space="0" w:color="auto"/>
        <w:right w:val="none" w:sz="0" w:space="0" w:color="auto"/>
      </w:divBdr>
    </w:div>
    <w:div w:id="1959676225">
      <w:bodyDiv w:val="1"/>
      <w:marLeft w:val="0"/>
      <w:marRight w:val="0"/>
      <w:marTop w:val="0"/>
      <w:marBottom w:val="0"/>
      <w:divBdr>
        <w:top w:val="none" w:sz="0" w:space="0" w:color="auto"/>
        <w:left w:val="none" w:sz="0" w:space="0" w:color="auto"/>
        <w:bottom w:val="none" w:sz="0" w:space="0" w:color="auto"/>
        <w:right w:val="none" w:sz="0" w:space="0" w:color="auto"/>
      </w:divBdr>
    </w:div>
    <w:div w:id="2091391310">
      <w:bodyDiv w:val="1"/>
      <w:marLeft w:val="0"/>
      <w:marRight w:val="0"/>
      <w:marTop w:val="0"/>
      <w:marBottom w:val="0"/>
      <w:divBdr>
        <w:top w:val="none" w:sz="0" w:space="0" w:color="auto"/>
        <w:left w:val="none" w:sz="0" w:space="0" w:color="auto"/>
        <w:bottom w:val="none" w:sz="0" w:space="0" w:color="auto"/>
        <w:right w:val="none" w:sz="0" w:space="0" w:color="auto"/>
      </w:divBdr>
    </w:div>
    <w:div w:id="210830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B847B-44E8-46A5-84A2-4CCE6382B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1780</Words>
  <Characters>10147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Phòng Tổng hợp UBND tỉnh Hà Tĩnh</vt:lpstr>
    </vt:vector>
  </TitlesOfParts>
  <Company>Truong</Company>
  <LinksUpToDate>false</LinksUpToDate>
  <CharactersWithSpaces>11904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Tổng hợp UBND tỉnh Hà Tĩnh</dc:title>
  <dc:creator>Phòng Tổng hợp UBND tỉnh Hà Tĩnh</dc:creator>
  <cp:lastModifiedBy>Admin</cp:lastModifiedBy>
  <cp:revision>999</cp:revision>
  <cp:lastPrinted>2024-09-18T08:36:00Z</cp:lastPrinted>
  <dcterms:created xsi:type="dcterms:W3CDTF">2024-09-24T08:13:00Z</dcterms:created>
  <dcterms:modified xsi:type="dcterms:W3CDTF">2024-09-26T00:46:00Z</dcterms:modified>
  <cp:contentStatus/>
</cp:coreProperties>
</file>