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6"/>
        <w:gridCol w:w="145"/>
        <w:gridCol w:w="5647"/>
      </w:tblGrid>
      <w:tr w:rsidR="009E44D3">
        <w:trPr>
          <w:trHeight w:val="849"/>
          <w:jc w:val="center"/>
        </w:trPr>
        <w:tc>
          <w:tcPr>
            <w:tcW w:w="1882" w:type="pct"/>
            <w:shd w:val="clear" w:color="auto" w:fill="auto"/>
          </w:tcPr>
          <w:p w:rsidR="009E44D3" w:rsidRDefault="002A6BCD">
            <w:pPr>
              <w:jc w:val="center"/>
              <w:rPr>
                <w:sz w:val="26"/>
                <w:szCs w:val="26"/>
              </w:rPr>
            </w:pPr>
            <w:r>
              <w:rPr>
                <w:b/>
                <w:sz w:val="26"/>
                <w:szCs w:val="26"/>
              </w:rPr>
              <w:t>HỘI ĐỒNG NHÂN DÂN</w:t>
            </w:r>
          </w:p>
          <w:p w:rsidR="009E44D3" w:rsidRDefault="002A6BCD">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"/>
                  </w:pict>
                </mc:Fallback>
              </mc:AlternateContent>
            </w:r>
            <w:r>
              <w:rPr>
                <w:b/>
                <w:sz w:val="26"/>
                <w:szCs w:val="26"/>
              </w:rPr>
              <w:t>TỈNH HÀ TĨNH</w:t>
            </w:r>
          </w:p>
        </w:tc>
        <w:tc>
          <w:tcPr>
            <w:tcW w:w="3118" w:type="pct"/>
            <w:gridSpan w:val="2"/>
            <w:shd w:val="clear" w:color="auto" w:fill="auto"/>
          </w:tcPr>
          <w:p w:rsidR="009E44D3" w:rsidRDefault="002A6BCD">
            <w:pPr>
              <w:jc w:val="center"/>
              <w:rPr>
                <w:b/>
                <w:bCs/>
                <w:w w:val="95"/>
                <w:sz w:val="26"/>
                <w:szCs w:val="26"/>
              </w:rPr>
            </w:pPr>
            <w:r>
              <w:rPr>
                <w:b/>
                <w:bCs/>
                <w:w w:val="95"/>
                <w:sz w:val="26"/>
                <w:szCs w:val="26"/>
              </w:rPr>
              <w:t>CỘNG HÒA XÃ HỘI CHỦ NGHĨA VIỆT NAM</w:t>
            </w:r>
          </w:p>
          <w:p w:rsidR="009E44D3" w:rsidRDefault="002A6BCD">
            <w:pPr>
              <w:jc w:val="center"/>
              <w:rPr>
                <w:b/>
                <w:bCs/>
                <w:sz w:val="26"/>
                <w:szCs w:val="26"/>
              </w:rPr>
            </w:pPr>
            <w:r>
              <w:rPr>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97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"/>
                  </w:pict>
                </mc:Fallback>
              </mc:AlternateContent>
            </w:r>
            <w:r>
              <w:rPr>
                <w:b/>
                <w:bCs/>
                <w:sz w:val="26"/>
                <w:szCs w:val="26"/>
              </w:rPr>
              <w:t>Độc lập - Tự do - Hạnh phúc</w:t>
            </w:r>
          </w:p>
        </w:tc>
      </w:tr>
      <w:tr w:rsidR="009E44D3">
        <w:trPr>
          <w:trHeight w:val="251"/>
          <w:jc w:val="center"/>
        </w:trPr>
        <w:tc>
          <w:tcPr>
            <w:tcW w:w="1960" w:type="pct"/>
            <w:gridSpan w:val="2"/>
            <w:shd w:val="clear" w:color="auto" w:fill="auto"/>
          </w:tcPr>
          <w:p w:rsidR="009E44D3" w:rsidRDefault="002A6BCD" w:rsidP="00E47EAD">
            <w:pPr>
              <w:jc w:val="center"/>
              <w:rPr>
                <w:b/>
                <w:bCs/>
                <w:w w:val="90"/>
                <w:sz w:val="26"/>
                <w:szCs w:val="26"/>
              </w:rPr>
            </w:pPr>
            <w:r>
              <w:rPr>
                <w:sz w:val="26"/>
                <w:szCs w:val="26"/>
              </w:rPr>
              <w:t>Số</w:t>
            </w:r>
            <w:r w:rsidR="00E47EAD">
              <w:rPr>
                <w:sz w:val="26"/>
                <w:szCs w:val="26"/>
              </w:rPr>
              <w:t>: 343</w:t>
            </w:r>
            <w:r>
              <w:rPr>
                <w:sz w:val="26"/>
                <w:szCs w:val="26"/>
              </w:rPr>
              <w:t>/BC-HĐND</w:t>
            </w:r>
          </w:p>
        </w:tc>
        <w:tc>
          <w:tcPr>
            <w:tcW w:w="3040" w:type="pct"/>
            <w:shd w:val="clear" w:color="auto" w:fill="auto"/>
          </w:tcPr>
          <w:p w:rsidR="009E44D3" w:rsidRDefault="002A6BCD" w:rsidP="00E47EAD">
            <w:pPr>
              <w:jc w:val="center"/>
              <w:rPr>
                <w:b/>
                <w:bCs/>
                <w:w w:val="90"/>
                <w:sz w:val="26"/>
                <w:szCs w:val="26"/>
              </w:rPr>
            </w:pPr>
            <w:r>
              <w:rPr>
                <w:i/>
                <w:sz w:val="26"/>
                <w:szCs w:val="26"/>
              </w:rPr>
              <w:t xml:space="preserve">Hà Tĩnh, </w:t>
            </w:r>
            <w:r w:rsidR="00E47EAD">
              <w:rPr>
                <w:i/>
                <w:sz w:val="26"/>
                <w:szCs w:val="26"/>
              </w:rPr>
              <w:t xml:space="preserve">ngày 11 </w:t>
            </w:r>
            <w:r>
              <w:rPr>
                <w:i/>
                <w:sz w:val="26"/>
                <w:szCs w:val="26"/>
              </w:rPr>
              <w:t>tháng 7 năm 2023</w:t>
            </w:r>
          </w:p>
        </w:tc>
      </w:tr>
    </w:tbl>
    <w:p w:rsidR="009E44D3" w:rsidRDefault="009E44D3">
      <w:pPr>
        <w:jc w:val="center"/>
        <w:rPr>
          <w:b/>
          <w:sz w:val="32"/>
        </w:rPr>
      </w:pPr>
    </w:p>
    <w:p w:rsidR="009E44D3" w:rsidRDefault="009E44D3">
      <w:pPr>
        <w:jc w:val="center"/>
        <w:rPr>
          <w:b/>
        </w:rPr>
      </w:pPr>
    </w:p>
    <w:p w:rsidR="009E44D3" w:rsidRDefault="002A6BCD">
      <w:pPr>
        <w:jc w:val="center"/>
        <w:rPr>
          <w:b/>
        </w:rPr>
      </w:pPr>
      <w:r>
        <w:rPr>
          <w:b/>
        </w:rPr>
        <w:t>BÁO CÁO</w:t>
      </w:r>
    </w:p>
    <w:p w:rsidR="009E44D3" w:rsidRDefault="002A6BCD">
      <w:pPr>
        <w:jc w:val="center"/>
        <w:rPr>
          <w:b/>
        </w:rPr>
      </w:pPr>
      <w:r>
        <w:rPr>
          <w:b/>
          <w:iCs/>
          <w:spacing w:val="-6"/>
        </w:rPr>
        <w:t>Thẩm tra Tờ trình và Dự thảo Nghị quyết</w:t>
      </w:r>
      <w:r>
        <w:rPr>
          <w:b/>
        </w:rPr>
        <w:t xml:space="preserve"> quy định về phân cấp quản lý </w:t>
      </w:r>
    </w:p>
    <w:p w:rsidR="009E44D3" w:rsidRDefault="002A6BCD">
      <w:pPr>
        <w:jc w:val="center"/>
        <w:rPr>
          <w:b/>
        </w:rPr>
      </w:pPr>
      <w:r>
        <w:rPr>
          <w:b/>
        </w:rPr>
        <w:t>tài sản công trên địa bàn tỉnh Hà Tĩnh</w:t>
      </w:r>
    </w:p>
    <w:p w:rsidR="009E44D3" w:rsidRDefault="002A6BCD">
      <w:pPr>
        <w:jc w:val="center"/>
        <w:rPr>
          <w:sz w:val="34"/>
        </w:rPr>
      </w:pPr>
      <w:r>
        <w:rPr>
          <w:b/>
          <w:i/>
          <w:iCs/>
          <w:noProof/>
          <w:sz w:val="34"/>
        </w:rPr>
        <mc:AlternateContent>
          <mc:Choice Requires="wps">
            <w:drawing>
              <wp:anchor distT="0" distB="0" distL="114300" distR="114300" simplePos="0" relativeHeight="251659264" behindDoc="0" locked="0" layoutInCell="1" allowOverlap="1" wp14:anchorId="5E06A1A6" wp14:editId="3F744DEC">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"/>
            </w:pict>
          </mc:Fallback>
        </mc:AlternateContent>
      </w:r>
    </w:p>
    <w:p w:rsidR="009E44D3" w:rsidRDefault="002A6BCD">
      <w:pPr>
        <w:spacing w:after="120" w:line="360" w:lineRule="exact"/>
        <w:ind w:firstLine="720"/>
        <w:jc w:val="both"/>
      </w:pPr>
      <w:r>
        <w:rPr>
          <w:lang w:val="vi-VN"/>
        </w:rPr>
        <w:t>Thực hiện chức năng, nhiệm vụ theo quy định và phân công của Thường trực Hội đồng nhân dân tỉnh,</w:t>
      </w:r>
      <w:r>
        <w:t xml:space="preserve"> Ban Kinh tế - Ngân sách báo cáo Hội đồng nhân dân tỉnh kết quả thẩm tra Tờ trình số 253/TTr-UBND ngày 04/7/2023 của Ủy ban nhân dân tỉnh và Dự thảo Nghị quyết quy định về phân cấp quản lý tài sản công trên địa bàn tỉnh Hà Tĩnh như sau:</w:t>
      </w:r>
    </w:p>
    <w:p w:rsidR="009E44D3" w:rsidRDefault="002A6BCD">
      <w:pPr>
        <w:spacing w:after="120" w:line="360" w:lineRule="exact"/>
        <w:ind w:firstLine="720"/>
        <w:jc w:val="both"/>
        <w:rPr>
          <w:b/>
        </w:rPr>
      </w:pPr>
      <w:r>
        <w:rPr>
          <w:b/>
        </w:rPr>
        <w:t>1. Căn cứ pháp lý, sự cần thiết và thẩm quyền ban hành</w:t>
      </w:r>
    </w:p>
    <w:p w:rsidR="009E44D3" w:rsidRDefault="002A6BCD">
      <w:pPr>
        <w:spacing w:after="120" w:line="360" w:lineRule="exact"/>
        <w:ind w:firstLine="720"/>
        <w:jc w:val="both"/>
      </w:pPr>
      <w:r>
        <w:t xml:space="preserve">Phân cấp quản lý tài sản công trên địa bàn tỉnh Hà Tĩnh được Hội đồng nhân dân tỉnh quy định tại Nghị quyết số 114/2018/NQ-HĐND ngày 13/12/2018; </w:t>
      </w:r>
      <w:r>
        <w:rPr>
          <w:lang w:val="it-IT"/>
        </w:rPr>
        <w:t xml:space="preserve">Sau hơn 5 năm thực hiện, Nghị quyết đã tạo cơ sở pháp lý, điều kiện thuận lợi cho các cơ quan, đơn vị trong quản lý sử dụng tài sản nhà nước. Hầu hết các cơ quan, tổ chức, đơn vị thực hiện việc đầu tư, mua sắm, sửa chữa, xử lý tài sản… đúng thẩm quyền, sử dụng đúng mục đích, hiệu quả, đáp ứng kịp thời nhu cầu phục vụ công tác, góp phần giúp công tác quản lý tài sản nhà nước ngày càng đi vào nề nếp, giảm bớt áp lực cho cấp tỉnh, tạo tính chủ động cho đơn vị, địa phương. Tuy nhiên, qua </w:t>
      </w:r>
      <w:r>
        <w:t>quá trình thực hiện cho thấy việc phân cấp, phân quyền quyết định cho chính quyền địa phương, cơ sở còn hạn chế; một số nội dung áp dụng với cơ quan, đơn vị của Đảng ở địa phương, đơn vị lực lượng vũ trang đóng trên địa bàn, mua sắm tập trung chưa phù hợp với quy định hiện hành;…</w:t>
      </w:r>
    </w:p>
    <w:p w:rsidR="009E44D3" w:rsidRDefault="002A6BCD">
      <w:pPr>
        <w:spacing w:after="120" w:line="360" w:lineRule="exact"/>
        <w:ind w:firstLine="709"/>
        <w:jc w:val="both"/>
      </w:pPr>
      <w:r>
        <w:t xml:space="preserve">Để khắc phục các bất cập nêu trên, đồng thời thực hiện chỉ đạo của Chính phủ và Bộ Tài chính về đẩy mạnh phân cấp quản lý nhà nước theo ngành, lĩnh vực; việc </w:t>
      </w:r>
      <w:r>
        <w:rPr>
          <w:lang w:val="pt-BR"/>
        </w:rPr>
        <w:t>Ủy ban nhân dân tỉnh</w:t>
      </w:r>
      <w:r>
        <w:t xml:space="preserve"> rà soát, </w:t>
      </w:r>
      <w:r>
        <w:rPr>
          <w:lang w:val="pt-BR"/>
        </w:rPr>
        <w:t>trình Hội đồng nhân dân tỉnh</w:t>
      </w:r>
      <w:r>
        <w:t xml:space="preserve"> ban hành Nghị quyết quy định về phân cấp quản lý tài sản công trên địa bàn tỉnh để thay thế Nghị quyết số 114/2018/NQ-HĐND là cần thiết và đúng thẩm quyền theo </w:t>
      </w:r>
      <w:r>
        <w:rPr>
          <w:lang w:val="pt-BR"/>
        </w:rPr>
        <w:t>quy định</w:t>
      </w:r>
      <w:r>
        <w:rPr>
          <w:rStyle w:val="FootnoteReference"/>
          <w:lang w:val="pt-BR"/>
        </w:rPr>
        <w:footnoteReference w:id="1"/>
      </w:r>
      <w:r>
        <w:rPr>
          <w:lang w:val="pt-BR"/>
        </w:rPr>
        <w:t xml:space="preserve"> tại khoản 2 Điều 17 Luật Quản lý, sử dụng tài sản công.</w:t>
      </w:r>
      <w:r>
        <w:rPr>
          <w:lang w:val="vi-VN"/>
        </w:rPr>
        <w:t xml:space="preserve"> </w:t>
      </w:r>
    </w:p>
    <w:p w:rsidR="009E44D3" w:rsidRDefault="002A6BCD">
      <w:pPr>
        <w:spacing w:after="120" w:line="360" w:lineRule="exact"/>
        <w:ind w:firstLine="720"/>
        <w:jc w:val="both"/>
        <w:rPr>
          <w:b/>
        </w:rPr>
      </w:pPr>
      <w:r>
        <w:rPr>
          <w:b/>
        </w:rPr>
        <w:t>2. Về nội dung Tờ trình và dự thảo Nghị quyết</w:t>
      </w:r>
    </w:p>
    <w:p w:rsidR="009E44D3" w:rsidRDefault="002A6BCD">
      <w:pPr>
        <w:spacing w:after="120" w:line="360" w:lineRule="exact"/>
        <w:ind w:firstLine="720"/>
        <w:jc w:val="both"/>
        <w:rPr>
          <w:bCs/>
        </w:rPr>
      </w:pPr>
      <w:r>
        <w:lastRenderedPageBreak/>
        <w:t xml:space="preserve">Qua </w:t>
      </w:r>
      <w:r>
        <w:rPr>
          <w:lang w:val="vi-VN"/>
        </w:rPr>
        <w:t>tổ chức làm việc, thảo luận</w:t>
      </w:r>
      <w:r>
        <w:t xml:space="preserve"> với cơ quan soạn thảo và</w:t>
      </w:r>
      <w:r>
        <w:rPr>
          <w:lang w:val="vi-VN"/>
        </w:rPr>
        <w:t xml:space="preserve">  ý kiến các sở, ban, ngành liên quan</w:t>
      </w:r>
      <w:r>
        <w:t xml:space="preserve">, Ban Kinh tế - Ngân sách nhận thấy các nội dung của dự thảo Nghị quyết đảm bảo quy định của pháp </w:t>
      </w:r>
      <w:r>
        <w:rPr>
          <w:lang w:val="vi-VN"/>
        </w:rPr>
        <w:t>luật</w:t>
      </w:r>
      <w:r>
        <w:rPr>
          <w:rStyle w:val="FootnoteReference"/>
        </w:rPr>
        <w:footnoteReference w:id="2"/>
      </w:r>
      <w:r>
        <w:rPr>
          <w:lang w:val="vi-VN"/>
        </w:rPr>
        <w:t>, phù hợp với điều kiện thực tiễn quản lý của địa phương</w:t>
      </w:r>
      <w:r>
        <w:t xml:space="preserve"> và </w:t>
      </w:r>
      <w:r>
        <w:rPr>
          <w:lang w:val="vi-VN"/>
        </w:rPr>
        <w:t>đã được cơ quan t</w:t>
      </w:r>
      <w:r>
        <w:rPr>
          <w:bCs/>
          <w:lang w:val="vi-VN"/>
        </w:rPr>
        <w:t>ư pháp</w:t>
      </w:r>
      <w:r>
        <w:rPr>
          <w:bCs/>
        </w:rPr>
        <w:t xml:space="preserve"> thẩm định</w:t>
      </w:r>
      <w:r>
        <w:rPr>
          <w:rStyle w:val="FootnoteReference"/>
        </w:rPr>
        <w:footnoteReference w:id="3"/>
      </w:r>
      <w:r>
        <w:rPr>
          <w:bCs/>
          <w:lang w:val="vi-VN"/>
        </w:rPr>
        <w:t xml:space="preserve"> </w:t>
      </w:r>
      <w:r>
        <w:rPr>
          <w:iCs/>
        </w:rPr>
        <w:t>theo đúng trình tự, thủ tục ban hành văn bản quy phạm pháp luật</w:t>
      </w:r>
      <w:r>
        <w:rPr>
          <w:spacing w:val="4"/>
          <w:lang w:val="pt-BR"/>
        </w:rPr>
        <w:t>.</w:t>
      </w:r>
      <w:r>
        <w:t xml:space="preserve"> </w:t>
      </w:r>
      <w:r>
        <w:rPr>
          <w:bCs/>
        </w:rPr>
        <w:t xml:space="preserve">Vì vậy, Ban cơ bản thống nhất với các nội dung của dự thảo </w:t>
      </w:r>
      <w:r>
        <w:t>Nghị quyết quy định về phân cấp quản lý tài sản công trên địa bàn tỉnh Hà Tĩnh</w:t>
      </w:r>
      <w:r>
        <w:rPr>
          <w:bCs/>
        </w:rPr>
        <w:t>. Đồng thời đề nghị Hội đồng nhân dân tỉnh thảo luận một số nội dung sau:</w:t>
      </w:r>
    </w:p>
    <w:p w:rsidR="009E44D3" w:rsidRDefault="002A6BCD">
      <w:pPr>
        <w:spacing w:after="120" w:line="360" w:lineRule="exact"/>
        <w:ind w:firstLine="720"/>
        <w:jc w:val="both"/>
      </w:pPr>
      <w:r>
        <w:rPr>
          <w:bCs/>
        </w:rPr>
        <w:t xml:space="preserve">- Tại điểm a khoản 2 Điều 3; điểm a khoản 2 Điều 7 dự thảo Nghị quyết quy định </w:t>
      </w:r>
      <w:r>
        <w:rPr>
          <w:bCs/>
          <w:i/>
        </w:rPr>
        <w:t xml:space="preserve">“Đối với việc mua, bán </w:t>
      </w:r>
      <w:r>
        <w:rPr>
          <w:i/>
          <w:spacing w:val="-2"/>
          <w:lang w:eastAsia="vi-VN"/>
        </w:rPr>
        <w:t>trụ sở làm việc, cơ sở hoạt động sự nghiệp, xe ô tô</w:t>
      </w:r>
      <w:r>
        <w:rPr>
          <w:bCs/>
          <w:i/>
        </w:rPr>
        <w:t xml:space="preserve"> chủ tịch Ủy ban nhân dân tỉnh quyết định sau khi có ý kiến bằng văn bản của Thường trực Hội đồng nhân dân tỉnh”.</w:t>
      </w:r>
      <w:r>
        <w:rPr>
          <w:bCs/>
        </w:rPr>
        <w:t xml:space="preserve"> Theo quy định tại khoản 5 Điều 26 Luật </w:t>
      </w:r>
      <w:r>
        <w:t>Quản lý, sử dụng tài sản công năm 2017,</w:t>
      </w:r>
      <w:r>
        <w:rPr>
          <w:bCs/>
        </w:rPr>
        <w:t xml:space="preserve"> Thường trực Hội đồng nhân dân tỉnh đã có ý kiến về tiêu chuẩn, định mức sử dụng về các loại tài sản công này</w:t>
      </w:r>
      <w:r>
        <w:t>; vì vậy, cần xem xét sự cần thiết xin ý kiến của Thường trực Hội đồng nhân dân tỉnh khi thực hiện mua, bán các loại tài sản trên.</w:t>
      </w:r>
    </w:p>
    <w:p w:rsidR="009E44D3" w:rsidRDefault="002A6BCD">
      <w:pPr>
        <w:spacing w:after="120" w:line="360" w:lineRule="exact"/>
        <w:ind w:firstLine="720"/>
        <w:jc w:val="both"/>
        <w:rPr>
          <w:bCs/>
        </w:rPr>
      </w:pPr>
      <w:r>
        <w:rPr>
          <w:bCs/>
        </w:rPr>
        <w:t xml:space="preserve">- Dự thảo chưa quy định phân cấp đối với nội dung cho thuê tài sản công; </w:t>
      </w:r>
      <w:r>
        <w:rPr>
          <w:color w:val="000000"/>
          <w:shd w:val="clear" w:color="auto" w:fill="FFFFFF"/>
        </w:rPr>
        <w:t>Sử dụng tài sản công vào mục đích kinh doanh, liên doanh, liên kết tại đơn vị sự nghiệp công lập.</w:t>
      </w:r>
    </w:p>
    <w:p w:rsidR="009E44D3" w:rsidRDefault="002A6BCD">
      <w:pPr>
        <w:spacing w:after="120" w:line="360" w:lineRule="exact"/>
        <w:ind w:firstLine="720"/>
        <w:jc w:val="both"/>
      </w:pPr>
      <w:r>
        <w:rPr>
          <w:lang w:val="sq-AL"/>
        </w:rPr>
        <w:t>Căn cứ kết quả thẩm tra nêu trên, Ban Kinh tế - Ngân sách đề nghị Hội đồng nhân dân tỉnh thảo luận, xem xét, quyết định</w:t>
      </w:r>
      <w:r>
        <w:rPr>
          <w:lang w:val="vi-VN"/>
        </w:rPr>
        <w:t>./.</w:t>
      </w:r>
    </w:p>
    <w:p w:rsidR="009E44D3" w:rsidRDefault="009E44D3">
      <w:pPr>
        <w:spacing w:after="40" w:line="252" w:lineRule="auto"/>
        <w:ind w:firstLine="720"/>
        <w:jc w:val="both"/>
        <w:rPr>
          <w:sz w:val="16"/>
          <w:szCs w:val="16"/>
        </w:rPr>
      </w:pPr>
    </w:p>
    <w:tbl>
      <w:tblPr>
        <w:tblW w:w="5000" w:type="pct"/>
        <w:tblLook w:val="0000" w:firstRow="0" w:lastRow="0" w:firstColumn="0" w:lastColumn="0" w:noHBand="0" w:noVBand="0"/>
      </w:tblPr>
      <w:tblGrid>
        <w:gridCol w:w="4785"/>
        <w:gridCol w:w="4503"/>
      </w:tblGrid>
      <w:tr w:rsidR="009E44D3">
        <w:trPr>
          <w:trHeight w:val="1169"/>
        </w:trPr>
        <w:tc>
          <w:tcPr>
            <w:tcW w:w="2576" w:type="pct"/>
          </w:tcPr>
          <w:p w:rsidR="009E44D3" w:rsidRDefault="002A6BCD">
            <w:pPr>
              <w:pStyle w:val="Heading1"/>
              <w:rPr>
                <w:rFonts w:ascii="Times New Roman" w:hAnsi="Times New Roman"/>
                <w:sz w:val="24"/>
                <w:lang w:val="vi-VN"/>
              </w:rPr>
            </w:pPr>
            <w:r>
              <w:rPr>
                <w:rFonts w:ascii="Times New Roman" w:hAnsi="Times New Roman"/>
                <w:i/>
                <w:iCs/>
                <w:sz w:val="24"/>
                <w:lang w:val="vi-VN"/>
              </w:rPr>
              <w:t>Nơi nhận:</w:t>
            </w:r>
          </w:p>
          <w:p w:rsidR="009E44D3" w:rsidRDefault="002A6BCD">
            <w:pPr>
              <w:pStyle w:val="Heading1"/>
              <w:rPr>
                <w:rFonts w:ascii="Times New Roman" w:hAnsi="Times New Roman"/>
                <w:b w:val="0"/>
                <w:sz w:val="22"/>
                <w:szCs w:val="22"/>
                <w:lang w:val="vi-VN"/>
              </w:rPr>
            </w:pPr>
            <w:r>
              <w:rPr>
                <w:rFonts w:ascii="Times New Roman" w:hAnsi="Times New Roman"/>
                <w:b w:val="0"/>
                <w:sz w:val="22"/>
                <w:szCs w:val="22"/>
                <w:lang w:val="vi-VN"/>
              </w:rPr>
              <w:t>- TT Tỉnh ủy, TT HĐND tỉnh;</w:t>
            </w:r>
          </w:p>
          <w:p w:rsidR="009E44D3" w:rsidRDefault="002A6BCD">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Pr>
                <w:rFonts w:ascii="Times New Roman" w:hAnsi="Times New Roman"/>
                <w:b w:val="0"/>
                <w:sz w:val="22"/>
                <w:szCs w:val="22"/>
                <w:lang w:val="vi-VN"/>
              </w:rPr>
              <w:t>tỉnh;</w:t>
            </w:r>
          </w:p>
          <w:p w:rsidR="009E44D3" w:rsidRDefault="002A6BCD">
            <w:pPr>
              <w:pStyle w:val="Heading1"/>
              <w:rPr>
                <w:rFonts w:ascii="Times New Roman" w:hAnsi="Times New Roman"/>
                <w:b w:val="0"/>
                <w:sz w:val="22"/>
                <w:szCs w:val="22"/>
                <w:lang w:val="vi-VN"/>
              </w:rPr>
            </w:pPr>
            <w:r>
              <w:rPr>
                <w:rFonts w:ascii="Times New Roman" w:hAnsi="Times New Roman"/>
                <w:b w:val="0"/>
                <w:sz w:val="22"/>
                <w:szCs w:val="22"/>
                <w:lang w:val="vi-VN"/>
              </w:rPr>
              <w:t>- Các đại biểu HĐND tỉnh</w:t>
            </w:r>
            <w:r>
              <w:rPr>
                <w:rFonts w:ascii="Times New Roman" w:hAnsi="Times New Roman"/>
                <w:b w:val="0"/>
                <w:sz w:val="22"/>
                <w:szCs w:val="22"/>
              </w:rPr>
              <w:t xml:space="preserve"> khóa XVIII</w:t>
            </w:r>
            <w:r>
              <w:rPr>
                <w:rFonts w:ascii="Times New Roman" w:hAnsi="Times New Roman"/>
                <w:b w:val="0"/>
                <w:sz w:val="22"/>
                <w:szCs w:val="22"/>
                <w:lang w:val="vi-VN"/>
              </w:rPr>
              <w:t>;</w:t>
            </w:r>
          </w:p>
          <w:p w:rsidR="009E44D3" w:rsidRDefault="002A6BCD">
            <w:pPr>
              <w:pStyle w:val="Heading1"/>
              <w:rPr>
                <w:rFonts w:ascii="Times New Roman" w:hAnsi="Times New Roman"/>
                <w:b w:val="0"/>
                <w:sz w:val="22"/>
                <w:szCs w:val="22"/>
                <w:lang w:val="vi-VN"/>
              </w:rPr>
            </w:pPr>
            <w:r>
              <w:rPr>
                <w:rFonts w:ascii="Times New Roman" w:hAnsi="Times New Roman"/>
                <w:b w:val="0"/>
                <w:sz w:val="22"/>
                <w:szCs w:val="22"/>
                <w:lang w:val="vi-VN"/>
              </w:rPr>
              <w:t>- Các đại biểu tham dự kỳ họp</w:t>
            </w:r>
            <w:r>
              <w:rPr>
                <w:rFonts w:ascii="Times New Roman" w:hAnsi="Times New Roman"/>
                <w:b w:val="0"/>
                <w:sz w:val="22"/>
                <w:szCs w:val="22"/>
              </w:rPr>
              <w:t xml:space="preserve"> thứ 14</w:t>
            </w:r>
            <w:r>
              <w:rPr>
                <w:rFonts w:ascii="Times New Roman" w:hAnsi="Times New Roman"/>
                <w:b w:val="0"/>
                <w:sz w:val="22"/>
                <w:szCs w:val="22"/>
                <w:lang w:val="vi-VN"/>
              </w:rPr>
              <w:t>;</w:t>
            </w:r>
          </w:p>
          <w:p w:rsidR="009E44D3" w:rsidRDefault="002A6BCD">
            <w:pPr>
              <w:pStyle w:val="Heading1"/>
              <w:rPr>
                <w:rFonts w:ascii="Times New Roman" w:hAnsi="Times New Roman"/>
                <w:b w:val="0"/>
                <w:sz w:val="22"/>
                <w:szCs w:val="22"/>
                <w:lang w:val="vi-VN"/>
              </w:rPr>
            </w:pPr>
            <w:r>
              <w:rPr>
                <w:rFonts w:ascii="Times New Roman" w:hAnsi="Times New Roman"/>
                <w:b w:val="0"/>
                <w:sz w:val="22"/>
                <w:szCs w:val="22"/>
                <w:lang w:val="vi-VN"/>
              </w:rPr>
              <w:t xml:space="preserve">- Văn phòng </w:t>
            </w:r>
            <w:r>
              <w:rPr>
                <w:rFonts w:ascii="Times New Roman" w:hAnsi="Times New Roman"/>
                <w:b w:val="0"/>
                <w:sz w:val="22"/>
                <w:szCs w:val="22"/>
              </w:rPr>
              <w:t>Đoàn ĐBQH và HĐND tỉnh</w:t>
            </w:r>
            <w:r>
              <w:rPr>
                <w:rFonts w:ascii="Times New Roman" w:hAnsi="Times New Roman"/>
                <w:b w:val="0"/>
                <w:sz w:val="22"/>
                <w:szCs w:val="22"/>
                <w:lang w:val="vi-VN"/>
              </w:rPr>
              <w:t>;</w:t>
            </w:r>
          </w:p>
          <w:p w:rsidR="009E44D3" w:rsidRDefault="002A6BCD">
            <w:pPr>
              <w:pStyle w:val="Heading1"/>
              <w:rPr>
                <w:rFonts w:ascii="Times New Roman" w:hAnsi="Times New Roman"/>
                <w:sz w:val="22"/>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4</w:t>
            </w:r>
            <w:r>
              <w:rPr>
                <w:rFonts w:ascii="Times New Roman" w:hAnsi="Times New Roman"/>
                <w:b w:val="0"/>
                <w:sz w:val="22"/>
                <w:szCs w:val="22"/>
              </w:rPr>
              <w:t>.</w:t>
            </w:r>
          </w:p>
          <w:p w:rsidR="009E44D3" w:rsidRDefault="009E44D3">
            <w:pPr>
              <w:rPr>
                <w:sz w:val="22"/>
                <w:szCs w:val="22"/>
                <w:lang w:val="vi-VN"/>
              </w:rPr>
            </w:pPr>
          </w:p>
        </w:tc>
        <w:tc>
          <w:tcPr>
            <w:tcW w:w="2424" w:type="pct"/>
          </w:tcPr>
          <w:p w:rsidR="009E44D3" w:rsidRDefault="002A6BCD">
            <w:pPr>
              <w:jc w:val="center"/>
              <w:rPr>
                <w:b/>
                <w:sz w:val="26"/>
                <w:szCs w:val="26"/>
                <w:lang w:val="vi-VN"/>
              </w:rPr>
            </w:pPr>
            <w:r>
              <w:rPr>
                <w:b/>
                <w:sz w:val="26"/>
                <w:szCs w:val="26"/>
                <w:lang w:val="vi-VN"/>
              </w:rPr>
              <w:t xml:space="preserve">TM. BAN KINH TẾ </w:t>
            </w:r>
            <w:r>
              <w:rPr>
                <w:b/>
                <w:sz w:val="26"/>
                <w:szCs w:val="26"/>
              </w:rPr>
              <w:t xml:space="preserve">- </w:t>
            </w:r>
            <w:r>
              <w:rPr>
                <w:b/>
                <w:sz w:val="26"/>
                <w:szCs w:val="26"/>
                <w:lang w:val="vi-VN"/>
              </w:rPr>
              <w:t>NGÂN SÁCH</w:t>
            </w:r>
          </w:p>
          <w:p w:rsidR="009E44D3" w:rsidRDefault="002A6BCD">
            <w:pPr>
              <w:jc w:val="center"/>
              <w:rPr>
                <w:b/>
                <w:sz w:val="26"/>
                <w:szCs w:val="26"/>
                <w:lang w:val="vi-VN"/>
              </w:rPr>
            </w:pPr>
            <w:r>
              <w:rPr>
                <w:b/>
                <w:sz w:val="26"/>
                <w:szCs w:val="26"/>
                <w:lang w:val="vi-VN"/>
              </w:rPr>
              <w:t>TRƯỞNG BAN</w:t>
            </w:r>
          </w:p>
          <w:p w:rsidR="009E44D3" w:rsidRDefault="009E44D3">
            <w:pPr>
              <w:jc w:val="center"/>
              <w:rPr>
                <w:sz w:val="26"/>
                <w:szCs w:val="26"/>
              </w:rPr>
            </w:pPr>
          </w:p>
          <w:p w:rsidR="009E44D3" w:rsidRDefault="009E44D3">
            <w:pPr>
              <w:jc w:val="center"/>
              <w:rPr>
                <w:b/>
                <w:sz w:val="26"/>
                <w:szCs w:val="26"/>
              </w:rPr>
            </w:pPr>
          </w:p>
          <w:p w:rsidR="009E44D3" w:rsidRDefault="009E44D3">
            <w:pPr>
              <w:jc w:val="center"/>
              <w:rPr>
                <w:b/>
                <w:sz w:val="26"/>
                <w:szCs w:val="26"/>
              </w:rPr>
            </w:pPr>
          </w:p>
          <w:p w:rsidR="009E44D3" w:rsidRDefault="009E44D3">
            <w:pPr>
              <w:jc w:val="center"/>
              <w:rPr>
                <w:i/>
                <w:sz w:val="26"/>
                <w:szCs w:val="26"/>
                <w:lang w:val="nb-NO"/>
              </w:rPr>
            </w:pPr>
          </w:p>
          <w:p w:rsidR="009E44D3" w:rsidRDefault="009E44D3">
            <w:pPr>
              <w:jc w:val="center"/>
              <w:rPr>
                <w:i/>
                <w:sz w:val="26"/>
                <w:szCs w:val="26"/>
                <w:lang w:val="nb-NO"/>
              </w:rPr>
            </w:pPr>
          </w:p>
          <w:p w:rsidR="009E44D3" w:rsidRDefault="009E44D3">
            <w:pPr>
              <w:rPr>
                <w:b/>
                <w:sz w:val="26"/>
                <w:szCs w:val="26"/>
              </w:rPr>
            </w:pPr>
          </w:p>
          <w:p w:rsidR="009E44D3" w:rsidRDefault="009E44D3">
            <w:pPr>
              <w:jc w:val="center"/>
              <w:rPr>
                <w:b/>
                <w:sz w:val="26"/>
                <w:szCs w:val="26"/>
                <w:lang w:val="vi-VN"/>
              </w:rPr>
            </w:pPr>
          </w:p>
          <w:p w:rsidR="009E44D3" w:rsidRDefault="002A6BCD">
            <w:pPr>
              <w:jc w:val="center"/>
              <w:rPr>
                <w:b/>
                <w:lang w:val="es-PR"/>
              </w:rPr>
            </w:pPr>
            <w:r>
              <w:rPr>
                <w:b/>
                <w:lang w:val="es-PR"/>
              </w:rPr>
              <w:t xml:space="preserve">    Nguyễn Thị Thuý Nga</w:t>
            </w:r>
          </w:p>
        </w:tc>
      </w:tr>
    </w:tbl>
    <w:p w:rsidR="009E44D3" w:rsidRDefault="009E44D3"/>
    <w:sectPr w:rsidR="009E44D3">
      <w:headerReference w:type="default" r:id="rId8"/>
      <w:footerReference w:type="even" r:id="rId9"/>
      <w:headerReference w:type="first" r:id="rId10"/>
      <w:pgSz w:w="11909" w:h="16834" w:code="9"/>
      <w:pgMar w:top="1134" w:right="1136"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45" w:rsidRDefault="002F0645">
      <w:r>
        <w:separator/>
      </w:r>
    </w:p>
  </w:endnote>
  <w:endnote w:type="continuationSeparator" w:id="0">
    <w:p w:rsidR="002F0645" w:rsidRDefault="002F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auto"/>
    <w:pitch w:val="variable"/>
    <w:sig w:usb0="00000001"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D3" w:rsidRDefault="002A6B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E44D3" w:rsidRDefault="009E4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45" w:rsidRDefault="002F0645">
      <w:r>
        <w:separator/>
      </w:r>
    </w:p>
  </w:footnote>
  <w:footnote w:type="continuationSeparator" w:id="0">
    <w:p w:rsidR="002F0645" w:rsidRDefault="002F0645">
      <w:r>
        <w:continuationSeparator/>
      </w:r>
    </w:p>
  </w:footnote>
  <w:footnote w:id="1">
    <w:p w:rsidR="009E44D3" w:rsidRDefault="002A6BCD" w:rsidP="00DF5982">
      <w:pPr>
        <w:pStyle w:val="FootnoteText"/>
        <w:ind w:firstLine="720"/>
        <w:jc w:val="both"/>
      </w:pPr>
      <w:bookmarkStart w:id="0" w:name="_GoBack"/>
      <w:r>
        <w:rPr>
          <w:rStyle w:val="FootnoteReference"/>
        </w:rPr>
        <w:footnoteRef/>
      </w:r>
      <w:r>
        <w:t xml:space="preserve"> </w:t>
      </w:r>
      <w:r>
        <w:rPr>
          <w:color w:val="000000"/>
          <w:shd w:val="clear" w:color="auto" w:fill="FFFFFF"/>
        </w:rPr>
        <w:t>Hội đồng nhân dân cấp tỉnh quyết định hoặc phân cấp thẩm quyền quyết định trong việc quản lý, sử dụng tài sản công thuộc phạm vi quản lý của địa phương.</w:t>
      </w:r>
    </w:p>
  </w:footnote>
  <w:footnote w:id="2">
    <w:p w:rsidR="009E44D3" w:rsidRDefault="002A6BCD" w:rsidP="00DF5982">
      <w:pPr>
        <w:pStyle w:val="BodyText"/>
        <w:widowControl w:val="0"/>
        <w:ind w:firstLine="720"/>
        <w:jc w:val="both"/>
        <w:rPr>
          <w:rFonts w:ascii="Times New Roman" w:hAnsi="Times New Roman"/>
          <w:b w:val="0"/>
          <w:lang w:val="en-US"/>
        </w:rPr>
      </w:pPr>
      <w:r>
        <w:rPr>
          <w:rStyle w:val="FootnoteReference"/>
          <w:rFonts w:ascii="Times New Roman" w:hAnsi="Times New Roman"/>
          <w:b w:val="0"/>
        </w:rPr>
        <w:footnoteRef/>
      </w:r>
      <w:r>
        <w:rPr>
          <w:rFonts w:ascii="Times New Roman" w:hAnsi="Times New Roman"/>
          <w:b w:val="0"/>
        </w:rPr>
        <w:t xml:space="preserve"> </w:t>
      </w:r>
      <w:r>
        <w:rPr>
          <w:rFonts w:ascii="Times New Roman" w:hAnsi="Times New Roman"/>
          <w:b w:val="0"/>
          <w:lang w:val="en-US"/>
        </w:rPr>
        <w:t>Luật Quản lý, sử dụng tài sản công ngày 21/6/2017; Nghị định số 129/2017/NĐ-CP ngày 16/11/2017 của Chính phủ quy định việc quản lý, sử dụng và khai thác tài sản kết cấu hạ tầng thuỷ lợi; Nghị định số 151/2017/NĐ-CP ngày 26/12/2017 của Chính phủ quy định chi tiết một số điều của Luật Quản lý, sử dụng tài sản công; Nghị định số 165/2017/NĐ-CP ngày 31/12/2017 của Chính phủ quy định việc quản lý, sử dụng tài sản tại cơ quan Đảng Cộng sản Việt Nam; Nghị định số 29/2018/NĐ-CP ngày 05/3/2018 của Chính phủ quy định trình tự, thủ tục xác lập quyền sở hữu toàn dân về tài sản và xử lý đối với tài sản được xác lập quyền sở hữu toàn dân;…</w:t>
      </w:r>
    </w:p>
  </w:footnote>
  <w:footnote w:id="3">
    <w:p w:rsidR="009E44D3" w:rsidRDefault="002A6BCD" w:rsidP="00DF5982">
      <w:pPr>
        <w:pStyle w:val="BodyText"/>
        <w:widowControl w:val="0"/>
        <w:ind w:firstLine="720"/>
        <w:jc w:val="both"/>
        <w:rPr>
          <w:rFonts w:ascii="Times New Roman" w:hAnsi="Times New Roman"/>
          <w:b w:val="0"/>
          <w:lang w:val="en-US"/>
        </w:rPr>
      </w:pPr>
      <w:r>
        <w:rPr>
          <w:rStyle w:val="FootnoteReference"/>
          <w:rFonts w:ascii="Times New Roman" w:hAnsi="Times New Roman"/>
          <w:b w:val="0"/>
        </w:rPr>
        <w:footnoteRef/>
      </w:r>
      <w:r>
        <w:rPr>
          <w:rFonts w:ascii="Times New Roman" w:hAnsi="Times New Roman"/>
          <w:b w:val="0"/>
        </w:rPr>
        <w:t xml:space="preserve"> </w:t>
      </w:r>
      <w:r>
        <w:rPr>
          <w:rFonts w:ascii="Times New Roman" w:hAnsi="Times New Roman"/>
          <w:b w:val="0"/>
          <w:lang w:val="en-US"/>
        </w:rPr>
        <w:t>Báo cáo thẩm định số 200/BC-STP ngày 22/6/2023 của Sở Tư pháp.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rsidR="009E44D3" w:rsidRDefault="002A6BCD">
        <w:pPr>
          <w:pStyle w:val="Header"/>
          <w:jc w:val="center"/>
        </w:pPr>
        <w:r>
          <w:fldChar w:fldCharType="begin"/>
        </w:r>
        <w:r>
          <w:instrText xml:space="preserve"> PAGE   \* MERGEFORMAT </w:instrText>
        </w:r>
        <w:r>
          <w:fldChar w:fldCharType="separate"/>
        </w:r>
        <w:r w:rsidR="00DF598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D3" w:rsidRDefault="009E44D3">
    <w:pPr>
      <w:pStyle w:val="Header"/>
      <w:jc w:val="cent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D3"/>
    <w:rsid w:val="002A6BCD"/>
    <w:rsid w:val="002F0645"/>
    <w:rsid w:val="009E44D3"/>
    <w:rsid w:val="00DF5982"/>
    <w:rsid w:val="00E4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odyText">
    <w:name w:val="Body Text"/>
    <w:basedOn w:val="Normal"/>
    <w:link w:val="BodyTextChar"/>
    <w:pPr>
      <w:jc w:val="center"/>
    </w:pPr>
    <w:rPr>
      <w:rFonts w:ascii=".VnTime" w:hAnsi=".VnTime"/>
      <w:b/>
      <w:sz w:val="20"/>
      <w:szCs w:val="20"/>
      <w:lang w:val="x-none" w:eastAsia="x-none"/>
    </w:rPr>
  </w:style>
  <w:style w:type="character" w:customStyle="1" w:styleId="BodyTextChar">
    <w:name w:val="Body Text Char"/>
    <w:basedOn w:val="DefaultParagraphFont"/>
    <w:link w:val="BodyText"/>
    <w:rPr>
      <w:rFonts w:ascii=".VnTime" w:hAnsi=".VnTime"/>
      <w:color w:val="auto"/>
      <w:sz w:val="20"/>
      <w:szCs w:val="20"/>
      <w:lang w:val="x-none" w:eastAsia="x-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b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odyText">
    <w:name w:val="Body Text"/>
    <w:basedOn w:val="Normal"/>
    <w:link w:val="BodyTextChar"/>
    <w:pPr>
      <w:jc w:val="center"/>
    </w:pPr>
    <w:rPr>
      <w:rFonts w:ascii=".VnTime" w:hAnsi=".VnTime"/>
      <w:b/>
      <w:sz w:val="20"/>
      <w:szCs w:val="20"/>
      <w:lang w:val="x-none" w:eastAsia="x-none"/>
    </w:rPr>
  </w:style>
  <w:style w:type="character" w:customStyle="1" w:styleId="BodyTextChar">
    <w:name w:val="Body Text Char"/>
    <w:basedOn w:val="DefaultParagraphFont"/>
    <w:link w:val="BodyText"/>
    <w:rPr>
      <w:rFonts w:ascii=".VnTime" w:hAnsi=".VnTime"/>
      <w:color w:val="auto"/>
      <w:sz w:val="20"/>
      <w:szCs w:val="20"/>
      <w:lang w:val="x-none" w:eastAsia="x-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b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1AEB-AD9D-4AAA-BA12-689059E4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18</cp:revision>
  <dcterms:created xsi:type="dcterms:W3CDTF">2023-07-03T10:00:00Z</dcterms:created>
  <dcterms:modified xsi:type="dcterms:W3CDTF">2023-07-11T10:04:00Z</dcterms:modified>
</cp:coreProperties>
</file>