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5" w:type="pct"/>
        <w:tblInd w:w="-426" w:type="dxa"/>
        <w:tblLook w:val="04A0" w:firstRow="1" w:lastRow="0" w:firstColumn="1" w:lastColumn="0" w:noHBand="0" w:noVBand="1"/>
      </w:tblPr>
      <w:tblGrid>
        <w:gridCol w:w="3918"/>
        <w:gridCol w:w="5805"/>
      </w:tblGrid>
      <w:tr w:rsidR="008E2849">
        <w:tc>
          <w:tcPr>
            <w:tcW w:w="2015" w:type="pct"/>
            <w:shd w:val="clear" w:color="auto" w:fill="auto"/>
          </w:tcPr>
          <w:p w:rsidR="008E2849" w:rsidRDefault="00EA658F">
            <w:pPr>
              <w:spacing w:after="0"/>
              <w:ind w:firstLine="0"/>
              <w:jc w:val="center"/>
              <w:rPr>
                <w:b/>
                <w:bCs/>
                <w:color w:val="000000"/>
                <w:sz w:val="26"/>
                <w:szCs w:val="26"/>
              </w:rPr>
            </w:pPr>
            <w:r>
              <w:rPr>
                <w:b/>
                <w:bCs/>
                <w:color w:val="000000"/>
                <w:sz w:val="26"/>
                <w:szCs w:val="26"/>
              </w:rPr>
              <w:t>ỦY BAN NHÂN DÂN</w:t>
            </w:r>
          </w:p>
          <w:p w:rsidR="008E2849" w:rsidRDefault="00EA658F">
            <w:pPr>
              <w:spacing w:after="0"/>
              <w:ind w:firstLine="0"/>
              <w:jc w:val="center"/>
              <w:rPr>
                <w:b/>
                <w:bCs/>
                <w:color w:val="000000"/>
                <w:sz w:val="26"/>
                <w:szCs w:val="26"/>
              </w:rPr>
            </w:pPr>
            <w:r>
              <w:rPr>
                <w:b/>
                <w:bCs/>
                <w:color w:val="000000"/>
                <w:sz w:val="26"/>
                <w:szCs w:val="26"/>
              </w:rPr>
              <w:t>TỈNH HÀ TĨNH</w:t>
            </w:r>
          </w:p>
          <w:p w:rsidR="008E2849" w:rsidRDefault="00EA658F">
            <w:pPr>
              <w:spacing w:after="0"/>
              <w:ind w:firstLine="0"/>
              <w:jc w:val="center"/>
              <w:rPr>
                <w:b/>
                <w:bCs/>
                <w:color w:val="000000"/>
                <w:sz w:val="26"/>
                <w:szCs w:val="26"/>
              </w:rPr>
            </w:pPr>
            <w:r>
              <w:rPr>
                <w:noProof/>
                <w:color w:val="000000"/>
              </w:rPr>
              <mc:AlternateContent>
                <mc:Choice Requires="wps">
                  <w:drawing>
                    <wp:anchor distT="4294967295" distB="4294967295" distL="114300" distR="114300" simplePos="0" relativeHeight="251656704" behindDoc="0" locked="0" layoutInCell="1" allowOverlap="1" wp14:anchorId="6BC595E8" wp14:editId="1614C3B2">
                      <wp:simplePos x="0" y="0"/>
                      <wp:positionH relativeFrom="column">
                        <wp:posOffset>825500</wp:posOffset>
                      </wp:positionH>
                      <wp:positionV relativeFrom="paragraph">
                        <wp:posOffset>33654</wp:posOffset>
                      </wp:positionV>
                      <wp:extent cx="69151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2.65pt" to="11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Tj2QEAAKMDAAAOAAAAZHJzL2Uyb0RvYy54bWysU01v2zAMvQ/YfxB0X5x0SNEZcXpI0F2K&#10;LUC6H8DKsi1MEgVRi51/P0r5WNrdhvkgSKL4yPf4vHqcnBUHHcmgb+RiNpdCe4Wt8X0jf7w8fXqQ&#10;ghL4Fix63cijJvm4/vhhNYZa3+GAttVRMIinegyNHFIKdVWRGrQDmmHQnoMdRgeJj7Gv2ggjoztb&#10;3c3n99WIsQ0RlSbi2+0pKNcFv+u0St+7jnQStpHcWyprLOtrXqv1Cuo+QhiMOrcB/9CFA+O56BVq&#10;CwnEr2j+gnJGRSTs0kyhq7DrjNKFA7NZzN+x2Q8QdOHC4lC4ykT/D1Z9O+yiMG0jeVAeHI9onyKY&#10;fkhig96zgBjFQ9ZpDFTz843fxcxUTX4fnlH9JI5Vb4L5QOH0bOqiy8+ZqpiK7ser7npKQvHl/ZfF&#10;crGUQl1CFdSXvBApfdXoRN400hqfFYEaDs+UcmWoL0/ytccnY22ZqvViZOzPS567AvZWZyHx1gVm&#10;S76XAmzPplUpFkRCa9qcnXHoSBsbxQHYN2y3FscX7lYKC5Q4wBTKl3XhDt6k5na2QMMpuYRONnMm&#10;sdetcSz2bbb1uaIubj2T+qNg3r1ie9zFi8zshFL07Npstdsz72//rfVvAAAA//8DAFBLAwQUAAYA&#10;CAAAACEAXLpNO9sAAAAHAQAADwAAAGRycy9kb3ducmV2LnhtbEyPy07DMBBF90j8gzVI7KhNLaCE&#10;OBUq6oJdCSCxdOPJA+JxFDtt+HsGNmV5dEf3nsnXs+/FAcfYBTJwvVAgkKrgOmoMvL1ur1YgYrLk&#10;bB8IDXxjhHVxfpbbzIUjveChTI3gEoqZNdCmNGRSxqpFb+MiDEic1WH0NjGOjXSjPXK57+VSqVvp&#10;bUe80NoBNy1WX+XkDUy7Ta26rZ4/P3Qpp+e73ftT3RhzeTE/PoBIOKfTMfzqszoU7LQPE7koemat&#10;+Jdk4EaD4HypV/cg9n8si1z+9y9+AAAA//8DAFBLAQItABQABgAIAAAAIQC2gziS/gAAAOEBAAAT&#10;AAAAAAAAAAAAAAAAAAAAAABbQ29udGVudF9UeXBlc10ueG1sUEsBAi0AFAAGAAgAAAAhADj9If/W&#10;AAAAlAEAAAsAAAAAAAAAAAAAAAAALwEAAF9yZWxzLy5yZWxzUEsBAi0AFAAGAAgAAAAhANAU1OPZ&#10;AQAAowMAAA4AAAAAAAAAAAAAAAAALgIAAGRycy9lMm9Eb2MueG1sUEsBAi0AFAAGAAgAAAAhAFy6&#10;TTvbAAAABwEAAA8AAAAAAAAAAAAAAAAAMwQAAGRycy9kb3ducmV2LnhtbFBLBQYAAAAABAAEAPMA&#10;AAA7BQAAAAA=&#10;" strokecolor="windowText" strokeweight=".5pt">
                      <v:stroke joinstyle="miter"/>
                      <o:lock v:ext="edit" shapetype="f"/>
                    </v:line>
                  </w:pict>
                </mc:Fallback>
              </mc:AlternateContent>
            </w:r>
          </w:p>
        </w:tc>
        <w:tc>
          <w:tcPr>
            <w:tcW w:w="2985" w:type="pct"/>
            <w:shd w:val="clear" w:color="auto" w:fill="auto"/>
          </w:tcPr>
          <w:p w:rsidR="008E2849" w:rsidRDefault="00EA658F">
            <w:pPr>
              <w:spacing w:after="0"/>
              <w:ind w:firstLine="0"/>
              <w:jc w:val="center"/>
              <w:rPr>
                <w:b/>
                <w:bCs/>
                <w:color w:val="000000"/>
                <w:sz w:val="26"/>
                <w:szCs w:val="26"/>
              </w:rPr>
            </w:pPr>
            <w:r>
              <w:rPr>
                <w:b/>
                <w:bCs/>
                <w:color w:val="000000"/>
                <w:sz w:val="26"/>
                <w:szCs w:val="26"/>
              </w:rPr>
              <w:t>CỘNG HÒA XÃ HỘI CHỦ NGHĨA VIỆT NAM</w:t>
            </w:r>
          </w:p>
          <w:p w:rsidR="008E2849" w:rsidRDefault="00EA658F">
            <w:pPr>
              <w:spacing w:after="0"/>
              <w:ind w:firstLine="0"/>
              <w:jc w:val="center"/>
              <w:rPr>
                <w:b/>
                <w:bCs/>
                <w:color w:val="000000"/>
                <w:sz w:val="26"/>
                <w:szCs w:val="26"/>
              </w:rPr>
            </w:pPr>
            <w:r>
              <w:rPr>
                <w:noProof/>
                <w:color w:val="000000"/>
              </w:rPr>
              <mc:AlternateContent>
                <mc:Choice Requires="wps">
                  <w:drawing>
                    <wp:anchor distT="4294967295" distB="4294967295" distL="114300" distR="114300" simplePos="0" relativeHeight="251654656" behindDoc="0" locked="0" layoutInCell="1" allowOverlap="1" wp14:anchorId="35A4320C" wp14:editId="7720BA8B">
                      <wp:simplePos x="0" y="0"/>
                      <wp:positionH relativeFrom="column">
                        <wp:posOffset>722468</wp:posOffset>
                      </wp:positionH>
                      <wp:positionV relativeFrom="paragraph">
                        <wp:posOffset>247015</wp:posOffset>
                      </wp:positionV>
                      <wp:extent cx="216027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9pt,19.45pt" to="22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H2gEAAKQDAAAOAAAAZHJzL2Uyb0RvYy54bWysU01v2zAMvQ/YfxB0X5ykWNYacXpI0F2K&#10;LUC6H8DKsi1UEgVRi5N/P0r5WLrdhvkgSCL5yPf0vHw8OCv2OpJB38jZZCqF9gpb4/tG/nh5+nQv&#10;BSXwLVj0upFHTfJx9fHDcgy1nuOAttVRMIinegyNHFIKdVWRGrQDmmDQnoMdRgeJj7Gv2ggjoztb&#10;zafTRTVibENEpYn4dnMKylXB7zqt0veuI52EbSTPlsoay/qa12q1hLqPEAajzmPAP0zhwHhueoXa&#10;QALxM5q/oJxREQm7NFHoKuw6o3ThwGxm0z/Y7AYIunBhcShcZaL/B6u+7bdRmLaRD1J4cPxEuxTB&#10;9EMSa/SeBcQoHrJOY6Ca09d+GzNTdfC78IzqjThWvQvmA4VT2qGLLqczVXEouh+vuutDEoov57PF&#10;dP6Fn0ddYhXUl8IQKX3V6ETeNNIanyWBGvbPlHJrqC8p+drjk7G2PKv1Ymzk4u5zRgY2V2ch8dYF&#10;pku+lwJsz65VKRZEQmvaXJ1x6EhrG8Ue2DjstxbHFx5XCguUOMAcypeF4QneleZxNkDDqbiETj5z&#10;JrHZrXGNvL+ttj531MWuZ1K/Jcy7V2yP23jRma1Qmp5tm712e+b97c+1+gUAAP//AwBQSwMEFAAG&#10;AAgAAAAhALx7E3XeAAAACQEAAA8AAABkcnMvZG93bnJldi54bWxMj81OwzAQhO9IfQdrK3GjTptC&#10;S4hToaIeuLWBShzdePND43UUO214exZxgOPMjma/STejbcUFe984UjCfRSCQCmcaqhS8v+3u1iB8&#10;0GR06wgVfKGHTTa5SXVi3JUOeMlDJbiEfKIV1CF0iZS+qNFqP3MdEt9K11sdWPaVNL2+crlt5SKK&#10;HqTVDfGHWne4rbE454NVMOy3ZdTs4vHzI87l8LraH1/KSqnb6fj8BCLgGP7C8IPP6JAx08kNZLxo&#10;Wc9jRg8K4vUjCA4s75c87vRryCyV/xdk3wAAAP//AwBQSwECLQAUAAYACAAAACEAtoM4kv4AAADh&#10;AQAAEwAAAAAAAAAAAAAAAAAAAAAAW0NvbnRlbnRfVHlwZXNdLnhtbFBLAQItABQABgAIAAAAIQA4&#10;/SH/1gAAAJQBAAALAAAAAAAAAAAAAAAAAC8BAABfcmVscy8ucmVsc1BLAQItABQABgAIAAAAIQAs&#10;a2+H2gEAAKQDAAAOAAAAAAAAAAAAAAAAAC4CAABkcnMvZTJvRG9jLnhtbFBLAQItABQABgAIAAAA&#10;IQC8exN13gAAAAkBAAAPAAAAAAAAAAAAAAAAADQEAABkcnMvZG93bnJldi54bWxQSwUGAAAAAAQA&#10;BADzAAAAPwUAAAAA&#10;" strokecolor="windowText" strokeweight=".5pt">
                      <v:stroke joinstyle="miter"/>
                      <o:lock v:ext="edit" shapetype="f"/>
                    </v:line>
                  </w:pict>
                </mc:Fallback>
              </mc:AlternateContent>
            </w:r>
            <w:r>
              <w:rPr>
                <w:b/>
                <w:bCs/>
                <w:color w:val="000000"/>
              </w:rPr>
              <w:t>Độc lập - Tự do - Hạnh phúc</w:t>
            </w:r>
          </w:p>
        </w:tc>
      </w:tr>
      <w:tr w:rsidR="008E2849">
        <w:tc>
          <w:tcPr>
            <w:tcW w:w="2015" w:type="pct"/>
            <w:shd w:val="clear" w:color="auto" w:fill="auto"/>
          </w:tcPr>
          <w:p w:rsidR="008E2849" w:rsidRDefault="008E2849">
            <w:pPr>
              <w:spacing w:after="0"/>
              <w:ind w:firstLine="0"/>
              <w:jc w:val="center"/>
              <w:rPr>
                <w:color w:val="000000"/>
                <w:sz w:val="26"/>
                <w:szCs w:val="26"/>
              </w:rPr>
            </w:pPr>
          </w:p>
        </w:tc>
        <w:tc>
          <w:tcPr>
            <w:tcW w:w="2985" w:type="pct"/>
            <w:shd w:val="clear" w:color="auto" w:fill="auto"/>
          </w:tcPr>
          <w:p w:rsidR="008E2849" w:rsidRDefault="00EA658F">
            <w:pPr>
              <w:spacing w:after="0"/>
              <w:ind w:firstLine="0"/>
              <w:jc w:val="center"/>
              <w:rPr>
                <w:b/>
                <w:bCs/>
                <w:color w:val="000000"/>
                <w:sz w:val="26"/>
                <w:szCs w:val="26"/>
              </w:rPr>
            </w:pPr>
            <w:r>
              <w:rPr>
                <w:i/>
                <w:iCs/>
                <w:color w:val="000000"/>
              </w:rPr>
              <w:t>Hà Tĩnh, ngày 10 tháng 6 năm 2024</w:t>
            </w:r>
          </w:p>
        </w:tc>
      </w:tr>
    </w:tbl>
    <w:p w:rsidR="008E2849" w:rsidRDefault="008E2849">
      <w:pPr>
        <w:spacing w:after="0"/>
        <w:ind w:firstLine="0"/>
        <w:jc w:val="center"/>
        <w:rPr>
          <w:b/>
          <w:bCs/>
          <w:color w:val="000000"/>
        </w:rPr>
      </w:pPr>
    </w:p>
    <w:p w:rsidR="008E2849" w:rsidRDefault="00EA658F">
      <w:pPr>
        <w:spacing w:after="0"/>
        <w:ind w:firstLine="0"/>
        <w:jc w:val="center"/>
        <w:rPr>
          <w:b/>
          <w:bCs/>
          <w:color w:val="000000"/>
        </w:rPr>
      </w:pPr>
      <w:r>
        <w:rPr>
          <w:b/>
          <w:bCs/>
          <w:color w:val="000000"/>
        </w:rPr>
        <w:t>BÁO CÁO TÓM TẮT</w:t>
      </w:r>
    </w:p>
    <w:p w:rsidR="008E2849" w:rsidRDefault="00EA658F">
      <w:pPr>
        <w:spacing w:after="0"/>
        <w:ind w:firstLine="0"/>
        <w:jc w:val="center"/>
        <w:rPr>
          <w:b/>
          <w:bCs/>
          <w:color w:val="000000"/>
        </w:rPr>
      </w:pPr>
      <w:r>
        <w:rPr>
          <w:b/>
          <w:bCs/>
          <w:color w:val="000000"/>
        </w:rPr>
        <w:t>Tình hình kinh tế - xã hội 6 tháng đầu năm;</w:t>
      </w:r>
    </w:p>
    <w:p w:rsidR="008E2849" w:rsidRDefault="00EA658F">
      <w:pPr>
        <w:spacing w:after="0"/>
        <w:ind w:firstLine="0"/>
        <w:jc w:val="center"/>
        <w:rPr>
          <w:b/>
          <w:bCs/>
          <w:color w:val="000000"/>
        </w:rPr>
      </w:pPr>
      <w:r>
        <w:rPr>
          <w:b/>
          <w:bCs/>
          <w:color w:val="000000"/>
        </w:rPr>
        <w:t>nhiệm vụ, giải pháp 6 tháng cuối năm 2024</w:t>
      </w:r>
    </w:p>
    <w:p w:rsidR="008E2849" w:rsidRDefault="00EA658F">
      <w:pPr>
        <w:spacing w:after="0"/>
        <w:ind w:firstLine="0"/>
        <w:jc w:val="center"/>
        <w:rPr>
          <w:i/>
          <w:iCs/>
          <w:color w:val="000000"/>
        </w:rPr>
      </w:pPr>
      <w:r>
        <w:rPr>
          <w:i/>
          <w:iCs/>
          <w:color w:val="000000"/>
        </w:rPr>
        <w:t>(Tài liệu phục vụ tiếp xúc cử tri trước Kỳ họp giữa năm của HĐND tỉnh)</w:t>
      </w:r>
    </w:p>
    <w:p w:rsidR="008E2849" w:rsidRDefault="00EA658F">
      <w:pPr>
        <w:spacing w:after="0"/>
        <w:jc w:val="center"/>
        <w:rPr>
          <w:color w:val="000000"/>
        </w:rPr>
      </w:pPr>
      <w:r>
        <w:rPr>
          <w:noProof/>
          <w:color w:val="000000"/>
        </w:rPr>
        <mc:AlternateContent>
          <mc:Choice Requires="wps">
            <w:drawing>
              <wp:anchor distT="4294967295" distB="4294967295" distL="114300" distR="114300" simplePos="0" relativeHeight="251661312" behindDoc="0" locked="0" layoutInCell="1" allowOverlap="1" wp14:anchorId="3DA14B93" wp14:editId="6FDD2196">
                <wp:simplePos x="0" y="0"/>
                <wp:positionH relativeFrom="column">
                  <wp:posOffset>2240915</wp:posOffset>
                </wp:positionH>
                <wp:positionV relativeFrom="paragraph">
                  <wp:posOffset>63871</wp:posOffset>
                </wp:positionV>
                <wp:extent cx="1226423" cy="0"/>
                <wp:effectExtent l="0" t="0" r="12065" b="19050"/>
                <wp:wrapNone/>
                <wp:docPr id="1594696362" name="Straight Connector 1594696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642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159469636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6.45pt,5.05pt" to="2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RG5AEAALYDAAAOAAAAZHJzL2Uyb0RvYy54bWysU01v2zAMvQ/YfxB0X5w4rdEacXpI0F2K&#10;LUC6H8DKsi1MXxC12Pn3o5SPptttmA8CJZKPfOTz6mkymh1kQOVswxezOWfSCtcq2zf8x+vzlwfO&#10;MIJtQTsrG36UyJ/Wnz+tRl/L0g1OtzIwArFYj77hQ4y+LgoUgzSAM+elJWfngoFI19AXbYCR0I0u&#10;yvm8KkYXWh+ckIj0uj05+Trjd50U8XvXoYxMN5x6i/kM+XxLZ7FeQd0H8IMS5zbgH7owoCwVvUJt&#10;IQL7FdRfUEaJ4NB1cSacKVzXKSEzB2KzmP/BZj+Al5kLDQf9dUz4/2DFt8MuMNXS7u4f76rHalmV&#10;nFkwtKt9DKD6IbKNs5Ym6QK7CaLJjR5rAtjYXUjcxWT3/sWJn0i+4oMzXdCfwqYumBRO5NmUN3G8&#10;bkJOkQl6XJRldVcuORMXXwH1JdEHjF+lMywZDdfKpiFBDYcXjKk01JeQ9Gzds9I6L1pbNja8Wt6T&#10;FASQ3DoNkUzjaQBoe85A96RjEUNGRKdVm7ITDh5xowM7AEmJFNi68ZXa5UwDRnIQh/wlSVEHH1JT&#10;O1vA4ZScXSflGRVJ/lqZhj/cZmubKsos4DOp9xEm6821x124zJnEkYuehZzUd3sn+/Z3W/8GAAD/&#10;/wMAUEsDBBQABgAIAAAAIQDc/txK3QAAAAkBAAAPAAAAZHJzL2Rvd25yZXYueG1sTI/NTsMwEITv&#10;SLyDtUjcqN2GFghxKlTUA7cSqNSjG29+IF5HsdOGt2cRBzjuzKfZmWw9uU6ccAitJw3zmQKBVHrb&#10;Uq3h/W17cw8iREPWdJ5QwxcGWOeXF5lJrT/TK56KWAsOoZAaDU2MfSplKBt0Jsx8j8Re5QdnIp9D&#10;Le1gzhzuOrlQaiWdaYk/NKbHTYPlZzE6DeNuU6l2m0wfh6SQ48vdbv9c1VpfX01PjyAiTvEPhp/6&#10;XB1y7nT0I9kgOg3JcvHAKBtqDoKB5e2Kxx1/BZln8v+C/BsAAP//AwBQSwECLQAUAAYACAAAACEA&#10;toM4kv4AAADhAQAAEwAAAAAAAAAAAAAAAAAAAAAAW0NvbnRlbnRfVHlwZXNdLnhtbFBLAQItABQA&#10;BgAIAAAAIQA4/SH/1gAAAJQBAAALAAAAAAAAAAAAAAAAAC8BAABfcmVscy8ucmVsc1BLAQItABQA&#10;BgAIAAAAIQBX0sRG5AEAALYDAAAOAAAAAAAAAAAAAAAAAC4CAABkcnMvZTJvRG9jLnhtbFBLAQIt&#10;ABQABgAIAAAAIQDc/txK3QAAAAkBAAAPAAAAAAAAAAAAAAAAAD4EAABkcnMvZG93bnJldi54bWxQ&#10;SwUGAAAAAAQABADzAAAASAUAAAAA&#10;" strokecolor="windowText" strokeweight=".5pt">
                <v:stroke joinstyle="miter"/>
                <o:lock v:ext="edit" shapetype="f"/>
              </v:line>
            </w:pict>
          </mc:Fallback>
        </mc:AlternateContent>
      </w:r>
    </w:p>
    <w:p w:rsidR="008E2849" w:rsidRDefault="00EA658F">
      <w:r>
        <w:rPr>
          <w:color w:val="000000"/>
        </w:rPr>
        <w:t xml:space="preserve">Năm 2024  có ý nghĩa quan trọng đẩy mạnh thực hiện mục tiêu, chỉ tiêu Kế hoạch phát triển kinh tế - xã hội 5 năm 2021-2025. Bối cảnh 6 tháng đầu năm tình hình thế giới tiếp tục diễn biến phức tạp, khó lường. Trong nước, tình hình kinh tế - xã hội tiếp tục xu hướng phục hồi nhưng vẫn còn nhiều rủi ro, thách thức. </w:t>
      </w:r>
      <w:r>
        <w:t xml:space="preserve">Thực hiện Nghị quyết số 01/NQ-CP của Chính phủ, Nghị quyết của Ban Chấp hành Đảng bộ tỉnh và HĐND tỉnh về nhiệm vụ phát triển kinh tế - xã hội năm 2024; UBND tỉnh đã kịp thời ban hành các chương trình, kế hoạch, triển khai đồng bộ các nhiệm vụ giải pháp ngay từ đầu năm. Tập trung </w:t>
      </w:r>
      <w:r>
        <w:rPr>
          <w:color w:val="000000"/>
        </w:rPr>
        <w:t>các giải pháp phục hồi phát triển kinh tế, sản xuất vụ Xuân, thúc đẩy du lịch, đẩy mạnh giải ngân đầu tư công, đẩy nhanh tiến độ các dự án trọng điểm, triển khai Quy hoạch tỉnh, tiếp tục xử lý tồn đọng, phát triển văn hóa, chăm lo an sinh, bảo đảm an ninh chính trị, trật tự an toàn xã hội.</w:t>
      </w:r>
    </w:p>
    <w:p w:rsidR="008E2849" w:rsidRDefault="00EA658F">
      <w:pPr>
        <w:pStyle w:val="Heading2"/>
        <w:rPr>
          <w:kern w:val="32"/>
        </w:rPr>
      </w:pPr>
      <w:r>
        <w:t xml:space="preserve">KẾT QUẢ THỰC HIỆN </w:t>
      </w:r>
    </w:p>
    <w:p w:rsidR="008E2849" w:rsidRDefault="00EA658F">
      <w:pPr>
        <w:pStyle w:val="Heading3"/>
        <w:rPr>
          <w:szCs w:val="28"/>
        </w:rPr>
      </w:pPr>
      <w:r>
        <w:rPr>
          <w:szCs w:val="28"/>
        </w:rPr>
        <w:t>Về kinh tế</w:t>
      </w:r>
    </w:p>
    <w:p w:rsidR="008E2849" w:rsidRDefault="00EA658F">
      <w:r>
        <w:rPr>
          <w:b/>
          <w:i/>
          <w:iCs/>
        </w:rPr>
        <w:t>Tăng trưởng kinh tế</w:t>
      </w:r>
      <w:r>
        <w:rPr>
          <w:b/>
          <w:iCs/>
        </w:rPr>
        <w:t xml:space="preserve"> </w:t>
      </w:r>
      <w:r>
        <w:rPr>
          <w:b/>
          <w:i/>
        </w:rPr>
        <w:t>ước đạt 7,6%</w:t>
      </w:r>
      <w:r>
        <w:t xml:space="preserve"> (cùng kỳ tăng 5,85%), đứng thứ 20 cả nước và thứ 2 Bắc Trung bộ</w:t>
      </w:r>
      <w:r>
        <w:rPr>
          <w:rStyle w:val="FootnoteReference"/>
        </w:rPr>
        <w:footnoteReference w:id="2"/>
      </w:r>
      <w:r>
        <w:t>, trong đó: công nghiệp - xây dựng tăng 10,7% (công nghiệp tăng 9,33%, xây dựng tăng 15,7%), nông nghiệp tăng 2,64%, dịch vụ tăng 6,75%.</w:t>
      </w:r>
    </w:p>
    <w:p w:rsidR="008E2849" w:rsidRDefault="00EA658F">
      <w:pPr>
        <w:rPr>
          <w:i/>
          <w:iCs/>
        </w:rPr>
      </w:pPr>
      <w:r>
        <w:rPr>
          <w:b/>
          <w:i/>
          <w:iCs/>
        </w:rPr>
        <w:t>Nông nghiệp được mùa; sản xuất vụ Xuân đạt kết quả cao.</w:t>
      </w:r>
      <w:r>
        <w:rPr>
          <w:i/>
          <w:iCs/>
        </w:rPr>
        <w:t xml:space="preserve"> </w:t>
      </w:r>
      <w:r>
        <w:t>Năng suất, sản lượng các loại cây trồng đạt kế hoạch, tăng so với cùng kỳ năm trước. Lúa vụ Xuân được mùa toàn diện, đạt cao nhất từ trước tới nay; năng suất lúa bình quân đạt 61,17 tạ/ha (tăng 1,58 tạ/ha so với cùng kỳ), sản lượng ước đạt trên 362.862 tấn (tăng 8.841 tấn so với cùng kỳ), giá lúa đạt cao</w:t>
      </w:r>
      <w:r>
        <w:rPr>
          <w:rStyle w:val="FootnoteReference"/>
        </w:rPr>
        <w:footnoteReference w:id="3"/>
      </w:r>
      <w:r>
        <w:t>. Các mô hình liên kết sản xuất nông nghiệp theo hướng an toàn, hữu cơ tiếp tục được triển khai nhân rộng, gắn với Đề án phát triển nông nghiệp hữu cơ đã được phê duyệt</w:t>
      </w:r>
      <w:r>
        <w:rPr>
          <w:rStyle w:val="FootnoteReference"/>
        </w:rPr>
        <w:footnoteReference w:id="4"/>
      </w:r>
      <w:r>
        <w:t xml:space="preserve">. </w:t>
      </w:r>
      <w:bookmarkStart w:id="0" w:name="_Hlk167872697"/>
      <w:r>
        <w:lastRenderedPageBreak/>
        <w:t>Hoàn thành thẩm tra, đề xuất Trung ương công nhận huyện Kỳ Anh đạt chuẩn NTM.</w:t>
      </w:r>
      <w:bookmarkEnd w:id="0"/>
    </w:p>
    <w:p w:rsidR="008E2849" w:rsidRDefault="00EA658F">
      <w:bookmarkStart w:id="1" w:name="_Hlk167870884"/>
      <w:r>
        <w:rPr>
          <w:b/>
          <w:i/>
          <w:iCs/>
        </w:rPr>
        <w:t>Chỉ số sản xuất công nghiệp (IIP)</w:t>
      </w:r>
      <w:r>
        <w:t xml:space="preserve"> ước giảm</w:t>
      </w:r>
      <w:r>
        <w:rPr>
          <w:b/>
          <w:i/>
        </w:rPr>
        <w:t xml:space="preserve"> 0,91%</w:t>
      </w:r>
      <w:r>
        <w:t xml:space="preserve"> so với cùng kỳ</w:t>
      </w:r>
      <w:bookmarkEnd w:id="1"/>
      <w:r>
        <w:t>. M</w:t>
      </w:r>
      <w:r>
        <w:rPr>
          <w:iCs/>
        </w:rPr>
        <w:t>ột số sản phẩm đóng góp vào tăng trưởng của ngành như điện sản xuất, bia, pack pin</w:t>
      </w:r>
      <w:r>
        <w:rPr>
          <w:rStyle w:val="FootnoteReference"/>
          <w:iCs/>
        </w:rPr>
        <w:footnoteReference w:id="5"/>
      </w:r>
      <w:r>
        <w:rPr>
          <w:iCs/>
          <w:color w:val="000000"/>
        </w:rPr>
        <w:t>, trong khi</w:t>
      </w:r>
      <w:r>
        <w:rPr>
          <w:iCs/>
        </w:rPr>
        <w:t xml:space="preserve"> một số sản phẩm như thép, </w:t>
      </w:r>
      <w:r>
        <w:rPr>
          <w:iCs/>
          <w:color w:val="000000" w:themeColor="text1"/>
        </w:rPr>
        <w:t>sợi có xu hướng giảm hoặc tăng thấp</w:t>
      </w:r>
      <w:r>
        <w:rPr>
          <w:rStyle w:val="FootnoteReference"/>
          <w:iCs/>
          <w:color w:val="000000" w:themeColor="text1"/>
        </w:rPr>
        <w:footnoteReference w:id="6"/>
      </w:r>
      <w:r>
        <w:rPr>
          <w:iCs/>
          <w:color w:val="000000" w:themeColor="text1"/>
        </w:rPr>
        <w:t>. Các dự án công nghiệp trọng điểm (Nhà máy Nhiệt điện Vũng Áng II, Nhà máy Pin Lithium, KCN VSIP, Đường bộ cao tốc Bắc Nam, Đường dây 500kV mạch 3 qua địa bàn) được đẩy nhanh tiến độ</w:t>
      </w:r>
      <w:r>
        <w:rPr>
          <w:rStyle w:val="FootnoteReference"/>
          <w:iCs/>
          <w:color w:val="000000" w:themeColor="text1"/>
        </w:rPr>
        <w:footnoteReference w:id="7"/>
      </w:r>
      <w:r>
        <w:rPr>
          <w:iCs/>
          <w:color w:val="000000" w:themeColor="text1"/>
        </w:rPr>
        <w:t>.</w:t>
      </w:r>
    </w:p>
    <w:p w:rsidR="008E2849" w:rsidRDefault="00EA658F">
      <w:r>
        <w:rPr>
          <w:rFonts w:eastAsia="Times New Roman"/>
          <w:b/>
          <w:i/>
        </w:rPr>
        <w:t>Thương mại, dịch vụ tăng khá</w:t>
      </w:r>
      <w:r>
        <w:rPr>
          <w:rFonts w:eastAsia="Times New Roman"/>
          <w:b/>
          <w:iCs/>
        </w:rPr>
        <w:t>.</w:t>
      </w:r>
      <w:r>
        <w:rPr>
          <w:rFonts w:eastAsia="Times New Roman"/>
          <w:iCs/>
        </w:rPr>
        <w:t xml:space="preserve"> Tổng mức doanh thu bán lẻ hàng hóa </w:t>
      </w:r>
      <w:r>
        <w:t>ước đạt 32.240 tỷ đồng, tăng</w:t>
      </w:r>
      <w:r>
        <w:rPr>
          <w:b/>
          <w:i/>
        </w:rPr>
        <w:t xml:space="preserve"> 27%</w:t>
      </w:r>
      <w:r>
        <w:t xml:space="preserve"> so </w:t>
      </w:r>
      <w:r>
        <w:rPr>
          <w:color w:val="000000" w:themeColor="text1"/>
        </w:rPr>
        <w:t xml:space="preserve">với cùng kỳ. Tổng kim ngạch xuất nhập khẩu đạt </w:t>
      </w:r>
      <w:r>
        <w:rPr>
          <w:b/>
          <w:color w:val="000000" w:themeColor="text1"/>
        </w:rPr>
        <w:t>3,2</w:t>
      </w:r>
      <w:r>
        <w:rPr>
          <w:color w:val="000000" w:themeColor="text1"/>
        </w:rPr>
        <w:t xml:space="preserve"> tỷ đô la Mỹ, tăng 1,7%; trong đó: xuất khẩu ước đạt 1,2 tỷ đô la Mỹ - giảm 9,6%</w:t>
      </w:r>
      <w:r>
        <w:rPr>
          <w:rStyle w:val="FootnoteReference"/>
          <w:color w:val="000000" w:themeColor="text1"/>
        </w:rPr>
        <w:footnoteReference w:id="8"/>
      </w:r>
      <w:r>
        <w:rPr>
          <w:color w:val="000000" w:themeColor="text1"/>
        </w:rPr>
        <w:t>, nhập khẩu ước đạt gần 2 tỷ đô la Mỹ - tăng 10%</w:t>
      </w:r>
      <w:r>
        <w:rPr>
          <w:rStyle w:val="FootnoteReference"/>
          <w:color w:val="000000" w:themeColor="text1"/>
        </w:rPr>
        <w:footnoteReference w:id="9"/>
      </w:r>
      <w:r>
        <w:rPr>
          <w:color w:val="000000" w:themeColor="text1"/>
        </w:rPr>
        <w:t xml:space="preserve">. </w:t>
      </w:r>
      <w:bookmarkStart w:id="2" w:name="_Hlk167872157"/>
      <w:r>
        <w:t xml:space="preserve">Doanh thu dịch vụ du lịch, lưu trú và ăn uống ước đạt gần 4.000 tỷ đồng, tăng </w:t>
      </w:r>
      <w:r>
        <w:rPr>
          <w:b/>
          <w:i/>
        </w:rPr>
        <w:t>11%</w:t>
      </w:r>
      <w:r>
        <w:t>; tổ chức khai trương mùa du lịch biển và nhiều hoạt động xúc tiến du lịch</w:t>
      </w:r>
      <w:bookmarkEnd w:id="2"/>
      <w:r>
        <w:rPr>
          <w:rStyle w:val="FootnoteReference"/>
        </w:rPr>
        <w:footnoteReference w:id="10"/>
      </w:r>
      <w:r>
        <w:t>, thu hút đông đảo người dân và du khách.</w:t>
      </w:r>
    </w:p>
    <w:p w:rsidR="008E2849" w:rsidRDefault="00EA658F">
      <w:pPr>
        <w:rPr>
          <w:rFonts w:eastAsia="Times New Roman"/>
          <w:iCs/>
          <w:color w:val="000000"/>
        </w:rPr>
      </w:pPr>
      <w:bookmarkStart w:id="3" w:name="_Hlk162507359"/>
      <w:r>
        <w:rPr>
          <w:rFonts w:eastAsia="Times New Roman"/>
          <w:b/>
          <w:i/>
          <w:color w:val="000000"/>
        </w:rPr>
        <w:t xml:space="preserve"> Tổng thu ngân sách trên địa bàn</w:t>
      </w:r>
      <w:r>
        <w:rPr>
          <w:rFonts w:eastAsia="Times New Roman"/>
          <w:i/>
          <w:color w:val="000000"/>
        </w:rPr>
        <w:t xml:space="preserve"> </w:t>
      </w:r>
      <w:r>
        <w:rPr>
          <w:rFonts w:eastAsia="Times New Roman"/>
          <w:iCs/>
          <w:color w:val="000000"/>
        </w:rPr>
        <w:t xml:space="preserve">6 tháng ước đạt </w:t>
      </w:r>
      <w:r>
        <w:rPr>
          <w:rFonts w:eastAsia="Times New Roman"/>
          <w:b/>
          <w:i/>
          <w:iCs/>
          <w:color w:val="000000"/>
        </w:rPr>
        <w:t>9.600</w:t>
      </w:r>
      <w:r>
        <w:rPr>
          <w:rFonts w:eastAsia="Times New Roman"/>
          <w:iCs/>
          <w:color w:val="000000"/>
        </w:rPr>
        <w:t xml:space="preserve"> tỷ đồng, đạt </w:t>
      </w:r>
      <w:r>
        <w:rPr>
          <w:rFonts w:eastAsia="Times New Roman"/>
          <w:b/>
          <w:i/>
          <w:iCs/>
          <w:color w:val="000000"/>
        </w:rPr>
        <w:t>55%</w:t>
      </w:r>
      <w:r>
        <w:rPr>
          <w:rFonts w:eastAsia="Times New Roman"/>
          <w:iCs/>
          <w:color w:val="000000"/>
        </w:rPr>
        <w:t xml:space="preserve"> dự toán, tăng </w:t>
      </w:r>
      <w:r>
        <w:rPr>
          <w:rFonts w:eastAsia="Times New Roman"/>
          <w:b/>
          <w:i/>
          <w:iCs/>
          <w:color w:val="000000"/>
        </w:rPr>
        <w:t>9%</w:t>
      </w:r>
      <w:r>
        <w:rPr>
          <w:rFonts w:eastAsia="Times New Roman"/>
          <w:iCs/>
          <w:color w:val="000000"/>
        </w:rPr>
        <w:t xml:space="preserve"> so với cùng kỳ; trong đó: </w:t>
      </w:r>
      <w:r>
        <w:rPr>
          <w:rFonts w:eastAsia="Times New Roman"/>
          <w:b/>
          <w:bCs/>
          <w:i/>
          <w:color w:val="000000"/>
        </w:rPr>
        <w:t>thu nội địa</w:t>
      </w:r>
      <w:r>
        <w:rPr>
          <w:rFonts w:eastAsia="Times New Roman"/>
          <w:iCs/>
          <w:color w:val="000000"/>
        </w:rPr>
        <w:t xml:space="preserve"> ước đạt 4.800 tỷ đồng, đạt 59% dự toán, tăng 7% so với cùng kỳ (thu tiền đất ước đạt 1.400 tỷ đồng, đạt 74% dự toán, gấp 2,2 lần cùng kỳ</w:t>
      </w:r>
      <w:r>
        <w:rPr>
          <w:rStyle w:val="FootnoteReference"/>
          <w:rFonts w:eastAsia="Times New Roman"/>
          <w:iCs/>
          <w:color w:val="000000"/>
        </w:rPr>
        <w:footnoteReference w:id="11"/>
      </w:r>
      <w:r>
        <w:rPr>
          <w:rFonts w:eastAsia="Times New Roman"/>
          <w:iCs/>
          <w:color w:val="000000"/>
        </w:rPr>
        <w:t>; thu thuế phí ước đạt 3.400 tỷ đồng, đạt 55% dự toán, giảm 12% so với cùng kỳ</w:t>
      </w:r>
      <w:r>
        <w:rPr>
          <w:rStyle w:val="FootnoteReference"/>
          <w:rFonts w:eastAsia="Times New Roman"/>
          <w:iCs/>
          <w:color w:val="000000"/>
        </w:rPr>
        <w:footnoteReference w:id="12"/>
      </w:r>
      <w:r>
        <w:rPr>
          <w:rFonts w:eastAsia="Times New Roman"/>
          <w:iCs/>
          <w:color w:val="000000"/>
        </w:rPr>
        <w:t xml:space="preserve">); </w:t>
      </w:r>
      <w:r>
        <w:rPr>
          <w:rFonts w:eastAsia="Times New Roman"/>
          <w:b/>
          <w:bCs/>
          <w:i/>
          <w:color w:val="000000"/>
        </w:rPr>
        <w:t>thu xuất nhập khẩu</w:t>
      </w:r>
      <w:r>
        <w:rPr>
          <w:rFonts w:eastAsia="Times New Roman"/>
          <w:iCs/>
          <w:color w:val="000000"/>
        </w:rPr>
        <w:t xml:space="preserve"> ước </w:t>
      </w:r>
      <w:r>
        <w:rPr>
          <w:rFonts w:eastAsia="Times New Roman"/>
          <w:iCs/>
          <w:color w:val="000000"/>
        </w:rPr>
        <w:lastRenderedPageBreak/>
        <w:t>đạt 4.800 tỷ đồng, đạt 51% dự toán, tăng 12% cùng kỳ</w:t>
      </w:r>
      <w:r>
        <w:rPr>
          <w:rStyle w:val="FootnoteReference"/>
          <w:rFonts w:eastAsia="Times New Roman"/>
          <w:iCs/>
          <w:color w:val="000000"/>
        </w:rPr>
        <w:footnoteReference w:id="13"/>
      </w:r>
      <w:r>
        <w:rPr>
          <w:rFonts w:eastAsia="Times New Roman"/>
          <w:iCs/>
          <w:color w:val="000000"/>
        </w:rPr>
        <w:t xml:space="preserve">. </w:t>
      </w:r>
    </w:p>
    <w:bookmarkEnd w:id="3"/>
    <w:p w:rsidR="008E2849" w:rsidRDefault="00EA658F">
      <w:pPr>
        <w:rPr>
          <w:rFonts w:eastAsia="Times New Roman"/>
          <w:i/>
        </w:rPr>
      </w:pPr>
      <w:r>
        <w:rPr>
          <w:rFonts w:eastAsia="Times New Roman"/>
          <w:b/>
          <w:i/>
          <w:color w:val="000000"/>
        </w:rPr>
        <w:t>Tổng vốn đầu tư thực hiện toàn xã hội</w:t>
      </w:r>
      <w:r>
        <w:rPr>
          <w:rFonts w:eastAsia="Times New Roman"/>
          <w:iCs/>
          <w:color w:val="000000"/>
        </w:rPr>
        <w:t xml:space="preserve"> ước đạt 25.647 tỷ đồng, đạt </w:t>
      </w:r>
      <w:r>
        <w:rPr>
          <w:rFonts w:eastAsia="Times New Roman"/>
          <w:b/>
          <w:i/>
          <w:iCs/>
          <w:color w:val="000000"/>
        </w:rPr>
        <w:t>53%</w:t>
      </w:r>
      <w:r>
        <w:rPr>
          <w:rFonts w:eastAsia="Times New Roman"/>
          <w:iCs/>
          <w:color w:val="000000"/>
        </w:rPr>
        <w:t xml:space="preserve"> kế hoạch, tăng </w:t>
      </w:r>
      <w:r>
        <w:rPr>
          <w:rFonts w:eastAsia="Times New Roman"/>
          <w:b/>
          <w:i/>
          <w:iCs/>
          <w:color w:val="000000"/>
        </w:rPr>
        <w:t>19%</w:t>
      </w:r>
      <w:r>
        <w:rPr>
          <w:rFonts w:eastAsia="Times New Roman"/>
          <w:iCs/>
          <w:color w:val="000000"/>
        </w:rPr>
        <w:t xml:space="preserve"> so với cùng kỳ năm 2023</w:t>
      </w:r>
      <w:r>
        <w:rPr>
          <w:rStyle w:val="FootnoteReference"/>
          <w:rFonts w:eastAsia="Times New Roman"/>
          <w:iCs/>
          <w:color w:val="000000"/>
        </w:rPr>
        <w:footnoteReference w:id="14"/>
      </w:r>
      <w:r>
        <w:rPr>
          <w:rFonts w:eastAsia="Times New Roman"/>
          <w:iCs/>
          <w:color w:val="000000"/>
        </w:rPr>
        <w:t>; trong đó một số dự án đầu tư xây dựng, mua sắm thiết bị lớn như Nhà máy Nhiệt điện Vũng Áng II (8.500 tỷ đồng), Dự án cao tốc Bắc Nam (3.300 tỷ đồng), Nhà máy Pin Lithium (1.134 tỷ đồng), Dự án đường dây 500kV (700 tỷ đồng).</w:t>
      </w:r>
    </w:p>
    <w:p w:rsidR="008E2849" w:rsidRDefault="00EA658F">
      <w:pPr>
        <w:rPr>
          <w:rFonts w:eastAsia="Times New Roman"/>
          <w:iCs/>
        </w:rPr>
      </w:pPr>
      <w:r>
        <w:rPr>
          <w:rFonts w:eastAsia="Times New Roman"/>
          <w:b/>
          <w:i/>
        </w:rPr>
        <w:t>Giải ngân đầu tư công thuộc nhóm các tỉnh khá;</w:t>
      </w:r>
      <w:r>
        <w:rPr>
          <w:rFonts w:eastAsia="Times New Roman"/>
          <w:i/>
        </w:rPr>
        <w:t xml:space="preserve"> </w:t>
      </w:r>
      <w:bookmarkStart w:id="7" w:name="_Hlk167871685"/>
      <w:r>
        <w:rPr>
          <w:rFonts w:eastAsia="Times New Roman"/>
        </w:rPr>
        <w:t xml:space="preserve">6 tháng giải ngân ước đạt </w:t>
      </w:r>
      <w:r>
        <w:rPr>
          <w:rFonts w:eastAsia="Times New Roman"/>
          <w:b/>
          <w:i/>
        </w:rPr>
        <w:t>40%</w:t>
      </w:r>
      <w:r>
        <w:rPr>
          <w:rFonts w:eastAsia="Times New Roman"/>
        </w:rPr>
        <w:t xml:space="preserve"> kế hoạch</w:t>
      </w:r>
      <w:bookmarkStart w:id="8" w:name="_Hlk167871709"/>
      <w:r>
        <w:rPr>
          <w:rFonts w:eastAsia="Times New Roman"/>
        </w:rPr>
        <w:t xml:space="preserve"> vốn (cùng kỳ đạt 33,6%)</w:t>
      </w:r>
      <w:bookmarkEnd w:id="8"/>
      <w:r>
        <w:rPr>
          <w:rFonts w:eastAsia="Times New Roman"/>
          <w:i/>
        </w:rPr>
        <w:t xml:space="preserve">. </w:t>
      </w:r>
      <w:bookmarkEnd w:id="7"/>
      <w:r>
        <w:rPr>
          <w:rFonts w:eastAsia="Times New Roman"/>
        </w:rPr>
        <w:t xml:space="preserve">Công tác giải ngân vốn đầu tư được chỉ đạo quyết liệt ngay từ đầu năm; triển khai nhiều giải pháp thực hiện các Công điện, Chỉ thị của Thủ tướng Chính phủ; </w:t>
      </w:r>
      <w:r>
        <w:rPr>
          <w:rFonts w:eastAsia="Times New Roman"/>
          <w:iCs/>
        </w:rPr>
        <w:t>ban hành kế hoạch thực hiện 3 Chương trình MTQG năm 2024; thành lập các Tổ công tác kiểm tra, đôn đốc, tháo gỡ vướng mắc, đẩy nhanh tiến độ giải ngân các chương trình, dự án.</w:t>
      </w:r>
    </w:p>
    <w:p w:rsidR="008E2849" w:rsidRDefault="00EA658F">
      <w:pPr>
        <w:rPr>
          <w:rFonts w:eastAsia="Times New Roman"/>
          <w:iCs/>
        </w:rPr>
      </w:pPr>
      <w:r>
        <w:rPr>
          <w:rFonts w:eastAsia="Times New Roman"/>
          <w:b/>
          <w:i/>
        </w:rPr>
        <w:t>Công tác huy động vốn, hoạt động tín dụng được tập trung chỉ đạo.</w:t>
      </w:r>
      <w:r>
        <w:rPr>
          <w:rFonts w:eastAsia="Times New Roman"/>
          <w:i/>
        </w:rPr>
        <w:t xml:space="preserve"> </w:t>
      </w:r>
      <w:r>
        <w:rPr>
          <w:rFonts w:eastAsia="Times New Roman"/>
          <w:iCs/>
        </w:rPr>
        <w:t xml:space="preserve">Các tổ chức tín dụng công bố lãi suất cho vay, các chương trình lãi suất ưu đãi, tạo điều kiện cho người dân, doanh nghiệp nắm bắt thông tin, tiếp cận tín dụng. Nguồn vốn huy động đạt 106.090 tỷ đồng, tăng </w:t>
      </w:r>
      <w:r>
        <w:rPr>
          <w:rFonts w:eastAsia="Times New Roman"/>
          <w:b/>
          <w:i/>
          <w:iCs/>
        </w:rPr>
        <w:t>5,5%</w:t>
      </w:r>
      <w:r>
        <w:rPr>
          <w:rFonts w:eastAsia="Times New Roman"/>
          <w:iCs/>
        </w:rPr>
        <w:t xml:space="preserve"> so với cuối năm 2023. Dư nợ cho vay đạt 99.340 tỷ đồng, tăng </w:t>
      </w:r>
      <w:r>
        <w:rPr>
          <w:rFonts w:eastAsia="Times New Roman"/>
          <w:b/>
          <w:i/>
          <w:iCs/>
        </w:rPr>
        <w:t>3,4%</w:t>
      </w:r>
      <w:r>
        <w:rPr>
          <w:rFonts w:eastAsia="Times New Roman"/>
          <w:iCs/>
        </w:rPr>
        <w:t>. Tỷ lệ nợ xấu nội bảng ở mức 1,09%, có xu hướng tăng nhanh so với cuối năm 2023 và cùng kỳ năm trước.</w:t>
      </w:r>
    </w:p>
    <w:p w:rsidR="008E2849" w:rsidRDefault="00EA658F">
      <w:pPr>
        <w:rPr>
          <w:color w:val="000000"/>
        </w:rPr>
      </w:pPr>
      <w:r>
        <w:rPr>
          <w:b/>
          <w:i/>
          <w:iCs/>
          <w:color w:val="000000"/>
        </w:rPr>
        <w:t>Thành lập mới hơn 600 doanh nghiệp và đơn vị trực thuộc</w:t>
      </w:r>
      <w:r>
        <w:rPr>
          <w:b/>
          <w:color w:val="000000"/>
        </w:rPr>
        <w:t>,</w:t>
      </w:r>
      <w:r>
        <w:rPr>
          <w:color w:val="000000"/>
        </w:rPr>
        <w:t xml:space="preserve"> tăng </w:t>
      </w:r>
      <w:r>
        <w:rPr>
          <w:b/>
          <w:i/>
          <w:color w:val="000000"/>
        </w:rPr>
        <w:t>3%</w:t>
      </w:r>
      <w:r>
        <w:rPr>
          <w:color w:val="000000"/>
        </w:rPr>
        <w:t xml:space="preserve">; giải thể 120 doanh nghiệp, đơn vị trực thuộc, tăng </w:t>
      </w:r>
      <w:r>
        <w:rPr>
          <w:b/>
          <w:i/>
          <w:color w:val="000000"/>
        </w:rPr>
        <w:t>15%</w:t>
      </w:r>
      <w:r>
        <w:rPr>
          <w:color w:val="000000"/>
        </w:rPr>
        <w:t xml:space="preserve">. Chấp thuận chủ trương </w:t>
      </w:r>
      <w:r>
        <w:rPr>
          <w:b/>
          <w:i/>
          <w:color w:val="000000"/>
        </w:rPr>
        <w:t>12 dự án</w:t>
      </w:r>
      <w:r>
        <w:rPr>
          <w:color w:val="000000"/>
        </w:rPr>
        <w:t xml:space="preserve"> đầu tư trong nước tổng vốn đăng ký 1.627 tỷ đồng, tương đương cùng kỳ. Đẩy nhanh tiến độ thực hiện các biên bản ghi nhớ tại Hội nghị công bố Quy hoạch tỉnh</w:t>
      </w:r>
      <w:r>
        <w:rPr>
          <w:rStyle w:val="FootnoteReference"/>
          <w:color w:val="000000"/>
        </w:rPr>
        <w:footnoteReference w:id="15"/>
      </w:r>
      <w:r>
        <w:rPr>
          <w:color w:val="000000"/>
        </w:rPr>
        <w:t>.</w:t>
      </w:r>
      <w:r>
        <w:t xml:space="preserve"> </w:t>
      </w:r>
      <w:r>
        <w:rPr>
          <w:color w:val="000000"/>
        </w:rPr>
        <w:t>Tiếp tục kết nối, xúc tiến đầu tư với các nhà đầu tư trong và ngoài nước nghiên cứu đầu tư các dự án phát triển hạ tầng khu/cụm công nghiệp, năng lượng, giáo dục, du lịch</w:t>
      </w:r>
      <w:r>
        <w:rPr>
          <w:rStyle w:val="FootnoteReference"/>
          <w:color w:val="000000"/>
        </w:rPr>
        <w:footnoteReference w:id="16"/>
      </w:r>
      <w:r>
        <w:rPr>
          <w:color w:val="000000"/>
        </w:rPr>
        <w:t>.</w:t>
      </w:r>
    </w:p>
    <w:p w:rsidR="00E13954" w:rsidRDefault="00EA658F">
      <w:pPr>
        <w:rPr>
          <w:rFonts w:eastAsia="Times New Roman"/>
          <w:iCs/>
          <w:color w:val="000000"/>
        </w:rPr>
      </w:pPr>
      <w:r>
        <w:rPr>
          <w:rFonts w:eastAsia="Times New Roman"/>
          <w:b/>
          <w:i/>
        </w:rPr>
        <w:t>Tăng cường công tác quản lý lĩnh vực quy hoạch, xây dựng, tài nguyên môi trường, giao thông.</w:t>
      </w:r>
      <w:r>
        <w:rPr>
          <w:rFonts w:eastAsia="Times New Roman"/>
          <w:iCs/>
        </w:rPr>
        <w:t xml:space="preserve"> Hoàn thiện kế hoạch thực hiện Quy hoạch tỉnh; </w:t>
      </w:r>
      <w:bookmarkStart w:id="10" w:name="_Hlk167871953"/>
      <w:r>
        <w:rPr>
          <w:rFonts w:eastAsia="Times New Roman"/>
          <w:iCs/>
        </w:rPr>
        <w:t>rà soát, điều chỉnh quy hoạch tỉnh đảm bảo thống nhất với quy hoạch cấp quốc gia, cấp vùng và Đề án xếp đơn vị hành chính.</w:t>
      </w:r>
      <w:bookmarkEnd w:id="10"/>
      <w:r>
        <w:rPr>
          <w:rFonts w:eastAsia="Times New Roman"/>
          <w:iCs/>
        </w:rPr>
        <w:t xml:space="preserve"> Tập trung hoàn thiện nhiệm vụ điều chỉnh Quy hoạch chung thành phố Hà Tĩnh, đô thị mới Nghi Xuân. Trình Bộ Tài nguyên và Môi trường thẩm định Kế hoạch sử dụng đất 5 năm (2021-2025) cấp </w:t>
      </w:r>
      <w:r>
        <w:rPr>
          <w:rFonts w:eastAsia="Times New Roman"/>
          <w:iCs/>
        </w:rPr>
        <w:lastRenderedPageBreak/>
        <w:t xml:space="preserve">tỉnh. </w:t>
      </w:r>
      <w:bookmarkStart w:id="11" w:name="_Hlk167872539"/>
      <w:r>
        <w:rPr>
          <w:rFonts w:eastAsia="Times New Roman"/>
          <w:iCs/>
        </w:rPr>
        <w:t>Về dự án cao tốc Bắc - Nam đoạn qua Hà Tĩnh, đến nay bàn giao mặt bằng đạt 99,91%</w:t>
      </w:r>
      <w:r>
        <w:rPr>
          <w:rStyle w:val="FootnoteReference"/>
          <w:rFonts w:eastAsia="Times New Roman"/>
          <w:iCs/>
        </w:rPr>
        <w:footnoteReference w:id="17"/>
      </w:r>
      <w:r>
        <w:rPr>
          <w:rFonts w:eastAsia="Times New Roman"/>
          <w:iCs/>
        </w:rPr>
        <w:t xml:space="preserve">; </w:t>
      </w:r>
      <w:r>
        <w:rPr>
          <w:rFonts w:eastAsia="Times New Roman"/>
          <w:iCs/>
          <w:color w:val="000000"/>
        </w:rPr>
        <w:t>đền bù GPMB hơn 2.625/2.784 tỷ đồng, đạt 94,3%; tiến độ xây dựng đạt trên 30%, trong đó đã hoàn thành 30/30 khu tái định cư.</w:t>
      </w:r>
      <w:bookmarkEnd w:id="11"/>
    </w:p>
    <w:p w:rsidR="007D3B84" w:rsidRPr="007D3B84" w:rsidRDefault="007D3B84" w:rsidP="006A5FA9">
      <w:pPr>
        <w:spacing w:before="120"/>
        <w:rPr>
          <w:rFonts w:eastAsia="Times New Roman"/>
          <w:b/>
          <w:iCs/>
          <w:color w:val="000000"/>
        </w:rPr>
      </w:pPr>
      <w:r w:rsidRPr="007D3B84">
        <w:rPr>
          <w:rFonts w:eastAsia="Times New Roman"/>
          <w:b/>
          <w:iCs/>
          <w:color w:val="000000"/>
        </w:rPr>
        <w:t>2. Tình hình, tiến độ một số dự án trọng điểm</w:t>
      </w:r>
    </w:p>
    <w:p w:rsidR="007D3B84" w:rsidRDefault="00B73552" w:rsidP="006A5FA9">
      <w:pPr>
        <w:spacing w:before="120"/>
        <w:rPr>
          <w:rFonts w:eastAsia="Times New Roman"/>
          <w:b/>
          <w:i/>
          <w:iCs/>
          <w:color w:val="000000"/>
        </w:rPr>
      </w:pPr>
      <w:r>
        <w:rPr>
          <w:rFonts w:eastAsia="Times New Roman"/>
          <w:b/>
          <w:i/>
          <w:iCs/>
          <w:color w:val="000000"/>
        </w:rPr>
        <w:t>a)</w:t>
      </w:r>
      <w:r w:rsidR="003E6AB0" w:rsidRPr="003E6AB0">
        <w:rPr>
          <w:rFonts w:eastAsia="Times New Roman"/>
          <w:b/>
          <w:i/>
          <w:iCs/>
          <w:color w:val="000000"/>
        </w:rPr>
        <w:t xml:space="preserve"> Dự án đường cao tốc Bắc - Nam đoạn </w:t>
      </w:r>
      <w:r w:rsidR="00095CA7">
        <w:rPr>
          <w:rFonts w:eastAsia="Times New Roman"/>
          <w:b/>
          <w:i/>
          <w:iCs/>
          <w:color w:val="000000"/>
        </w:rPr>
        <w:t>Bãi Vọt - Vũng Áng</w:t>
      </w:r>
    </w:p>
    <w:p w:rsidR="00C8049A" w:rsidRDefault="00C8049A" w:rsidP="006A5FA9">
      <w:pPr>
        <w:spacing w:before="120"/>
        <w:rPr>
          <w:rFonts w:eastAsia="Times New Roman"/>
          <w:iCs/>
          <w:color w:val="000000"/>
        </w:rPr>
      </w:pPr>
      <w:r>
        <w:rPr>
          <w:rFonts w:eastAsia="Times New Roman"/>
          <w:iCs/>
          <w:color w:val="000000"/>
        </w:rPr>
        <w:t xml:space="preserve">- </w:t>
      </w:r>
      <w:r w:rsidR="0013406C">
        <w:rPr>
          <w:rFonts w:eastAsia="Times New Roman"/>
          <w:iCs/>
          <w:color w:val="000000"/>
        </w:rPr>
        <w:t>Đoạn qua địa bàn dài gần 103km; GPMB gần 1000 ha đất các loại; g</w:t>
      </w:r>
      <w:r>
        <w:rPr>
          <w:rFonts w:eastAsia="Times New Roman"/>
          <w:iCs/>
          <w:color w:val="000000"/>
        </w:rPr>
        <w:t>ần 9 nghìn hộ dân bị ảnh hưởng; xây dựng 30 khu tái định cư.</w:t>
      </w:r>
    </w:p>
    <w:p w:rsidR="00C8049A" w:rsidRDefault="00C8049A" w:rsidP="006A5FA9">
      <w:pPr>
        <w:spacing w:before="120"/>
        <w:ind w:firstLine="810"/>
        <w:rPr>
          <w:rFonts w:eastAsia="Times New Roman"/>
          <w:bCs/>
          <w:iCs/>
        </w:rPr>
      </w:pPr>
      <w:r>
        <w:rPr>
          <w:rFonts w:eastAsia="Times New Roman"/>
          <w:iCs/>
          <w:color w:val="000000"/>
        </w:rPr>
        <w:t xml:space="preserve">- Bàn giao mặt bằng đạt 99,91%; </w:t>
      </w:r>
      <w:r>
        <w:rPr>
          <w:rFonts w:eastAsia="Times New Roman"/>
          <w:bCs/>
          <w:iCs/>
        </w:rPr>
        <w:t>c</w:t>
      </w:r>
      <w:r w:rsidRPr="009C2EAB">
        <w:rPr>
          <w:rFonts w:eastAsia="Times New Roman"/>
          <w:bCs/>
          <w:iCs/>
        </w:rPr>
        <w:t xml:space="preserve">òn vướng 04 hộ chưa di dời </w:t>
      </w:r>
      <w:r>
        <w:rPr>
          <w:rFonts w:eastAsia="Times New Roman"/>
          <w:bCs/>
          <w:iCs/>
        </w:rPr>
        <w:t>gồm</w:t>
      </w:r>
      <w:r w:rsidRPr="009C2EAB">
        <w:rPr>
          <w:rFonts w:eastAsia="Times New Roman"/>
          <w:bCs/>
          <w:iCs/>
        </w:rPr>
        <w:t>: Can Lộc 01 hộ; Thạch Hà 02 hộ; TP Hà Tĩnh 01 hộ.</w:t>
      </w:r>
    </w:p>
    <w:p w:rsidR="00C8049A" w:rsidRPr="00B85660" w:rsidRDefault="00C8049A" w:rsidP="006A5FA9">
      <w:pPr>
        <w:spacing w:before="120"/>
        <w:ind w:firstLine="810"/>
        <w:rPr>
          <w:rFonts w:eastAsia="Times New Roman"/>
          <w:bCs/>
          <w:iCs/>
          <w:lang w:val="fr-FR"/>
        </w:rPr>
      </w:pPr>
      <w:r w:rsidRPr="006A5FA9">
        <w:rPr>
          <w:rFonts w:eastAsia="Times New Roman"/>
          <w:bCs/>
          <w:iCs/>
        </w:rPr>
        <w:t xml:space="preserve">- </w:t>
      </w:r>
      <w:r w:rsidR="006A5FA9" w:rsidRPr="006A5FA9">
        <w:rPr>
          <w:rFonts w:eastAsia="Times New Roman"/>
          <w:bCs/>
          <w:iCs/>
        </w:rPr>
        <w:t>Tiến độ</w:t>
      </w:r>
      <w:r w:rsidRPr="006A5FA9">
        <w:rPr>
          <w:rFonts w:eastAsia="Times New Roman"/>
          <w:bCs/>
          <w:iCs/>
        </w:rPr>
        <w:t xml:space="preserve"> giải ngân GPMB:</w:t>
      </w:r>
      <w:r w:rsidRPr="00B85660">
        <w:rPr>
          <w:rFonts w:eastAsia="Times New Roman"/>
          <w:b/>
          <w:bCs/>
          <w:iCs/>
        </w:rPr>
        <w:t xml:space="preserve"> </w:t>
      </w:r>
      <w:r>
        <w:rPr>
          <w:rFonts w:eastAsia="Times New Roman"/>
          <w:bCs/>
          <w:iCs/>
        </w:rPr>
        <w:t>2.625/2.785 tỷ đồng (đạt 94,28%)</w:t>
      </w:r>
    </w:p>
    <w:p w:rsidR="001E15DB" w:rsidRDefault="006A5FA9" w:rsidP="001E15DB">
      <w:pPr>
        <w:spacing w:before="120"/>
        <w:ind w:firstLine="810"/>
        <w:rPr>
          <w:rFonts w:eastAsia="Times New Roman"/>
          <w:bCs/>
          <w:iCs/>
        </w:rPr>
      </w:pPr>
      <w:r>
        <w:rPr>
          <w:rFonts w:eastAsia="Times New Roman"/>
          <w:bCs/>
          <w:iCs/>
        </w:rPr>
        <w:t>- Về cấp mỏ vật liệu: Được tỉnh tập trung chỉ đạo, đáp ứng yêu cầu nguồn cung cho dự án, hiện không còn vướng mắc, đã khai thác 11/13 mỏ.</w:t>
      </w:r>
    </w:p>
    <w:p w:rsidR="001E15DB" w:rsidRDefault="00B73552" w:rsidP="001E15DB">
      <w:pPr>
        <w:spacing w:before="120"/>
        <w:ind w:firstLine="810"/>
        <w:rPr>
          <w:b/>
          <w:i/>
          <w:color w:val="000000" w:themeColor="text1"/>
        </w:rPr>
      </w:pPr>
      <w:r>
        <w:rPr>
          <w:rFonts w:eastAsia="Times New Roman"/>
          <w:b/>
          <w:i/>
          <w:iCs/>
          <w:color w:val="000000"/>
        </w:rPr>
        <w:t>b)</w:t>
      </w:r>
      <w:r w:rsidR="006A5FA9" w:rsidRPr="001E15DB">
        <w:rPr>
          <w:rFonts w:eastAsia="Times New Roman"/>
          <w:b/>
          <w:i/>
          <w:iCs/>
          <w:color w:val="000000"/>
        </w:rPr>
        <w:t xml:space="preserve"> </w:t>
      </w:r>
      <w:r w:rsidR="00276811" w:rsidRPr="001E15DB">
        <w:rPr>
          <w:rFonts w:eastAsia="Times New Roman"/>
          <w:b/>
          <w:i/>
          <w:iCs/>
          <w:color w:val="000000"/>
        </w:rPr>
        <w:t xml:space="preserve">Dự án </w:t>
      </w:r>
      <w:r w:rsidR="001E15DB" w:rsidRPr="001E15DB">
        <w:rPr>
          <w:b/>
          <w:i/>
          <w:color w:val="000000" w:themeColor="text1"/>
        </w:rPr>
        <w:t>đường dây 500kV Quảng Trạch - Quỳnh Lưu</w:t>
      </w:r>
    </w:p>
    <w:p w:rsidR="009B492D" w:rsidRPr="009B492D" w:rsidRDefault="009B492D" w:rsidP="009B492D">
      <w:pPr>
        <w:widowControl/>
        <w:shd w:val="clear" w:color="auto" w:fill="FFFFFF"/>
        <w:spacing w:before="120"/>
        <w:ind w:firstLine="0"/>
        <w:rPr>
          <w:rFonts w:eastAsia="Times New Roman"/>
          <w:iCs/>
          <w:color w:val="000000"/>
        </w:rPr>
      </w:pPr>
      <w:r>
        <w:rPr>
          <w:rFonts w:eastAsia="Times New Roman"/>
          <w:iCs/>
          <w:color w:val="000000"/>
        </w:rPr>
        <w:tab/>
        <w:t xml:space="preserve">- </w:t>
      </w:r>
      <w:r w:rsidRPr="009B492D">
        <w:rPr>
          <w:rFonts w:eastAsia="Times New Roman"/>
          <w:iCs/>
          <w:color w:val="000000"/>
        </w:rPr>
        <w:t>Dự án đường dây 500kV Quảng Trạch - Quỳnh Lưu là một trong 4 cung đoạn của Dự án đường dây 500kV mạch 3 từ Quảng Trạch (Quảng Bình) đến Phố Nối (Hưng Yên). Dự án nằm trong danh mục các công trình trọng điểm, có tính chất đặc biệt quan trọng, nhằm đảm bảo cung ứng điện cho các tỉnh miền Bắc trong thời gian tới.</w:t>
      </w:r>
      <w:r>
        <w:rPr>
          <w:rFonts w:eastAsia="Times New Roman"/>
          <w:iCs/>
          <w:color w:val="000000"/>
        </w:rPr>
        <w:t xml:space="preserve"> </w:t>
      </w:r>
      <w:r w:rsidRPr="009B492D">
        <w:rPr>
          <w:rFonts w:eastAsia="Times New Roman"/>
          <w:iCs/>
          <w:color w:val="000000"/>
        </w:rPr>
        <w:t>Theo chỉ đạo của Thủ tướng Chính phủ, dự án phải hoàn thành đóng điện đưa vào vận hành trong tháng 6/2024.</w:t>
      </w:r>
    </w:p>
    <w:p w:rsidR="003E6AB0" w:rsidRDefault="009B492D" w:rsidP="006A5FA9">
      <w:pPr>
        <w:spacing w:before="120"/>
        <w:rPr>
          <w:rFonts w:eastAsia="Times New Roman"/>
          <w:iCs/>
          <w:color w:val="000000"/>
        </w:rPr>
      </w:pPr>
      <w:r>
        <w:rPr>
          <w:rFonts w:eastAsia="Times New Roman"/>
          <w:iCs/>
          <w:color w:val="000000"/>
        </w:rPr>
        <w:t>- Đoạn đi qua địa bàn Hà Tĩnh chiều dài hơn 141km, 285 móng cột. Đã hoàn thành GPMB và thi công đúc 285/285 móng cột. Hiện đang tập trung huy động nguồn lực, lực lượng tham gia công tác hậu cần, hỗ trợ, đảm bảo trật tự, an toàn thi công theo chỉ đạo của Thủ tướng Chính phủ.</w:t>
      </w:r>
    </w:p>
    <w:p w:rsidR="009B492D" w:rsidRDefault="00B73552" w:rsidP="006A5FA9">
      <w:pPr>
        <w:spacing w:before="120"/>
        <w:rPr>
          <w:rFonts w:eastAsia="Times New Roman"/>
          <w:b/>
          <w:bCs/>
          <w:i/>
          <w:iCs/>
        </w:rPr>
      </w:pPr>
      <w:r>
        <w:rPr>
          <w:rFonts w:eastAsia="Times New Roman"/>
          <w:b/>
          <w:i/>
          <w:iCs/>
          <w:color w:val="000000"/>
        </w:rPr>
        <w:t>c)</w:t>
      </w:r>
      <w:r w:rsidR="009B492D">
        <w:rPr>
          <w:rFonts w:eastAsia="Times New Roman"/>
          <w:iCs/>
          <w:color w:val="000000"/>
        </w:rPr>
        <w:t xml:space="preserve"> </w:t>
      </w:r>
      <w:r w:rsidR="000D5741" w:rsidRPr="00BF435D">
        <w:rPr>
          <w:rFonts w:eastAsia="Times New Roman"/>
          <w:b/>
          <w:bCs/>
          <w:i/>
          <w:iCs/>
        </w:rPr>
        <w:t>Dự án khai thác và tuyển quặng sắt mỏ Thạch Khê</w:t>
      </w:r>
    </w:p>
    <w:p w:rsidR="00CF5666" w:rsidRDefault="000D5741" w:rsidP="006A5FA9">
      <w:pPr>
        <w:spacing w:before="120"/>
        <w:rPr>
          <w:rFonts w:eastAsia="Times New Roman"/>
          <w:iCs/>
          <w:color w:val="000000"/>
        </w:rPr>
      </w:pPr>
      <w:r>
        <w:rPr>
          <w:rFonts w:eastAsia="Times New Roman"/>
          <w:iCs/>
          <w:color w:val="000000"/>
        </w:rPr>
        <w:t>Thời gian qua, tỉnh đã phối hợp kịp thời với các bộ ngành hoàn thiện báo cáo phương án xử lý đối với dự án theo chỉ đạo của Thủ tướng Chính phủ</w:t>
      </w:r>
      <w:r w:rsidR="009D6D1F">
        <w:rPr>
          <w:rFonts w:eastAsia="Times New Roman"/>
          <w:iCs/>
          <w:color w:val="000000"/>
        </w:rPr>
        <w:t>;</w:t>
      </w:r>
      <w:r>
        <w:rPr>
          <w:rFonts w:eastAsia="Times New Roman"/>
          <w:iCs/>
          <w:color w:val="000000"/>
        </w:rPr>
        <w:t xml:space="preserve"> </w:t>
      </w:r>
      <w:r w:rsidR="009D6D1F">
        <w:rPr>
          <w:rFonts w:eastAsia="Times New Roman"/>
          <w:iCs/>
          <w:color w:val="000000"/>
        </w:rPr>
        <w:t xml:space="preserve">quan điểm </w:t>
      </w:r>
      <w:r>
        <w:rPr>
          <w:rFonts w:eastAsia="Times New Roman"/>
          <w:iCs/>
          <w:color w:val="000000"/>
        </w:rPr>
        <w:t>nhất</w:t>
      </w:r>
      <w:r w:rsidR="009D6D1F">
        <w:rPr>
          <w:rFonts w:eastAsia="Times New Roman"/>
          <w:iCs/>
          <w:color w:val="000000"/>
        </w:rPr>
        <w:t xml:space="preserve"> </w:t>
      </w:r>
      <w:r w:rsidR="00E33A16">
        <w:rPr>
          <w:rFonts w:eastAsia="Times New Roman"/>
          <w:iCs/>
          <w:color w:val="000000"/>
        </w:rPr>
        <w:t xml:space="preserve">quán </w:t>
      </w:r>
      <w:bookmarkStart w:id="13" w:name="_GoBack"/>
      <w:bookmarkEnd w:id="13"/>
      <w:r w:rsidR="009D6D1F">
        <w:rPr>
          <w:rFonts w:eastAsia="Times New Roman"/>
          <w:iCs/>
          <w:color w:val="000000"/>
        </w:rPr>
        <w:t>của tỉnh là</w:t>
      </w:r>
      <w:r>
        <w:rPr>
          <w:rFonts w:eastAsia="Times New Roman"/>
          <w:iCs/>
          <w:color w:val="000000"/>
        </w:rPr>
        <w:t xml:space="preserve"> </w:t>
      </w:r>
      <w:r w:rsidR="009D6D1F">
        <w:rPr>
          <w:rFonts w:eastAsia="Times New Roman"/>
          <w:iCs/>
          <w:color w:val="000000"/>
        </w:rPr>
        <w:t>đề xuất</w:t>
      </w:r>
      <w:r>
        <w:rPr>
          <w:rFonts w:eastAsia="Times New Roman"/>
          <w:iCs/>
          <w:color w:val="000000"/>
        </w:rPr>
        <w:t xml:space="preserve"> dừng (chấm dứt) dự án. Thường trực Chính phủ đã tổ chức nhiều buổi làm việc nghe báo cáo phương án xử lý.</w:t>
      </w:r>
    </w:p>
    <w:p w:rsidR="000D5741" w:rsidRDefault="00CF5666" w:rsidP="006A5FA9">
      <w:pPr>
        <w:spacing w:before="120"/>
        <w:rPr>
          <w:rFonts w:eastAsia="Times New Roman"/>
          <w:iCs/>
          <w:color w:val="000000"/>
        </w:rPr>
      </w:pPr>
      <w:r>
        <w:rPr>
          <w:rFonts w:eastAsia="Times New Roman"/>
          <w:iCs/>
          <w:color w:val="000000"/>
        </w:rPr>
        <w:t>Gần đây nhất, Phó Thủ tướng Chính phủ Trần Hồng Hà</w:t>
      </w:r>
      <w:r w:rsidR="000D5741">
        <w:rPr>
          <w:rFonts w:eastAsia="Times New Roman"/>
          <w:iCs/>
          <w:color w:val="000000"/>
        </w:rPr>
        <w:t xml:space="preserve"> </w:t>
      </w:r>
      <w:r>
        <w:rPr>
          <w:rFonts w:eastAsia="Times New Roman"/>
          <w:iCs/>
          <w:color w:val="000000"/>
        </w:rPr>
        <w:t xml:space="preserve">chỉ đạo thành lập Đoàn kiểm tra liên ngành do Bộ Kế hoạch và Đầu tư </w:t>
      </w:r>
      <w:r w:rsidR="00DF37E1">
        <w:rPr>
          <w:rFonts w:eastAsia="Times New Roman"/>
          <w:iCs/>
          <w:color w:val="000000"/>
        </w:rPr>
        <w:t>làm trưởng đoàn để rà soát lại toàn bộ dự án, đề xuất 1 phương án báo cáo Thường trực Chính phủ.</w:t>
      </w:r>
    </w:p>
    <w:p w:rsidR="00B73552" w:rsidRPr="00B85660" w:rsidRDefault="00B73552" w:rsidP="00B73552">
      <w:pPr>
        <w:spacing w:before="120" w:after="0"/>
        <w:ind w:firstLine="806"/>
        <w:rPr>
          <w:rFonts w:eastAsia="Times New Roman"/>
          <w:b/>
          <w:bCs/>
          <w:i/>
          <w:iCs/>
        </w:rPr>
      </w:pPr>
      <w:r>
        <w:rPr>
          <w:rFonts w:eastAsia="Times New Roman"/>
          <w:b/>
          <w:i/>
          <w:iCs/>
          <w:color w:val="000000"/>
        </w:rPr>
        <w:t>d)</w:t>
      </w:r>
      <w:r w:rsidR="009D6D1F">
        <w:rPr>
          <w:rFonts w:eastAsia="Times New Roman"/>
          <w:iCs/>
          <w:color w:val="000000"/>
        </w:rPr>
        <w:t xml:space="preserve"> </w:t>
      </w:r>
      <w:r w:rsidRPr="00B85660">
        <w:rPr>
          <w:rFonts w:eastAsia="Times New Roman"/>
          <w:b/>
          <w:bCs/>
          <w:i/>
          <w:iCs/>
        </w:rPr>
        <w:t xml:space="preserve">Dự án </w:t>
      </w:r>
      <w:r w:rsidRPr="00BF435D">
        <w:rPr>
          <w:rFonts w:eastAsia="Times New Roman"/>
          <w:b/>
          <w:bCs/>
          <w:i/>
          <w:iCs/>
        </w:rPr>
        <w:t>Nhà máy nhiệt điện Vũng Áng 2</w:t>
      </w:r>
    </w:p>
    <w:p w:rsidR="00B73552" w:rsidRPr="00BF435D" w:rsidRDefault="00B73552" w:rsidP="00B73552">
      <w:pPr>
        <w:spacing w:before="120" w:after="0"/>
        <w:ind w:firstLine="806"/>
        <w:rPr>
          <w:rFonts w:eastAsia="Times New Roman"/>
          <w:bCs/>
          <w:iCs/>
        </w:rPr>
      </w:pPr>
      <w:r w:rsidRPr="00BF435D">
        <w:rPr>
          <w:rFonts w:eastAsia="Times New Roman"/>
          <w:bCs/>
          <w:iCs/>
        </w:rPr>
        <w:t>Tiến độ xây dựng: Nhà máy đạt 85%, Khu nhà ở 100%, Bãi xỉ 68%. Giá trị giải ngân đạt 40.000/53.000 tỷ đồng.</w:t>
      </w:r>
    </w:p>
    <w:p w:rsidR="00B73552" w:rsidRPr="00B85660" w:rsidRDefault="00B73552" w:rsidP="00B73552">
      <w:pPr>
        <w:spacing w:before="120" w:after="0"/>
        <w:ind w:firstLine="806"/>
        <w:rPr>
          <w:rFonts w:eastAsia="Times New Roman"/>
          <w:b/>
          <w:bCs/>
          <w:i/>
          <w:iCs/>
        </w:rPr>
      </w:pPr>
      <w:r>
        <w:rPr>
          <w:rFonts w:eastAsia="Times New Roman"/>
          <w:b/>
          <w:bCs/>
          <w:i/>
          <w:iCs/>
        </w:rPr>
        <w:t xml:space="preserve">e) </w:t>
      </w:r>
      <w:r w:rsidRPr="00B85660">
        <w:rPr>
          <w:rFonts w:eastAsia="Times New Roman"/>
          <w:b/>
          <w:bCs/>
          <w:i/>
          <w:iCs/>
        </w:rPr>
        <w:t xml:space="preserve">Dự án </w:t>
      </w:r>
      <w:r w:rsidRPr="00BF435D">
        <w:rPr>
          <w:rFonts w:eastAsia="Times New Roman"/>
          <w:b/>
          <w:bCs/>
          <w:i/>
          <w:iCs/>
        </w:rPr>
        <w:t>Nhà máy sản xuất và thương mại công nghệ pin lithium</w:t>
      </w:r>
    </w:p>
    <w:p w:rsidR="00B73552" w:rsidRPr="00BF435D" w:rsidRDefault="00B73552" w:rsidP="00B73552">
      <w:pPr>
        <w:spacing w:before="120" w:after="0"/>
        <w:ind w:firstLine="806"/>
        <w:rPr>
          <w:rFonts w:eastAsia="Times New Roman"/>
          <w:bCs/>
          <w:iCs/>
        </w:rPr>
      </w:pPr>
      <w:r w:rsidRPr="00BF435D">
        <w:rPr>
          <w:rFonts w:eastAsia="Times New Roman"/>
          <w:bCs/>
          <w:iCs/>
        </w:rPr>
        <w:t xml:space="preserve">- </w:t>
      </w:r>
      <w:r w:rsidR="00A3429E">
        <w:rPr>
          <w:rFonts w:eastAsia="Times New Roman"/>
          <w:bCs/>
          <w:iCs/>
        </w:rPr>
        <w:t>Đ</w:t>
      </w:r>
      <w:r w:rsidRPr="00BF435D">
        <w:rPr>
          <w:rFonts w:eastAsia="Times New Roman"/>
          <w:bCs/>
          <w:iCs/>
        </w:rPr>
        <w:t xml:space="preserve">ã hoàn thiện phần xây dựng các công trình chính ước đạt 90% khối </w:t>
      </w:r>
      <w:r w:rsidRPr="00BF435D">
        <w:rPr>
          <w:rFonts w:eastAsia="Times New Roman"/>
          <w:bCs/>
          <w:iCs/>
        </w:rPr>
        <w:lastRenderedPageBreak/>
        <w:t>lượng; đã nhập về</w:t>
      </w:r>
      <w:r w:rsidR="00A3429E">
        <w:rPr>
          <w:rFonts w:eastAsia="Times New Roman"/>
          <w:bCs/>
          <w:iCs/>
        </w:rPr>
        <w:t xml:space="preserve"> tại nhà máy khoảng 60% máy móc</w:t>
      </w:r>
      <w:r w:rsidRPr="00BF435D">
        <w:rPr>
          <w:rFonts w:eastAsia="Times New Roman"/>
          <w:bCs/>
          <w:iCs/>
        </w:rPr>
        <w:t xml:space="preserve"> thiết bị để thi công lắp đặt.</w:t>
      </w:r>
    </w:p>
    <w:p w:rsidR="009D6D1F" w:rsidRDefault="00B73552" w:rsidP="00B73552">
      <w:pPr>
        <w:spacing w:before="120" w:after="0"/>
        <w:ind w:firstLine="806"/>
        <w:rPr>
          <w:rFonts w:eastAsia="Times New Roman"/>
          <w:bCs/>
          <w:iCs/>
        </w:rPr>
      </w:pPr>
      <w:r w:rsidRPr="00BF435D">
        <w:rPr>
          <w:rFonts w:eastAsia="Times New Roman"/>
          <w:bCs/>
          <w:iCs/>
        </w:rPr>
        <w:t>- Giá trị nguồn vốn đã giải ngân: khoảng 2.400 tỷ đồng.</w:t>
      </w:r>
    </w:p>
    <w:p w:rsidR="00A3429E" w:rsidRDefault="0018150A" w:rsidP="00A3429E">
      <w:pPr>
        <w:spacing w:before="120" w:after="0"/>
        <w:ind w:firstLine="806"/>
        <w:rPr>
          <w:rFonts w:eastAsia="Times New Roman"/>
          <w:bCs/>
          <w:iCs/>
        </w:rPr>
      </w:pPr>
      <w:r w:rsidRPr="00A3429E">
        <w:rPr>
          <w:rFonts w:eastAsia="Times New Roman"/>
          <w:b/>
          <w:bCs/>
          <w:i/>
          <w:iCs/>
        </w:rPr>
        <w:t xml:space="preserve">g) Dự án Khu công nghiệp Bắc Thạch Hà </w:t>
      </w:r>
      <w:r w:rsidR="00A3429E" w:rsidRPr="00A3429E">
        <w:rPr>
          <w:rFonts w:eastAsia="Times New Roman"/>
          <w:b/>
          <w:bCs/>
          <w:i/>
          <w:iCs/>
        </w:rPr>
        <w:t>(VSIP Hà Tĩnh):</w:t>
      </w:r>
      <w:r w:rsidR="00A3429E">
        <w:rPr>
          <w:rFonts w:eastAsia="Times New Roman"/>
          <w:bCs/>
          <w:iCs/>
        </w:rPr>
        <w:t xml:space="preserve"> Đang xúc tiến các bước chuẩn bị đầu tư, khởi công vào cuối tháng 6 này.</w:t>
      </w:r>
    </w:p>
    <w:p w:rsidR="00A3429E" w:rsidRPr="00A3429E" w:rsidRDefault="00A3429E" w:rsidP="00A3429E">
      <w:pPr>
        <w:spacing w:before="120" w:after="0"/>
        <w:ind w:firstLine="806"/>
        <w:rPr>
          <w:rFonts w:eastAsia="Times New Roman"/>
          <w:b/>
          <w:bCs/>
          <w:iCs/>
        </w:rPr>
      </w:pPr>
      <w:r w:rsidRPr="00A3429E">
        <w:rPr>
          <w:b/>
        </w:rPr>
        <w:t xml:space="preserve">3. </w:t>
      </w:r>
      <w:r w:rsidR="00EA658F" w:rsidRPr="00A3429E">
        <w:rPr>
          <w:b/>
        </w:rPr>
        <w:t>Về văn hóa, xã hội</w:t>
      </w:r>
    </w:p>
    <w:p w:rsidR="008E2849" w:rsidRPr="00A3429E" w:rsidRDefault="00EA658F" w:rsidP="00A3429E">
      <w:pPr>
        <w:spacing w:before="120" w:after="0"/>
        <w:ind w:firstLine="806"/>
        <w:rPr>
          <w:rFonts w:eastAsia="Times New Roman"/>
          <w:bCs/>
          <w:iCs/>
        </w:rPr>
      </w:pPr>
      <w:r>
        <w:rPr>
          <w:b/>
          <w:i/>
          <w:iCs/>
          <w:color w:val="000000"/>
        </w:rPr>
        <w:t>Hoàn thiện kế hoạch thực hiện Nghị quyết số 18/NQ-TU của Tỉnh ủy về phát triển văn hóa và con người Hà Tĩnh trong giai đoạn mới</w:t>
      </w:r>
      <w:r>
        <w:rPr>
          <w:b/>
          <w:color w:val="000000"/>
        </w:rPr>
        <w:t>.</w:t>
      </w:r>
      <w:r>
        <w:rPr>
          <w:color w:val="000000"/>
        </w:rPr>
        <w:t xml:space="preserve"> Tổ chức các hoạt động kỷ niệm 120 năm Ngày sinh đồng chí Trần Phú. Tiếp tục có thêm các di tích, di sản văn hóa được công nhận cấp quốc gia</w:t>
      </w:r>
      <w:r>
        <w:rPr>
          <w:rStyle w:val="FootnoteReference"/>
          <w:color w:val="000000"/>
        </w:rPr>
        <w:footnoteReference w:id="18"/>
      </w:r>
      <w:r>
        <w:rPr>
          <w:color w:val="000000"/>
        </w:rPr>
        <w:t>; đề xuất lập hồ sơ xếp hạng di tích cấp quốc gia đối với di tích Nhà thờ Nguyễn Huy Quýnh, Nguyễn Huy Vinh và Đặng Thái Bàng.</w:t>
      </w:r>
      <w:r>
        <w:t xml:space="preserve"> </w:t>
      </w:r>
      <w:bookmarkStart w:id="14" w:name="_Hlk167872329"/>
      <w:r>
        <w:rPr>
          <w:color w:val="000000"/>
        </w:rPr>
        <w:t>Thể thao thành tích cao tham gia 21 giải quốc gia, quốc tế giành 79 huy chương (38 HCV, 16 HCB, 25 HCĐ), trong đó giải Điền kinh tiếp sức châu Á giành 1 HCV, 1 HCĐ, thiết lập 3 kỉ lục quốc gia mới; giải Điền kinh Đài Loan (Trung Quốc) mở rộng giành 3 HCV. CLB bóng đá Hồng Lĩnh Hà Tĩnh hiện xếp thứ 10/14 tại mùa giải 2023/2024.</w:t>
      </w:r>
      <w:bookmarkEnd w:id="14"/>
    </w:p>
    <w:p w:rsidR="008E2849" w:rsidRDefault="00EA658F">
      <w:bookmarkStart w:id="15" w:name="_Hlk167872382"/>
      <w:r>
        <w:rPr>
          <w:b/>
          <w:i/>
          <w:iCs/>
          <w:color w:val="000000"/>
        </w:rPr>
        <w:t>Tổ chức Kỳ thi tuyển sinh vào lớp 10 và chuẩn bị Kỳ thi tốt nghiệp trung học phổ thông</w:t>
      </w:r>
      <w:r>
        <w:rPr>
          <w:b/>
          <w:color w:val="000000"/>
        </w:rPr>
        <w:t>.</w:t>
      </w:r>
      <w:r>
        <w:t xml:space="preserve"> Thuộc nhóm 10 tỉnh có số lượng đạt giải học sinh giỏi quốc gia cao nhất cả nước; 02 em dự thi Olympic quốc tế; đạt 2 giải thưởng tại cuộc thi khoa học kỹ thuật cấp quốc gia. Đạt chuẩn phổ cập giáo dục trung học cơ sở mức độ 3, xoá mù chữ mức độ 2</w:t>
      </w:r>
      <w:bookmarkEnd w:id="15"/>
      <w:r>
        <w:t xml:space="preserve">. Tiếp tục hoàn thiện Đề án sáp nhập trường Đại học Hà Tĩnh thành trường đại học thành viên của Đại học Quốc gia Hà Nội. </w:t>
      </w:r>
    </w:p>
    <w:p w:rsidR="008E2849" w:rsidRDefault="00EA658F">
      <w:r>
        <w:rPr>
          <w:b/>
          <w:i/>
          <w:iCs/>
        </w:rPr>
        <w:t>Thực hiện hiệu quả công tác phòng chống dịch bệnh,</w:t>
      </w:r>
      <w:r>
        <w:rPr>
          <w:b/>
        </w:rPr>
        <w:t xml:space="preserve"> </w:t>
      </w:r>
      <w:r>
        <w:rPr>
          <w:b/>
          <w:i/>
          <w:iCs/>
        </w:rPr>
        <w:t>duy trì hiệu quả công tác khám, chữa bệnh tại các tuyến.</w:t>
      </w:r>
      <w:r>
        <w:rPr>
          <w:i/>
          <w:iCs/>
        </w:rPr>
        <w:t xml:space="preserve"> </w:t>
      </w:r>
      <w:r>
        <w:t>Từ đầu năm đến nay ghi nhận một số trường hợp sốt xuất huyết, các bệnh truyền nhiễm như thuỷ đậu, tay chân miệng, quai bị, sởi diễn ra rải rác, không thành dịch</w:t>
      </w:r>
      <w:r>
        <w:rPr>
          <w:rStyle w:val="FootnoteReference"/>
        </w:rPr>
        <w:footnoteReference w:id="19"/>
      </w:r>
      <w:r>
        <w:t xml:space="preserve">. Chủ động xây dựng danh mục thuốc đấu thầu cấp cơ sở và địa phương năm 2024, dự kiến sử dụng năm 2025-2026. </w:t>
      </w:r>
      <w:bookmarkStart w:id="16" w:name="_Hlk167872427"/>
      <w:r>
        <w:t>Tổ chức sắp xếp các đơn vị sự nghiệp y tế công lập theo Kết luận số 98-KL/TU của Tỉnh ủy và Đề án của UBND tỉnh; hoàn thành bàn giao các bệnh viện tuyến huyện về UBND huyện quản lý.</w:t>
      </w:r>
      <w:bookmarkEnd w:id="16"/>
    </w:p>
    <w:p w:rsidR="008E2849" w:rsidRDefault="00EA658F">
      <w:bookmarkStart w:id="17" w:name="_Hlk167872470"/>
      <w:r>
        <w:rPr>
          <w:b/>
          <w:i/>
          <w:iCs/>
        </w:rPr>
        <w:t>Giải quyết việc làm đạt khá; an sinh xã hội được chăm lo.</w:t>
      </w:r>
      <w:r>
        <w:t xml:space="preserve"> Giải quyết việc làm cho gần 11.300 người, đạt 50% kế hoạch, tăng 10% so với cùng kỳ.</w:t>
      </w:r>
      <w:bookmarkEnd w:id="17"/>
      <w:r>
        <w:t xml:space="preserve"> Tổ chức 50 phiên giao dịch, giới thiệu việc làm cho 3.105 lượt lao động. Chi trả trên 475 tỷ đồng cho gần 40.000 lượt đối tượng người có công. Quan tâm chăm lo đời sống và an sinh xã hội cho Nhân dân. Tiếp tục huy động nguồn lực thực hiện Nghị quyết số 01-NQ/TU của Ban Thường vụ Tỉnh ủy về phòng chống thiên tai; đến nay đã huy động xã hội hóa gần 667 tỷ đồng xây dựng 105 nhà văn hóa cộng đồng và gần 8.000 nhà kiên cố;</w:t>
      </w:r>
      <w:r>
        <w:rPr>
          <w:lang w:val="vi-VN"/>
        </w:rPr>
        <w:t xml:space="preserve"> </w:t>
      </w:r>
      <w:r>
        <w:t>trong đó phối hợp Bộ Công an hoàn thành 1.000 nhà ở cho các hộ nghèo, khó khăn về nhà ở.</w:t>
      </w:r>
    </w:p>
    <w:p w:rsidR="008E2849" w:rsidRDefault="00A3429E" w:rsidP="00A3429E">
      <w:pPr>
        <w:pStyle w:val="Heading3"/>
        <w:numPr>
          <w:ilvl w:val="0"/>
          <w:numId w:val="0"/>
        </w:numPr>
        <w:ind w:left="720"/>
        <w:rPr>
          <w:szCs w:val="28"/>
        </w:rPr>
      </w:pPr>
      <w:r>
        <w:rPr>
          <w:szCs w:val="28"/>
        </w:rPr>
        <w:lastRenderedPageBreak/>
        <w:t xml:space="preserve">4. </w:t>
      </w:r>
      <w:r w:rsidR="00EA658F">
        <w:rPr>
          <w:szCs w:val="28"/>
        </w:rPr>
        <w:t>Về nội vụ, nội chính, đối ngoại</w:t>
      </w:r>
    </w:p>
    <w:p w:rsidR="008E2849" w:rsidRDefault="00EA658F">
      <w:pPr>
        <w:rPr>
          <w:i/>
          <w:iCs/>
          <w:color w:val="000000"/>
        </w:rPr>
      </w:pPr>
      <w:bookmarkStart w:id="18" w:name="_Hlk167872668"/>
      <w:r>
        <w:rPr>
          <w:i/>
          <w:iCs/>
        </w:rPr>
        <w:t xml:space="preserve">Cải cách hành chính được tập trung chỉ đạo. </w:t>
      </w:r>
      <w:r>
        <w:t xml:space="preserve">Xếp hạng chỉ số CCHC (PAR Index) đứng thứ 18 cả nước, tăng 10 bậc so với năm trước. </w:t>
      </w:r>
      <w:bookmarkEnd w:id="18"/>
      <w:r>
        <w:t xml:space="preserve">Xây dựng quy chế đào tạo, bồi dưỡng cán bộ, công chức, viên chức trong cơ quan hành chính và đơn vị sự nghiệp công lập; chính sách tín dụng hỗ trợ thanh niên khởi nghiệp, lập nghiệp giai đoạn 2024-2026. </w:t>
      </w:r>
      <w:bookmarkStart w:id="19" w:name="_Hlk167872731"/>
      <w:r>
        <w:t>Tiếp tục hoàn thiện Đề án sắp xếp các đơn vị hành chính cấp huyện, cấp xã giai đoạn 2023-2025.</w:t>
      </w:r>
      <w:bookmarkEnd w:id="19"/>
    </w:p>
    <w:p w:rsidR="008E2849" w:rsidRDefault="00EA658F">
      <w:pPr>
        <w:rPr>
          <w:color w:val="000000"/>
        </w:rPr>
      </w:pPr>
      <w:r>
        <w:rPr>
          <w:i/>
          <w:iCs/>
          <w:color w:val="000000"/>
        </w:rPr>
        <w:t>Duy trì nghiêm chế độ trực sẵn sàng chiến đấu, giữ vững ổn định an ninh chính trị, trật tự an toàn xã hội.</w:t>
      </w:r>
      <w:r>
        <w:rPr>
          <w:color w:val="000000"/>
        </w:rPr>
        <w:t xml:space="preserve"> Tổ chức giao, đón nhận quân; luyện tập chuyển trạng thái sẵn sàng chiến đấu, huấn luyện chiến sĩ mới, dân quân tự vệ cho các đối tượng theo đúng kế hoạch. Đón nhận, an táng 11 hài cốt liệt sĩ hi sinh tại Lào bảo đảm trang nghiêm, chu đáo. </w:t>
      </w:r>
      <w:bookmarkStart w:id="20" w:name="_Hlk167872822"/>
      <w:r>
        <w:rPr>
          <w:color w:val="000000"/>
        </w:rPr>
        <w:t>Điều tra, khám phá 192 vụ phạm tội hình sự (tỷ lệ 86%). Tiếp tục triển khai 44 mô hình điểm thuộc Đề án 06</w:t>
      </w:r>
      <w:bookmarkEnd w:id="20"/>
      <w:r>
        <w:rPr>
          <w:rStyle w:val="FootnoteReference"/>
          <w:color w:val="000000"/>
        </w:rPr>
        <w:footnoteReference w:id="20"/>
      </w:r>
      <w:r>
        <w:t>.</w:t>
      </w:r>
    </w:p>
    <w:p w:rsidR="008E2849" w:rsidRDefault="00EA658F">
      <w:pPr>
        <w:rPr>
          <w:color w:val="000000" w:themeColor="text1"/>
        </w:rPr>
      </w:pPr>
      <w:r>
        <w:rPr>
          <w:i/>
          <w:iCs/>
          <w:color w:val="000000" w:themeColor="text1"/>
        </w:rPr>
        <w:t xml:space="preserve"> </w:t>
      </w:r>
      <w:bookmarkStart w:id="21" w:name="_Hlk167872855"/>
      <w:r>
        <w:rPr>
          <w:i/>
          <w:iCs/>
          <w:color w:val="000000" w:themeColor="text1"/>
        </w:rPr>
        <w:t xml:space="preserve">Tích cực triển khai các hoạt động đối ngoại. </w:t>
      </w:r>
      <w:r>
        <w:rPr>
          <w:color w:val="000000" w:themeColor="text1"/>
        </w:rPr>
        <w:t>Làm việc với Hiệp hội khí công nghiệp Quảng Châu, Trung Quốc. Tham gia quảng bá địa phương tại Hoa Kỳ, Canada; Hội nghị thượng đỉnh các thành phố thế giới tại Singapore. Nghiên cứu ký kết biên bản hợp tác với các địa, phương, tổ chức của Lào, Đài Loan</w:t>
      </w:r>
      <w:bookmarkEnd w:id="21"/>
      <w:r>
        <w:rPr>
          <w:rStyle w:val="FootnoteReference"/>
          <w:color w:val="000000" w:themeColor="text1"/>
        </w:rPr>
        <w:footnoteReference w:id="21"/>
      </w:r>
      <w:r>
        <w:rPr>
          <w:color w:val="000000" w:themeColor="text1"/>
        </w:rPr>
        <w:t>.</w:t>
      </w:r>
      <w:r>
        <w:t xml:space="preserve"> </w:t>
      </w:r>
      <w:r>
        <w:rPr>
          <w:color w:val="000000" w:themeColor="text1"/>
        </w:rPr>
        <w:t>Hỗ trợ cấp học bổng đào tạo đại học năm học 2024-2025 cho các tỉnh Bắc Lào.</w:t>
      </w:r>
    </w:p>
    <w:p w:rsidR="008E2849" w:rsidRDefault="00EA658F">
      <w:pPr>
        <w:rPr>
          <w:b/>
          <w:color w:val="000000" w:themeColor="text1"/>
        </w:rPr>
      </w:pPr>
      <w:r>
        <w:rPr>
          <w:b/>
          <w:color w:val="000000" w:themeColor="text1"/>
        </w:rPr>
        <w:t>II. KHÓ KHĂN, HẠN CHẾ</w:t>
      </w:r>
    </w:p>
    <w:p w:rsidR="008E2849" w:rsidRDefault="00EA658F">
      <w:r>
        <w:t xml:space="preserve">Tăng trưởng kinh tế đạt khá nhưng chưa đạt yêu cầu so với chỉ tiêu tăng trưởng cả năm (8-8,5%). Công nghiệp phục hồi chững lại. </w:t>
      </w:r>
      <w:bookmarkStart w:id="22" w:name="_Hlk167873055"/>
      <w:r>
        <w:t>. Thực hiện Đề án tỉnh NTM</w:t>
      </w:r>
      <w:bookmarkEnd w:id="22"/>
      <w:r>
        <w:t xml:space="preserve">, huyện đạt chuẩn NTM nâng cao khó khăn về nguồn lực. Kim ngạch xuất khẩu giảm. Tiến độ triển khai một số dự án du lịch, dịch vụ còn chậm. </w:t>
      </w:r>
      <w:bookmarkStart w:id="23" w:name="_Hlk167873083"/>
      <w:r>
        <w:t>Hoạt động sản xuất, kinh doanh của doanh nghiệp còn nhiều khó khăn</w:t>
      </w:r>
      <w:bookmarkEnd w:id="23"/>
      <w:r>
        <w:t xml:space="preserve">. Thực hiện sắp xếp đơn vị hành chính cấp huyện, cấp xã giai đoạn 2023-2025 còn vướng mắc. Một số dự án, vụ việc tồn đọng vướng mắc thuộc thẩm quyền Trung ương chưa được xử lý dứt điểm. Tình hình an ninh chính trị và trật tự, an toàn xã hội còn những nguy cơ tiềm ẩn; tội phạm ma túy, tội phạm công nghệ cao diễn biến phức tạp. </w:t>
      </w:r>
    </w:p>
    <w:p w:rsidR="008E2849" w:rsidRDefault="00EA658F">
      <w:pPr>
        <w:pStyle w:val="Heading2"/>
        <w:numPr>
          <w:ilvl w:val="0"/>
          <w:numId w:val="0"/>
        </w:numPr>
        <w:ind w:left="720"/>
        <w:rPr>
          <w:lang w:val="vi-VN"/>
        </w:rPr>
      </w:pPr>
      <w:r>
        <w:t>III. NHIỆM VỤ, GIẢI PHÁP 6 THÁNG CUỐI NĂM</w:t>
      </w:r>
    </w:p>
    <w:p w:rsidR="008E2849" w:rsidRDefault="00EA658F">
      <w:pPr>
        <w:rPr>
          <w:color w:val="000000"/>
        </w:rPr>
      </w:pPr>
      <w:bookmarkStart w:id="24" w:name="_Hlk167873142"/>
      <w:r>
        <w:rPr>
          <w:color w:val="000000"/>
        </w:rPr>
        <w:t xml:space="preserve">Thời gian tới, dự báo tình hình thế giới tiếp tục biến động phức tạp; trong nước, khó khăn thách thức và cơ hội, thời cơ đan xen, trong đó khó khăn thách thức nhiều hơn. Nhiệm vụ đặt ra từ nay đến cuối năm rất nặng nề, đòi hỏi các cấp, các ngành phải quyết tâm cao, nỗ lực lớn, hành động quyết liệt để có thể đạt mức cao nhất các mục tiêu của năm 2024 đã đề ra; triển khai đồng bộ các nhiệm vụ, giải pháp đề ra tại Chương trình hành động triển khai nhiệm vụ kế hoạch </w:t>
      </w:r>
      <w:r>
        <w:rPr>
          <w:color w:val="000000"/>
        </w:rPr>
        <w:lastRenderedPageBreak/>
        <w:t xml:space="preserve">phát triển kinh tế - xã hội năm 2024 trong 6 tháng cuối năm; tập trung các  nhiệm vụ giải pháp trọng tâm, chủ yếu sau: </w:t>
      </w:r>
    </w:p>
    <w:p w:rsidR="008E2849" w:rsidRDefault="00EA658F">
      <w:pPr>
        <w:rPr>
          <w:color w:val="000000"/>
        </w:rPr>
      </w:pPr>
      <w:r>
        <w:rPr>
          <w:b/>
          <w:bCs/>
          <w:color w:val="000000"/>
        </w:rPr>
        <w:t>1.</w:t>
      </w:r>
      <w:r>
        <w:rPr>
          <w:color w:val="000000"/>
        </w:rPr>
        <w:t xml:space="preserve"> Rà soát đánh giá, sơ kết các Nghị quyết chuyên đề về phát triển kinh tế- xã hội của Tỉnh ủy, Ban Thường vụ Tỉnh ủy. Chủ động chuẩn bị các nội dung kinh tế - xã hội phục vụ xây dựng văn kiện Đại hội Đảng bộ tỉnh lần thứ XX. Trình phê duyệt và triển khai kế hoạch thực hiện Quy hoạch tỉnh. Hoàn thiện Đề án sắp xếp đơn vị hành chính cấp huyện, xã giai đoạn 2023-2025. </w:t>
      </w:r>
    </w:p>
    <w:p w:rsidR="008E2849" w:rsidRDefault="00EA658F">
      <w:pPr>
        <w:rPr>
          <w:color w:val="000000"/>
        </w:rPr>
      </w:pPr>
      <w:r>
        <w:rPr>
          <w:b/>
          <w:bCs/>
          <w:color w:val="000000"/>
        </w:rPr>
        <w:t>2.</w:t>
      </w:r>
      <w:r>
        <w:rPr>
          <w:color w:val="000000"/>
        </w:rPr>
        <w:t xml:space="preserve"> Thúc đẩy sản xuất công nghiệp; hỗ trợ nhà đầu tư đẩy nhanh tiến độ các dự án công nghiệp lớn. Tập trung nguồn lực hỗ trợ thi công Đường dây 500 kV mạch 3. Phối hợp bộ, ngành hoàn thiện báo cáo đề xuất chấm dứt dự án khai thác mỏ sắt Thạch Khê. Chủ động phương án truyền tải, điều tiết nguồn điện; bảo đảm cung ứng điện cao điểm mùa nắng nóng.</w:t>
      </w:r>
    </w:p>
    <w:p w:rsidR="008E2849" w:rsidRDefault="00EA658F">
      <w:pPr>
        <w:rPr>
          <w:color w:val="000000"/>
        </w:rPr>
      </w:pPr>
      <w:r>
        <w:rPr>
          <w:b/>
          <w:bCs/>
          <w:color w:val="000000"/>
        </w:rPr>
        <w:t xml:space="preserve">3. </w:t>
      </w:r>
      <w:r>
        <w:rPr>
          <w:color w:val="000000"/>
        </w:rPr>
        <w:t>Chỉ đạo sản xuất vụ Hè Thu, vụ Đông. Chủ động các phương án phòng chống cháy rừng mùa nắng nóng; ứng phó các tình huống thời tiết bất thường, thiên tai xảy ra. Tiếp tục thực hiện chính sách hỗ trợ tập trung tích tụ ruộng đất; nhân rộng các mô hình, chuỗi sản xuất theo hướng hữu cơ, tuần hoàn. Tập trung các nội dung, tiêu chí đạt chuẩn/hoàn thành nhiệm vụ NTM huyện Hương Khê, TX. Kỳ Anh, TX. Hồng Lĩnh.</w:t>
      </w:r>
    </w:p>
    <w:p w:rsidR="008E2849" w:rsidRDefault="00EA658F">
      <w:pPr>
        <w:rPr>
          <w:color w:val="000000"/>
        </w:rPr>
      </w:pPr>
      <w:r>
        <w:rPr>
          <w:b/>
          <w:bCs/>
          <w:color w:val="000000"/>
        </w:rPr>
        <w:t>4.</w:t>
      </w:r>
      <w:r>
        <w:rPr>
          <w:color w:val="000000"/>
        </w:rPr>
        <w:t xml:space="preserve"> Chủ động theo dõi, dự báo tình hình thị trường, biến động cung cầu hàng hóa; đẩy mạnh xúc tiến thương mại sản phẩm OCOP. Thúc đẩy phát triển các sản phẩm du lịch mới, giá trị gia tăng cao; triển khai đồng bộ các giải pháp phối hợp liên tỉnh, liên vùng về quảng bá, xúc tiến du lịch. Tập trung tháo gỡ khó khăn, vướng mắc đối với các dự án du lịch, dịch vụ khu vực dải ven biển.</w:t>
      </w:r>
    </w:p>
    <w:p w:rsidR="008E2849" w:rsidRDefault="00EA658F">
      <w:pPr>
        <w:rPr>
          <w:color w:val="000000"/>
        </w:rPr>
      </w:pPr>
      <w:r>
        <w:rPr>
          <w:b/>
          <w:bCs/>
          <w:color w:val="000000"/>
        </w:rPr>
        <w:t>5.</w:t>
      </w:r>
      <w:r>
        <w:rPr>
          <w:color w:val="000000"/>
        </w:rPr>
        <w:t xml:space="preserve"> Chỉ đạo quyết liệt thu ngân sách, tăng cường hậu kiểm, chống thất thu, thu hồi nợ thuế.</w:t>
      </w:r>
      <w:r>
        <w:t xml:space="preserve"> Các Tổ công tác tổ chức kiểm tra, đôn đốc, đẩy mạnh giải ngân đầu tư công; </w:t>
      </w:r>
      <w:r>
        <w:rPr>
          <w:color w:val="000000"/>
        </w:rPr>
        <w:t>phát huy vai trò các Tổ công tác 467, 477 để giải quyết hiệu quả các vụ việc tồn đọng kéo dài. Tập trung khắc phục, nâng cao các chỉ số cải cách hành chính, cải thiện môi trường đầu tư kinh doanh; tạo điều kiện thuận lợi cho người dân, doanh nghiệp tiếp cận nguồn vốn tín dụng. Tích cực hỗ trợ nhà đầu tư triển khai các nội dung đã ký kết tại Hội nghị công bố Quy hoạch tỉnh.</w:t>
      </w:r>
    </w:p>
    <w:p w:rsidR="008E2849" w:rsidRDefault="00EA658F">
      <w:pPr>
        <w:rPr>
          <w:color w:val="000000"/>
        </w:rPr>
      </w:pPr>
      <w:r>
        <w:rPr>
          <w:b/>
          <w:bCs/>
          <w:color w:val="000000"/>
        </w:rPr>
        <w:t>6.</w:t>
      </w:r>
      <w:r>
        <w:rPr>
          <w:color w:val="000000"/>
        </w:rPr>
        <w:t xml:space="preserve"> Hoàn thiện, trình cấp có thẩm quyền phê duyệt các đề án, quy hoạch: Điều chỉnh, mở rộng Khu Kinh tế Vũng Áng; thành lập thành phố Kỳ Anh; quy hoạch chung thành phố Hà Tĩnh; quy hoạch chung đô thị mới Nghi Xuân... Tập trung phối hợp thi công Dự án đường bộ cao tốc Bắc - Nam. Tiếp tục nghiên cứu, chủ động triển khai các nội dung thi hành Luật Đất đai; đẩy nhanh việc xây dựng các nhà máy, khu xử lý chất thải theo Đề án của UBND tỉnh.</w:t>
      </w:r>
    </w:p>
    <w:p w:rsidR="008E2849" w:rsidRDefault="00EA658F">
      <w:pPr>
        <w:rPr>
          <w:color w:val="000000"/>
        </w:rPr>
      </w:pPr>
      <w:r>
        <w:rPr>
          <w:b/>
          <w:bCs/>
          <w:color w:val="000000"/>
        </w:rPr>
        <w:t>7.</w:t>
      </w:r>
      <w:r>
        <w:rPr>
          <w:color w:val="000000"/>
        </w:rPr>
        <w:t xml:space="preserve"> Tập trung thực hiện Đề án nâng cấp và mở rộng Khu lưu niệm Tổng Bí thư Trần Phú, Hà Huy Tập. Tổ chức Festival “Về miền Ví, Giặm - 2024”; Kỷ niệm 300 năm năm sinh và vinh danh danh nhân Hải Thượng Lãn Ông. Tổ chức kỳ thi tốt nghiệp THPT an toàn, đúng quy chế; xây dựng kế hoạch, tổ chức thực hiện nhiệm vụ năm học 2024-2025; tập trung triển khai các nội dung hợp tác với Đại học Quốc gia Hà Nội. Nâng cao chất lượng công tác khám chữa bệnh; chú </w:t>
      </w:r>
      <w:r>
        <w:rPr>
          <w:color w:val="000000"/>
        </w:rPr>
        <w:lastRenderedPageBreak/>
        <w:t>trọng y tế dự phòng, đảm bảo thuốc, vật tư y tế. Đẩy mạnh tư vấn, giới thiệu việc làm, cung ứng lao động; tạo thuận lợi tối đa cho người tham gia, thụ hưởng các chính sách bảo hiểm, đáp ứng đầy đủ, kịp thời quyền lợi chính đáng của Nhân dân. Đẩy nhanh tiến độ xây dựng các nhà văn hóa cộng đồng kết hợp tránh bão, lũ và nhà ở cho hộ dân đã được phê duyệt, hoàn thành trước mùa mưa bão.</w:t>
      </w:r>
    </w:p>
    <w:p w:rsidR="008E2849" w:rsidRDefault="00EA658F">
      <w:pPr>
        <w:spacing w:after="240"/>
        <w:rPr>
          <w:color w:val="000000"/>
        </w:rPr>
      </w:pPr>
      <w:r>
        <w:rPr>
          <w:b/>
          <w:bCs/>
          <w:color w:val="000000"/>
        </w:rPr>
        <w:t>8.</w:t>
      </w:r>
      <w:r>
        <w:rPr>
          <w:color w:val="000000"/>
        </w:rPr>
        <w:t xml:space="preserve"> Thực hiện đồng bộ các giải pháp bảo đảm an ninh chính trị, trật tự an toàn xã hội. Tăng cường công tác thanh tra, kiểm tra, giám sát; giải quyết đơn thư, khiếu nại, tố cáo. Tổ chức diễn tập khu vực phòng thủ các huyện Thạch Hà, Can Lộc, Đức Thọ, Hương Khê và diễn tập phòng chống bão lụt, tìm kiếm cứu nạn thị xã Kỳ Anh. Tổ chức Hội nghị cấp cao thường niên Hà Tĩnh - Bolikhămxay - Khăm Muồn.</w:t>
      </w:r>
      <w:bookmarkEnd w:id="24"/>
      <w:r>
        <w:rPr>
          <w:color w:val="000000"/>
        </w:rPr>
        <w:t>/.</w:t>
      </w:r>
    </w:p>
    <w:p w:rsidR="008E2849" w:rsidRDefault="00EA658F">
      <w:pPr>
        <w:spacing w:after="240"/>
        <w:jc w:val="right"/>
      </w:pPr>
      <w:r>
        <w:rPr>
          <w:b/>
          <w:bCs/>
          <w:color w:val="000000"/>
        </w:rPr>
        <w:t>ỦY BAN NHÂN DÂN TỈNH</w:t>
      </w:r>
    </w:p>
    <w:sectPr w:rsidR="008E2849">
      <w:headerReference w:type="default" r:id="rId9"/>
      <w:footnotePr>
        <w:numRestart w:val="eachSect"/>
      </w:footnotePr>
      <w:pgSz w:w="11906" w:h="16838" w:code="9"/>
      <w:pgMar w:top="851" w:right="1134"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D8" w:rsidRDefault="005767D8">
      <w:pPr>
        <w:spacing w:after="0"/>
      </w:pPr>
      <w:r>
        <w:separator/>
      </w:r>
    </w:p>
  </w:endnote>
  <w:endnote w:type="continuationSeparator" w:id="0">
    <w:p w:rsidR="005767D8" w:rsidRDefault="005767D8">
      <w:pPr>
        <w:spacing w:after="0"/>
      </w:pPr>
      <w:r>
        <w:continuationSeparator/>
      </w:r>
    </w:p>
  </w:endnote>
  <w:endnote w:type="continuationNotice" w:id="1">
    <w:p w:rsidR="005767D8" w:rsidRDefault="005767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ptos Display">
    <w:altName w:val="Arial"/>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D8" w:rsidRDefault="005767D8">
      <w:pPr>
        <w:spacing w:after="0"/>
        <w:ind w:firstLine="0"/>
      </w:pPr>
      <w:r>
        <w:separator/>
      </w:r>
    </w:p>
  </w:footnote>
  <w:footnote w:type="continuationSeparator" w:id="0">
    <w:p w:rsidR="005767D8" w:rsidRDefault="005767D8">
      <w:pPr>
        <w:spacing w:after="0"/>
        <w:ind w:firstLine="0"/>
      </w:pPr>
      <w:r>
        <w:continuationSeparator/>
      </w:r>
    </w:p>
  </w:footnote>
  <w:footnote w:type="continuationNotice" w:id="1">
    <w:p w:rsidR="005767D8" w:rsidRDefault="005767D8">
      <w:pPr>
        <w:spacing w:after="0"/>
        <w:ind w:firstLine="0"/>
      </w:pPr>
    </w:p>
  </w:footnote>
  <w:footnote w:id="2">
    <w:p w:rsidR="008E2849" w:rsidRDefault="00EA658F">
      <w:pPr>
        <w:pStyle w:val="FootnoteText"/>
        <w:spacing w:before="60" w:after="60"/>
      </w:pPr>
      <w:r>
        <w:rPr>
          <w:rStyle w:val="FootnoteReference"/>
        </w:rPr>
        <w:footnoteRef/>
      </w:r>
      <w:r>
        <w:t xml:space="preserve"> Số liệu công bố của Tổng cục Thống kê (Văn bản số 1027/TCTK-TKQG ngày 29/5/2024); số liệu tăng trưởng GRDP </w:t>
      </w:r>
      <w:r>
        <w:rPr>
          <w:b/>
        </w:rPr>
        <w:t>các tỉnh Bắc Trung bộ</w:t>
      </w:r>
      <w:r>
        <w:t>: Thanh Hóa 11,49%, Nghệ An 6,76%, Quảng Bình 6,50%, Huế 6,01%, Quảng Trị 5,02%.</w:t>
      </w:r>
    </w:p>
  </w:footnote>
  <w:footnote w:id="3">
    <w:p w:rsidR="008E2849" w:rsidRDefault="00EA658F">
      <w:pPr>
        <w:pStyle w:val="FootnoteText"/>
        <w:spacing w:before="60" w:after="60"/>
      </w:pPr>
      <w:r>
        <w:rPr>
          <w:rStyle w:val="FootnoteReference"/>
        </w:rPr>
        <w:footnoteRef/>
      </w:r>
      <w:r>
        <w:t xml:space="preserve"> Lúa tươi được thương lái thu mua tại chân ruộng với giá 5.800-6.300 đồng/kg, lúa phơi qua một nắng 8.300-8.500 đồng/kg, cao hơn cùng kỳ năm ngoái khoảng 200-500 đồng/kg.</w:t>
      </w:r>
    </w:p>
  </w:footnote>
  <w:footnote w:id="4">
    <w:p w:rsidR="008E2849" w:rsidRDefault="00EA658F">
      <w:pPr>
        <w:pStyle w:val="FootnoteText"/>
        <w:spacing w:before="60" w:after="60"/>
      </w:pPr>
      <w:r>
        <w:rPr>
          <w:rStyle w:val="FootnoteReference"/>
        </w:rPr>
        <w:footnoteRef/>
      </w:r>
      <w:r>
        <w:t xml:space="preserve"> Đến nay có trên 1.897 ha cây trồng được cấp giấy chứng nhận VietGAP còn hiệu lực (Cam 762 ha/130 cơ sở; bưởi 394 ha/65 cơ sở; vườn ăn quả hỗn hợp 275 ha/41cơ sở; rau 27 ha/20 cơ sở; lúa 407 ha/20 cơ sở; chè 29 ha/1 cơ sở); đã hình thành 315 ha sản xuất hữu cơ và theo hướng hữu cơ trong đó: 240 ha lúa, 4,3 ha rau, 70 ha cây ăn quả (trong đó có 70 ha được chứng nhận đạt tiêu chuẩn hữu cơ). </w:t>
      </w:r>
      <w:r>
        <w:rPr>
          <w:b/>
          <w:bCs/>
          <w:i/>
          <w:iCs/>
        </w:rPr>
        <w:t>Liên kết với Tập đoàn Quế Lâm:</w:t>
      </w:r>
      <w:r>
        <w:t xml:space="preserve"> Vụ Xuân 2024 tiếp tục triển khai 144 ha lúa (Cẩm Xuyên 89 ha, Kỳ Anh 32 ha, Can Lộc 18 ha, Vũ Quang 2,5 ha, Hương Sơn 1,5 ha, Lộc Hà 0,25 ha); 0,3 ha dưa hấu tại xã Thịnh Lộc, Lộc Hà; 1,8 ha đậu tương tại xã Cẩm Vịnh, Cẩm Xuyên; 2 ha cam bù tại Hương Sơn; 1 ha vú sữa tại Vũ Quang; 100 cây ổi tại xã Ân Phú, Vũ Quang. </w:t>
      </w:r>
      <w:r>
        <w:rPr>
          <w:b/>
          <w:bCs/>
          <w:i/>
          <w:iCs/>
        </w:rPr>
        <w:t>Liên kết với Công ty Đồng Giao:</w:t>
      </w:r>
      <w:r>
        <w:t xml:space="preserve"> Hiện đã có 05 huyện (Hương Sơn, Kỳ Anh, Hương Khê, Vũ Quang, Cẩm Xuyên) đã ký kết chương trình hợp tác liên kết sản xuất, gồm ở Kỳ Anh các hộ dẫn đã ký trực tiếp với hộ dân triển khai trồng 10,5/16,5 ha dứa và 1,5 ha cây ngô ngọt; Huyện Hương Sơn triển khai được 13 ha mô hình trồng ngô ngọt; Hương Khê đã rà soát, dự kiến triển khai mô hình trồng dứa với 36 ha tại các xã đăng ký (Lộc Yên, Hương Xuân…); Vũ Quang đã ký kết chương trình triển khai trong vụ Xuân 2024.</w:t>
      </w:r>
    </w:p>
  </w:footnote>
  <w:footnote w:id="5">
    <w:p w:rsidR="008E2849" w:rsidRDefault="00EA658F">
      <w:pPr>
        <w:pStyle w:val="FootnoteText"/>
        <w:spacing w:before="60" w:after="60"/>
      </w:pPr>
      <w:r>
        <w:rPr>
          <w:rStyle w:val="FootnoteReference"/>
        </w:rPr>
        <w:footnoteRef/>
      </w:r>
      <w:r>
        <w:t xml:space="preserve"> Điện sản xuất ước đạt 5,9 tỷ kWh, tăng 40% (Formosa đạt 2 tỷ kWh, tăng 4%; Nhiệt điện Vũng Áng I đạt 3,8 tỷ kWh, tăng 73%); bia ước đạt 39 triệu lít, tăng 25% (Bia Sài Gòn - Hà Tĩnh đạt 31 triệu lít, tăng 13%; Bia Nghệ Tĩnh đạt 7,6 triệu lít, tăng 2,2 lần); pack pin ước đạt 2.400 pack (nhà máy đi vào sản xuất từ tháng 8/2023).</w:t>
      </w:r>
    </w:p>
  </w:footnote>
  <w:footnote w:id="6">
    <w:p w:rsidR="008E2849" w:rsidRDefault="00EA658F">
      <w:pPr>
        <w:pStyle w:val="FootnoteText"/>
        <w:spacing w:before="60" w:after="60"/>
      </w:pPr>
      <w:r>
        <w:rPr>
          <w:rStyle w:val="FootnoteReference"/>
        </w:rPr>
        <w:footnoteRef/>
      </w:r>
      <w:r>
        <w:t xml:space="preserve"> Thép ước đạt 2,3 triệu tấn, giảm 14% (ngoài khó khăn chung trong kinh doanh thì từ ngày 1/4-15/4 Formosa gặp sự cố tại dây chuyền cán nóng phải dừng vận hành để sửa chữa); sợi ước đạt 3.327 tấn, tăng 2% (tăng thấp do đầu ra thị trường vẫn khó khăn).</w:t>
      </w:r>
    </w:p>
  </w:footnote>
  <w:footnote w:id="7">
    <w:p w:rsidR="008E2849" w:rsidRDefault="00EA658F">
      <w:pPr>
        <w:pStyle w:val="FootnoteText"/>
        <w:spacing w:before="60" w:after="60"/>
      </w:pPr>
      <w:r>
        <w:rPr>
          <w:rStyle w:val="FootnoteReference"/>
        </w:rPr>
        <w:footnoteRef/>
      </w:r>
      <w:r>
        <w:t xml:space="preserve"> </w:t>
      </w:r>
      <w:r>
        <w:rPr>
          <w:b/>
          <w:bCs/>
          <w:i/>
          <w:iCs/>
          <w:color w:val="000000" w:themeColor="text1"/>
        </w:rPr>
        <w:t>Nhà máy Nhiệt điện Vũng Áng II:</w:t>
      </w:r>
      <w:r>
        <w:rPr>
          <w:color w:val="000000" w:themeColor="text1"/>
        </w:rPr>
        <w:t xml:space="preserve"> giải ngân hơn 42.000 tỷ đồng, đạt trên 80% kế hoạch; </w:t>
      </w:r>
      <w:r>
        <w:rPr>
          <w:b/>
          <w:bCs/>
          <w:i/>
          <w:iCs/>
          <w:color w:val="000000" w:themeColor="text1"/>
        </w:rPr>
        <w:t>Nhà máy Pin Lithium:</w:t>
      </w:r>
      <w:r>
        <w:rPr>
          <w:color w:val="000000" w:themeColor="text1"/>
        </w:rPr>
        <w:t xml:space="preserve"> đang đẩy nhanh tiến độ, phấn đấu hoàn thành vào cuối quý II/2024; </w:t>
      </w:r>
      <w:r>
        <w:rPr>
          <w:b/>
          <w:bCs/>
          <w:i/>
          <w:iCs/>
          <w:color w:val="000000" w:themeColor="text1"/>
        </w:rPr>
        <w:t>KCN Bắc Thạch Hà</w:t>
      </w:r>
      <w:r>
        <w:rPr>
          <w:color w:val="000000" w:themeColor="text1"/>
        </w:rPr>
        <w:t xml:space="preserve"> </w:t>
      </w:r>
      <w:r>
        <w:rPr>
          <w:b/>
          <w:bCs/>
          <w:i/>
          <w:iCs/>
          <w:color w:val="000000" w:themeColor="text1"/>
        </w:rPr>
        <w:t>(VSIP):</w:t>
      </w:r>
      <w:r>
        <w:rPr>
          <w:color w:val="000000" w:themeColor="text1"/>
        </w:rPr>
        <w:t xml:space="preserve"> đã hoàn thành công tác GPMB, đang thực hiện thủ tục giao đất, cho thuê đất để khởi công; </w:t>
      </w:r>
      <w:r>
        <w:rPr>
          <w:b/>
          <w:bCs/>
          <w:i/>
          <w:iCs/>
          <w:color w:val="000000" w:themeColor="text1"/>
        </w:rPr>
        <w:t xml:space="preserve">Dự án đường dây 500kV mạch 3 đoạn qua Hà Tĩnh: </w:t>
      </w:r>
      <w:r>
        <w:rPr>
          <w:color w:val="000000" w:themeColor="text1"/>
        </w:rPr>
        <w:t>hoàn thành bàn giao mặt bằng 285/285 vị trí móng cột, 284/284 khoảng cột, hiện đang tập trung huy động thi công để hoàn thành đóng điện trong tháng 6 theo chỉ đạo của Thủ tướng Chính phủ.</w:t>
      </w:r>
    </w:p>
  </w:footnote>
  <w:footnote w:id="8">
    <w:p w:rsidR="008E2849" w:rsidRDefault="00EA658F">
      <w:pPr>
        <w:pStyle w:val="FootnoteText"/>
        <w:spacing w:before="60" w:after="60"/>
      </w:pPr>
      <w:r>
        <w:rPr>
          <w:rStyle w:val="FootnoteReference"/>
        </w:rPr>
        <w:footnoteRef/>
      </w:r>
      <w:r>
        <w:t xml:space="preserve"> Xuất khẩu từ Formosa giảm do thị trường thép gặp nhiều khó khăn.</w:t>
      </w:r>
    </w:p>
  </w:footnote>
  <w:footnote w:id="9">
    <w:p w:rsidR="008E2849" w:rsidRDefault="00EA658F">
      <w:pPr>
        <w:pStyle w:val="FootnoteText"/>
        <w:spacing w:before="60" w:after="60"/>
      </w:pPr>
      <w:r>
        <w:rPr>
          <w:rStyle w:val="FootnoteReference"/>
        </w:rPr>
        <w:footnoteRef/>
      </w:r>
      <w:r>
        <w:t xml:space="preserve"> Nhập khẩu quặng, nguyên liệu phục vụ sản xuất của Formosa tương đương cùng kỳ nhưng tăng nhập khẩu máy móc, thiết bị phục vụ đầu tư dự án Nhiệt điện Vũng Áng II, các nhà máy pin của Vingroup, bảo dưỡng duy tu của Formosa.</w:t>
      </w:r>
    </w:p>
  </w:footnote>
  <w:footnote w:id="10">
    <w:p w:rsidR="008E2849" w:rsidRDefault="00EA658F">
      <w:pPr>
        <w:pStyle w:val="FootnoteText"/>
        <w:spacing w:before="60" w:after="60"/>
      </w:pPr>
      <w:r>
        <w:rPr>
          <w:rStyle w:val="FootnoteReference"/>
        </w:rPr>
        <w:footnoteRef/>
      </w:r>
      <w:r>
        <w:t xml:space="preserve"> Tổ chức khai hội Chùa Hương tích; các huyện Nghi Xuân, Kỳ Anh, Cẩm Xuyên, Lộc Hà tổ chức khai trương mùa du lịch biển. Tổ chức Hội nghị xúc tiến, quảng bá du lịch Hà Tĩnh; tham gia Hội chợ Travex tại Lào; Hội nghị xúc tiến, quảng bá du lịch Ninh Bình - Thanh Hóa - Nghệ An - Hà Tĩnh; Hội chợ du lịch quốc tế 2024...</w:t>
      </w:r>
    </w:p>
  </w:footnote>
  <w:footnote w:id="11">
    <w:p w:rsidR="008E2849" w:rsidRDefault="00EA658F">
      <w:pPr>
        <w:pStyle w:val="FootnoteText"/>
        <w:spacing w:before="60" w:after="60"/>
      </w:pPr>
      <w:r>
        <w:rPr>
          <w:rStyle w:val="FootnoteReference"/>
        </w:rPr>
        <w:footnoteRef/>
      </w:r>
      <w:r>
        <w:t xml:space="preserve"> </w:t>
      </w:r>
      <w:bookmarkStart w:id="4" w:name="_Hlk167871515"/>
      <w:r>
        <w:t>Thị trường đất tại một số địa phương khởi sắc như: TP. Hà Tĩnh, Cẩm Xuyên, Can Lộc, Thạch Hà, Nghi Xuân.</w:t>
      </w:r>
      <w:bookmarkEnd w:id="4"/>
    </w:p>
  </w:footnote>
  <w:footnote w:id="12">
    <w:p w:rsidR="008E2849" w:rsidRDefault="00EA658F">
      <w:pPr>
        <w:pStyle w:val="FootnoteText"/>
        <w:spacing w:before="60" w:after="60"/>
      </w:pPr>
      <w:r>
        <w:rPr>
          <w:rStyle w:val="FootnoteReference"/>
        </w:rPr>
        <w:footnoteRef/>
      </w:r>
      <w:r>
        <w:t xml:space="preserve"> </w:t>
      </w:r>
      <w:bookmarkStart w:id="5" w:name="_Hlk167871540"/>
      <w:r>
        <w:t>Thu thuế phí 6 tháng ước giảm so với cùng kỳ năm trước do năm trước được bổ sung khoản thu thêm 1.098 tỷ đồng từ thuế thu nhập doanh nghiệp sau thanh tra của công ty Formosa. Nếu loại trừ khoản thu này của năm trước thì thu thuế phí 6 tháng năm nay tăng 23%.</w:t>
      </w:r>
      <w:bookmarkEnd w:id="5"/>
    </w:p>
  </w:footnote>
  <w:footnote w:id="13">
    <w:p w:rsidR="008E2849" w:rsidRDefault="00EA658F">
      <w:pPr>
        <w:pStyle w:val="FootnoteText"/>
      </w:pPr>
      <w:r>
        <w:rPr>
          <w:rStyle w:val="FootnoteReference"/>
        </w:rPr>
        <w:footnoteRef/>
      </w:r>
      <w:r>
        <w:t xml:space="preserve"> </w:t>
      </w:r>
      <w:bookmarkStart w:id="6" w:name="_Hlk167871635"/>
      <w:r>
        <w:t>Một số mặt hàng nhập khẩu thuế lớn như than, quặng, phế liệu, máy móc thiết bị: Than 1.600 tỷ đồng, quặng 1.300 tỷ đồng, phế liệu 120 tỷ đồng (phục vụ sản xuất của Formosa), máy móc thiết bị 700 tỷ đồng (đầu tư, lắp đặt cho các Nhà máy pin của Vingroup, Nhiệt điện Vũng Áng II, sửa chữa bảo dưỡng, duy tu của Formosa)...</w:t>
      </w:r>
      <w:bookmarkEnd w:id="6"/>
    </w:p>
  </w:footnote>
  <w:footnote w:id="14">
    <w:p w:rsidR="008E2849" w:rsidRDefault="00EA658F">
      <w:pPr>
        <w:pStyle w:val="FootnoteText"/>
      </w:pPr>
      <w:r>
        <w:rPr>
          <w:rStyle w:val="FootnoteReference"/>
        </w:rPr>
        <w:footnoteRef/>
      </w:r>
      <w:r>
        <w:t xml:space="preserve"> Trong đó: </w:t>
      </w:r>
      <w:r>
        <w:rPr>
          <w:b/>
          <w:bCs/>
          <w:i/>
        </w:rPr>
        <w:t>Khu vực kinh tế nhà nước</w:t>
      </w:r>
      <w:r>
        <w:t xml:space="preserve"> đạt 6.483 tỷ đồng, đạt 57% kế hoạch, tăng 53%; </w:t>
      </w:r>
      <w:r>
        <w:rPr>
          <w:b/>
          <w:bCs/>
          <w:i/>
        </w:rPr>
        <w:t>Khu vực kinh tế ngoài nhà nước</w:t>
      </w:r>
      <w:r>
        <w:t xml:space="preserve"> đạt 8.584 tỷ đồng, đạt 46% kế hoạch, giảm 7%; </w:t>
      </w:r>
      <w:r>
        <w:rPr>
          <w:b/>
          <w:bCs/>
          <w:i/>
        </w:rPr>
        <w:t>Khu vực có vốn đầu tư trực tiếp nước ngoài</w:t>
      </w:r>
      <w:r>
        <w:t xml:space="preserve"> đạt 10.580 tỷ đồng, đạt 58% kế hoạch, tăng 31%.</w:t>
      </w:r>
    </w:p>
  </w:footnote>
  <w:footnote w:id="15">
    <w:p w:rsidR="008E2849" w:rsidRDefault="00EA658F">
      <w:pPr>
        <w:pStyle w:val="FootnoteText"/>
      </w:pPr>
      <w:r>
        <w:rPr>
          <w:rStyle w:val="FootnoteReference"/>
        </w:rPr>
        <w:footnoteRef/>
      </w:r>
      <w:r>
        <w:t xml:space="preserve"> </w:t>
      </w:r>
      <w:bookmarkStart w:id="9" w:name="_Hlk167872077"/>
      <w:r>
        <w:t>Đến nay 3 dự án đã được chấp thuận, 23 dự án đang hoàn thiện hồ sơ thủ tục, 7 dự án đang nghiên cứu khảo sát, 3 dự án dừng thực hiện.</w:t>
      </w:r>
    </w:p>
    <w:bookmarkEnd w:id="9"/>
  </w:footnote>
  <w:footnote w:id="16">
    <w:p w:rsidR="008E2849" w:rsidRDefault="00EA658F">
      <w:pPr>
        <w:pStyle w:val="FootnoteText"/>
      </w:pPr>
      <w:r>
        <w:rPr>
          <w:rStyle w:val="FootnoteReference"/>
        </w:rPr>
        <w:footnoteRef/>
      </w:r>
      <w:r>
        <w:t xml:space="preserve"> Các nhà đầu tư đến từ Thái Lan nghiên cứu đầu tư vào CCN Đức Thọ; Công ty Guxiandao (Trung Quốc) tìm hiểu, nghiên cứu đầu tư Dự án Nhà máy sản xuất nhựa PET Polyester; nhà đầu tư Nhật Bản tìm hiểu đầu tư dự án sản xuất sản phẩm điện tử vào KCN Gia Lách và các CCN trên địa bàn; các nhà đầu tư tìm hiểu dự án Du lịch nghỉ dưỡng du thuyền cao cấp tại Hồ Ngàn Trươi; Tập đoàn Central Group Việt Nam nghiên cứu đầu tư Siêu thị trên địa bàn TP. Hà Tĩnh; FPT đề xuất dự án Tổ hợp giáo dục FPT Hà Tĩnh; Tập đoàn Dầu khí Việt Nam đề xuất đầu tư Nhà máy điện khí thiên nhiên hóa lỏng (LNG) và Trung tâm kho cảng LNG tại Khu Kinh tế Vũng Áng.</w:t>
      </w:r>
    </w:p>
  </w:footnote>
  <w:footnote w:id="17">
    <w:p w:rsidR="008E2849" w:rsidRDefault="00EA658F">
      <w:pPr>
        <w:pStyle w:val="FootnoteText"/>
      </w:pPr>
      <w:r>
        <w:rPr>
          <w:rStyle w:val="FootnoteReference"/>
        </w:rPr>
        <w:footnoteRef/>
      </w:r>
      <w:r>
        <w:t xml:space="preserve"> </w:t>
      </w:r>
      <w:bookmarkStart w:id="12" w:name="_Hlk167872583"/>
      <w:r>
        <w:t>Còn vướng 04 hộ chưa di dời: Can Lộc 01 hộ; Thạch Hà 02 hộ; TP Hà Tĩnh 01 hộ.</w:t>
      </w:r>
      <w:bookmarkEnd w:id="12"/>
    </w:p>
  </w:footnote>
  <w:footnote w:id="18">
    <w:p w:rsidR="008E2849" w:rsidRDefault="00EA658F">
      <w:pPr>
        <w:pStyle w:val="FootnoteText"/>
      </w:pPr>
      <w:r>
        <w:rPr>
          <w:rStyle w:val="FootnoteReference"/>
        </w:rPr>
        <w:footnoteRef/>
      </w:r>
      <w:r>
        <w:t xml:space="preserve"> Đền thờ Phạm Tôn Tuyển (Lộc Hà) được công nhận là di tích lịch sử văn hóa quốc gia; Lễ hội cầu ngư làng Cam Lâm (Nghi Xuân) được công nhận là di sản văn hóa phi vật thể quốc gia.</w:t>
      </w:r>
    </w:p>
  </w:footnote>
  <w:footnote w:id="19">
    <w:p w:rsidR="008E2849" w:rsidRDefault="00EA658F">
      <w:pPr>
        <w:pStyle w:val="FootnoteText"/>
      </w:pPr>
      <w:r>
        <w:rPr>
          <w:rStyle w:val="FootnoteReference"/>
        </w:rPr>
        <w:footnoteRef/>
      </w:r>
      <w:r>
        <w:t xml:space="preserve"> 04 ca sốt xuất huyết, 05 ca sốt rét, 49 ca quai bị, 126 ca thủy đậu, 02 ca COVID-19, 01 ca ho gà, 49 ca sởi...</w:t>
      </w:r>
    </w:p>
  </w:footnote>
  <w:footnote w:id="20">
    <w:p w:rsidR="008E2849" w:rsidRDefault="00EA658F">
      <w:pPr>
        <w:pStyle w:val="FootnoteText"/>
      </w:pPr>
      <w:r>
        <w:rPr>
          <w:rStyle w:val="FootnoteReference"/>
        </w:rPr>
        <w:footnoteRef/>
      </w:r>
      <w:r>
        <w:t xml:space="preserve"> Hoàn thành triển khai 24 mô hình; đang triển khai thí điểm 5 mô hình để phát triển, nhân rộng; 4 mô hình sẽ được triển khai sau khi hoàn thành hệ thống IOC; 6 mô hình đang phối hợp Tổ công tác triển khai Đề án 06 Chính phủ hướng dẫn và xây dựng lộ trình thực hiện; 5 mô hình cần đề xuất kinh phí để thực hiện.</w:t>
      </w:r>
    </w:p>
  </w:footnote>
  <w:footnote w:id="21">
    <w:p w:rsidR="008E2849" w:rsidRDefault="00EA658F">
      <w:pPr>
        <w:pStyle w:val="FootnoteText"/>
      </w:pPr>
      <w:r>
        <w:rPr>
          <w:rStyle w:val="FootnoteReference"/>
        </w:rPr>
        <w:footnoteRef/>
      </w:r>
      <w:r>
        <w:t xml:space="preserve"> UBND huyện Nghi Xuân và UB chính quyền huyện Pakkading (Lào); Hội LHPN tỉnh Hà Tĩnh và LHPN tỉnh Khăm Muồn (Lào); Đại học Hà Tĩnh với Trường Đại học Minh Truyền (Đài Loan) và Sở Giáo dục và Thể thao tỉnh Khăm Muồn (Lào).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49" w:rsidRDefault="00EA658F">
    <w:pPr>
      <w:pStyle w:val="Header"/>
      <w:jc w:val="center"/>
    </w:pPr>
    <w:r>
      <w:fldChar w:fldCharType="begin"/>
    </w:r>
    <w:r>
      <w:instrText xml:space="preserve"> PAGE   \* MERGEFORMAT </w:instrText>
    </w:r>
    <w:r>
      <w:fldChar w:fldCharType="separate"/>
    </w:r>
    <w:r w:rsidR="00E33A16">
      <w:rPr>
        <w:noProof/>
      </w:rPr>
      <w:t>5</w:t>
    </w:r>
    <w:r>
      <w:rPr>
        <w:noProof/>
      </w:rPr>
      <w:fldChar w:fldCharType="end"/>
    </w:r>
  </w:p>
  <w:p w:rsidR="008E2849" w:rsidRDefault="008E2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5209F6"/>
    <w:lvl w:ilvl="0">
      <w:start w:val="1"/>
      <w:numFmt w:val="decimal"/>
      <w:lvlText w:val="%1."/>
      <w:lvlJc w:val="left"/>
      <w:pPr>
        <w:tabs>
          <w:tab w:val="num" w:pos="1492"/>
        </w:tabs>
        <w:ind w:left="1492" w:hanging="360"/>
      </w:pPr>
    </w:lvl>
  </w:abstractNum>
  <w:abstractNum w:abstractNumId="1">
    <w:nsid w:val="FFFFFF7D"/>
    <w:multiLevelType w:val="singleLevel"/>
    <w:tmpl w:val="6832B2DC"/>
    <w:lvl w:ilvl="0">
      <w:start w:val="1"/>
      <w:numFmt w:val="decimal"/>
      <w:lvlText w:val="%1."/>
      <w:lvlJc w:val="left"/>
      <w:pPr>
        <w:tabs>
          <w:tab w:val="num" w:pos="1209"/>
        </w:tabs>
        <w:ind w:left="1209" w:hanging="360"/>
      </w:pPr>
    </w:lvl>
  </w:abstractNum>
  <w:abstractNum w:abstractNumId="2">
    <w:nsid w:val="FFFFFF7E"/>
    <w:multiLevelType w:val="singleLevel"/>
    <w:tmpl w:val="29A61516"/>
    <w:lvl w:ilvl="0">
      <w:start w:val="1"/>
      <w:numFmt w:val="decimal"/>
      <w:lvlText w:val="%1."/>
      <w:lvlJc w:val="left"/>
      <w:pPr>
        <w:tabs>
          <w:tab w:val="num" w:pos="926"/>
        </w:tabs>
        <w:ind w:left="926" w:hanging="360"/>
      </w:pPr>
    </w:lvl>
  </w:abstractNum>
  <w:abstractNum w:abstractNumId="3">
    <w:nsid w:val="FFFFFF7F"/>
    <w:multiLevelType w:val="singleLevel"/>
    <w:tmpl w:val="45645E24"/>
    <w:lvl w:ilvl="0">
      <w:start w:val="1"/>
      <w:numFmt w:val="decimal"/>
      <w:lvlText w:val="%1."/>
      <w:lvlJc w:val="left"/>
      <w:pPr>
        <w:tabs>
          <w:tab w:val="num" w:pos="643"/>
        </w:tabs>
        <w:ind w:left="643" w:hanging="360"/>
      </w:pPr>
    </w:lvl>
  </w:abstractNum>
  <w:abstractNum w:abstractNumId="4">
    <w:nsid w:val="FFFFFF80"/>
    <w:multiLevelType w:val="singleLevel"/>
    <w:tmpl w:val="6D943A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C269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7EFD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66AA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78B71C"/>
    <w:lvl w:ilvl="0">
      <w:start w:val="1"/>
      <w:numFmt w:val="decimal"/>
      <w:lvlText w:val="%1."/>
      <w:lvlJc w:val="left"/>
      <w:pPr>
        <w:tabs>
          <w:tab w:val="num" w:pos="360"/>
        </w:tabs>
        <w:ind w:left="360" w:hanging="360"/>
      </w:pPr>
    </w:lvl>
  </w:abstractNum>
  <w:abstractNum w:abstractNumId="9">
    <w:nsid w:val="FFFFFF89"/>
    <w:multiLevelType w:val="singleLevel"/>
    <w:tmpl w:val="DECE31EA"/>
    <w:lvl w:ilvl="0">
      <w:start w:val="1"/>
      <w:numFmt w:val="bullet"/>
      <w:lvlText w:val=""/>
      <w:lvlJc w:val="left"/>
      <w:pPr>
        <w:tabs>
          <w:tab w:val="num" w:pos="360"/>
        </w:tabs>
        <w:ind w:left="360" w:hanging="360"/>
      </w:pPr>
      <w:rPr>
        <w:rFonts w:ascii="Symbol" w:hAnsi="Symbol" w:hint="default"/>
      </w:rPr>
    </w:lvl>
  </w:abstractNum>
  <w:abstractNum w:abstractNumId="10">
    <w:nsid w:val="072724DE"/>
    <w:multiLevelType w:val="hybridMultilevel"/>
    <w:tmpl w:val="0862D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C01F2C"/>
    <w:multiLevelType w:val="multilevel"/>
    <w:tmpl w:val="49EA0A58"/>
    <w:lvl w:ilvl="0">
      <w:start w:val="1"/>
      <w:numFmt w:val="upperLetter"/>
      <w:suff w:val="space"/>
      <w:lvlText w:val="%1."/>
      <w:lvlJc w:val="left"/>
      <w:pPr>
        <w:ind w:left="0" w:firstLine="720"/>
      </w:pPr>
      <w:rPr>
        <w:rFonts w:hint="default"/>
      </w:rPr>
    </w:lvl>
    <w:lvl w:ilvl="1">
      <w:start w:val="1"/>
      <w:numFmt w:val="upperRoman"/>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decimal"/>
      <w:suff w:val="space"/>
      <w:lvlText w:val="%3.%4."/>
      <w:lvlJc w:val="left"/>
      <w:pPr>
        <w:ind w:left="0" w:firstLine="720"/>
      </w:pPr>
      <w:rPr>
        <w:rFonts w:hint="default"/>
      </w:rPr>
    </w:lvl>
    <w:lvl w:ilvl="4">
      <w:start w:val="1"/>
      <w:numFmt w:val="lowerLetter"/>
      <w:suff w:val="space"/>
      <w:lvlText w:val="%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12">
    <w:nsid w:val="27A22B32"/>
    <w:multiLevelType w:val="hybridMultilevel"/>
    <w:tmpl w:val="7D3281F6"/>
    <w:lvl w:ilvl="0" w:tplc="01D6BE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DC4C0D"/>
    <w:multiLevelType w:val="multilevel"/>
    <w:tmpl w:val="B54A7926"/>
    <w:lvl w:ilvl="0">
      <w:start w:val="1"/>
      <w:numFmt w:val="upperLetter"/>
      <w:pStyle w:val="Heading1"/>
      <w:suff w:val="space"/>
      <w:lvlText w:val="%1."/>
      <w:lvlJc w:val="left"/>
      <w:pPr>
        <w:ind w:left="0" w:firstLine="720"/>
      </w:pPr>
      <w:rPr>
        <w:rFonts w:hint="default"/>
      </w:rPr>
    </w:lvl>
    <w:lvl w:ilvl="1">
      <w:start w:val="1"/>
      <w:numFmt w:val="upperRoman"/>
      <w:pStyle w:val="Heading2"/>
      <w:suff w:val="space"/>
      <w:lvlText w:val="%2."/>
      <w:lvlJc w:val="left"/>
      <w:pPr>
        <w:ind w:left="0" w:firstLine="720"/>
      </w:pPr>
      <w:rPr>
        <w:rFonts w:hint="default"/>
      </w:rPr>
    </w:lvl>
    <w:lvl w:ilvl="2">
      <w:start w:val="1"/>
      <w:numFmt w:val="decimal"/>
      <w:pStyle w:val="Heading3"/>
      <w:suff w:val="space"/>
      <w:lvlText w:val="%3."/>
      <w:lvlJc w:val="left"/>
      <w:pPr>
        <w:ind w:left="0" w:firstLine="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37445D2A"/>
    <w:multiLevelType w:val="hybridMultilevel"/>
    <w:tmpl w:val="55307098"/>
    <w:lvl w:ilvl="0" w:tplc="216A34C8">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5">
    <w:nsid w:val="5D2E6582"/>
    <w:multiLevelType w:val="hybridMultilevel"/>
    <w:tmpl w:val="D8608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D90090D"/>
    <w:multiLevelType w:val="multilevel"/>
    <w:tmpl w:val="1478B07A"/>
    <w:lvl w:ilvl="0">
      <w:start w:val="1"/>
      <w:numFmt w:val="decimal"/>
      <w:suff w:val="space"/>
      <w:lvlText w:val="(%1)"/>
      <w:lvlJc w:val="left"/>
      <w:pPr>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6FA42DBA"/>
    <w:multiLevelType w:val="hybridMultilevel"/>
    <w:tmpl w:val="D75C5D66"/>
    <w:lvl w:ilvl="0" w:tplc="2B28EC40">
      <w:numFmt w:val="bullet"/>
      <w:lvlText w:val="-"/>
      <w:lvlJc w:val="left"/>
      <w:pPr>
        <w:ind w:left="1069" w:hanging="360"/>
      </w:pPr>
      <w:rPr>
        <w:rFonts w:ascii="Times New Roman" w:eastAsia="Aptos"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8">
    <w:nsid w:val="743D1BEB"/>
    <w:multiLevelType w:val="hybridMultilevel"/>
    <w:tmpl w:val="5DCCBF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8F35DD"/>
    <w:multiLevelType w:val="hybridMultilevel"/>
    <w:tmpl w:val="CEBEFF00"/>
    <w:lvl w:ilvl="0" w:tplc="B99620CE">
      <w:numFmt w:val="bullet"/>
      <w:lvlText w:val="-"/>
      <w:lvlJc w:val="left"/>
      <w:pPr>
        <w:ind w:left="720" w:hanging="360"/>
      </w:pPr>
      <w:rPr>
        <w:rFonts w:ascii="Times New Roman" w:eastAsia="Apto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4"/>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16"/>
  </w:num>
  <w:num w:numId="28">
    <w:abstractNumId w:val="11"/>
  </w:num>
  <w:num w:numId="29">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h Van Phong">
    <w15:presenceInfo w15:providerId="None" w15:userId="Chanh Van P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9"/>
    <w:rsid w:val="00021350"/>
    <w:rsid w:val="00092151"/>
    <w:rsid w:val="00095CA7"/>
    <w:rsid w:val="000D5741"/>
    <w:rsid w:val="0013406C"/>
    <w:rsid w:val="0018150A"/>
    <w:rsid w:val="001E15DB"/>
    <w:rsid w:val="00276811"/>
    <w:rsid w:val="003E6AB0"/>
    <w:rsid w:val="004B7642"/>
    <w:rsid w:val="005767D8"/>
    <w:rsid w:val="006A5FA9"/>
    <w:rsid w:val="007648BA"/>
    <w:rsid w:val="007D3B84"/>
    <w:rsid w:val="008E2849"/>
    <w:rsid w:val="009B492D"/>
    <w:rsid w:val="009D6D1F"/>
    <w:rsid w:val="00A30EF9"/>
    <w:rsid w:val="00A3429E"/>
    <w:rsid w:val="00A87A78"/>
    <w:rsid w:val="00B73552"/>
    <w:rsid w:val="00C3058D"/>
    <w:rsid w:val="00C8049A"/>
    <w:rsid w:val="00CF5666"/>
    <w:rsid w:val="00DF37E1"/>
    <w:rsid w:val="00E13954"/>
    <w:rsid w:val="00E33A16"/>
    <w:rsid w:val="00EA658F"/>
    <w:rsid w:val="00EB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ind w:firstLine="720"/>
      <w:jc w:val="both"/>
    </w:pPr>
    <w:rPr>
      <w:sz w:val="28"/>
      <w:szCs w:val="28"/>
    </w:rPr>
  </w:style>
  <w:style w:type="paragraph" w:styleId="Heading1">
    <w:name w:val="heading 1"/>
    <w:basedOn w:val="Normal"/>
    <w:next w:val="Normal"/>
    <w:link w:val="Heading1Char"/>
    <w:autoRedefine/>
    <w:uiPriority w:val="9"/>
    <w:qFormat/>
    <w:pPr>
      <w:keepNext/>
      <w:keepLines/>
      <w:widowControl/>
      <w:numPr>
        <w:numId w:val="14"/>
      </w:numPr>
      <w:outlineLvl w:val="0"/>
    </w:pPr>
    <w:rPr>
      <w:rFonts w:eastAsia="Times New Roman"/>
      <w:b/>
      <w:bCs/>
      <w:kern w:val="32"/>
      <w:szCs w:val="32"/>
    </w:rPr>
  </w:style>
  <w:style w:type="paragraph" w:styleId="Heading2">
    <w:name w:val="heading 2"/>
    <w:basedOn w:val="Normal"/>
    <w:next w:val="Normal"/>
    <w:link w:val="Heading2Char"/>
    <w:autoRedefine/>
    <w:uiPriority w:val="9"/>
    <w:unhideWhenUsed/>
    <w:qFormat/>
    <w:pPr>
      <w:keepNext/>
      <w:keepLines/>
      <w:widowControl/>
      <w:numPr>
        <w:ilvl w:val="1"/>
        <w:numId w:val="14"/>
      </w:numPr>
      <w:outlineLvl w:val="1"/>
    </w:pPr>
    <w:rPr>
      <w:rFonts w:eastAsia="Times New Roman"/>
      <w:b/>
      <w:bCs/>
      <w:iCs/>
    </w:rPr>
  </w:style>
  <w:style w:type="paragraph" w:styleId="Heading3">
    <w:name w:val="heading 3"/>
    <w:basedOn w:val="Normal"/>
    <w:next w:val="Normal"/>
    <w:link w:val="Heading3Char"/>
    <w:autoRedefine/>
    <w:uiPriority w:val="9"/>
    <w:unhideWhenUsed/>
    <w:qFormat/>
    <w:pPr>
      <w:keepNext/>
      <w:keepLines/>
      <w:widowControl/>
      <w:numPr>
        <w:ilvl w:val="2"/>
        <w:numId w:val="14"/>
      </w:numPr>
      <w:outlineLvl w:val="2"/>
    </w:pPr>
    <w:rPr>
      <w:rFonts w:eastAsia="Times New Roman"/>
      <w:b/>
      <w:bCs/>
      <w:szCs w:val="26"/>
    </w:rPr>
  </w:style>
  <w:style w:type="paragraph" w:styleId="Heading4">
    <w:name w:val="heading 4"/>
    <w:basedOn w:val="Normal"/>
    <w:next w:val="Normal"/>
    <w:link w:val="Heading4Char"/>
    <w:uiPriority w:val="9"/>
    <w:unhideWhenUsed/>
    <w:qFormat/>
    <w:pPr>
      <w:keepNext/>
      <w:numPr>
        <w:ilvl w:val="3"/>
        <w:numId w:val="14"/>
      </w:numPr>
      <w:spacing w:before="240" w:after="60" w:line="360" w:lineRule="auto"/>
      <w:outlineLvl w:val="3"/>
    </w:pPr>
    <w:rPr>
      <w:rFonts w:ascii="Calibri" w:eastAsia="Times New Roman" w:hAnsi="Calibri"/>
      <w:b/>
      <w:bCs/>
    </w:rPr>
  </w:style>
  <w:style w:type="paragraph" w:styleId="Heading5">
    <w:name w:val="heading 5"/>
    <w:basedOn w:val="Normal"/>
    <w:next w:val="Normal"/>
    <w:link w:val="Heading5Char"/>
    <w:uiPriority w:val="9"/>
    <w:unhideWhenUsed/>
    <w:qFormat/>
    <w:pPr>
      <w:numPr>
        <w:ilvl w:val="4"/>
        <w:numId w:val="14"/>
      </w:numPr>
      <w:spacing w:before="240" w:after="60" w:line="360" w:lineRule="auto"/>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numPr>
        <w:ilvl w:val="5"/>
        <w:numId w:val="14"/>
      </w:numPr>
      <w:spacing w:before="240" w:after="60" w:line="360" w:lineRule="auto"/>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pPr>
      <w:numPr>
        <w:ilvl w:val="6"/>
        <w:numId w:val="14"/>
      </w:numPr>
      <w:spacing w:before="240" w:after="60" w:line="360" w:lineRule="auto"/>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pPr>
      <w:numPr>
        <w:ilvl w:val="7"/>
        <w:numId w:val="14"/>
      </w:numPr>
      <w:spacing w:before="240" w:after="60" w:line="360" w:lineRule="auto"/>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pPr>
      <w:numPr>
        <w:ilvl w:val="8"/>
        <w:numId w:val="14"/>
      </w:numPr>
      <w:spacing w:before="240" w:after="60" w:line="360" w:lineRule="auto"/>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autoRedefine/>
    <w:uiPriority w:val="99"/>
    <w:unhideWhenUsed/>
    <w:qFormat/>
    <w:pPr>
      <w:spacing w:after="0"/>
      <w:ind w:firstLine="0"/>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qFormat/>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Re,1"/>
    <w:link w:val="CharChar1CharCharCharChar1CharCharCharCharCharCharCharChar"/>
    <w:uiPriority w:val="99"/>
    <w:unhideWhenUsed/>
    <w:qFormat/>
    <w:rPr>
      <w:vertAlign w:val="superscript"/>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Revision">
    <w:name w:val="Revision"/>
    <w:hidden/>
    <w:uiPriority w:val="99"/>
    <w:semiHidden/>
    <w:rPr>
      <w:sz w:val="28"/>
      <w:szCs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character" w:styleId="Hyperlink">
    <w:name w:val="Hyperlink"/>
    <w:uiPriority w:val="99"/>
    <w:unhideWhenUsed/>
    <w:rPr>
      <w:color w:val="0563C1"/>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link w:val="Heading1"/>
    <w:uiPriority w:val="9"/>
    <w:rPr>
      <w:rFonts w:eastAsia="Times New Roman"/>
      <w:b/>
      <w:bCs/>
      <w:kern w:val="32"/>
      <w:sz w:val="28"/>
      <w:szCs w:val="32"/>
    </w:rPr>
  </w:style>
  <w:style w:type="character" w:customStyle="1" w:styleId="Heading2Char">
    <w:name w:val="Heading 2 Char"/>
    <w:link w:val="Heading2"/>
    <w:uiPriority w:val="9"/>
    <w:rPr>
      <w:rFonts w:eastAsia="Times New Roman"/>
      <w:b/>
      <w:bCs/>
      <w:iCs/>
      <w:sz w:val="28"/>
      <w:szCs w:val="28"/>
    </w:rPr>
  </w:style>
  <w:style w:type="character" w:customStyle="1" w:styleId="Heading3Char">
    <w:name w:val="Heading 3 Char"/>
    <w:link w:val="Heading3"/>
    <w:uiPriority w:val="9"/>
    <w:rPr>
      <w:rFonts w:eastAsia="Times New Roman"/>
      <w:b/>
      <w:bCs/>
      <w:sz w:val="28"/>
      <w:szCs w:val="26"/>
    </w:rPr>
  </w:style>
  <w:style w:type="character" w:customStyle="1" w:styleId="Heading4Char">
    <w:name w:val="Heading 4 Char"/>
    <w:link w:val="Heading4"/>
    <w:uiPriority w:val="9"/>
    <w:rPr>
      <w:rFonts w:ascii="Calibri" w:eastAsia="Times New Roman" w:hAnsi="Calibri"/>
      <w:b/>
      <w:bCs/>
      <w:sz w:val="28"/>
      <w:szCs w:val="28"/>
    </w:rPr>
  </w:style>
  <w:style w:type="character" w:customStyle="1" w:styleId="Heading5Char">
    <w:name w:val="Heading 5 Char"/>
    <w:link w:val="Heading5"/>
    <w:uiPriority w:val="9"/>
    <w:rPr>
      <w:rFonts w:ascii="Calibri" w:eastAsia="Times New Roman" w:hAnsi="Calibri"/>
      <w:b/>
      <w:bCs/>
      <w:i/>
      <w:iCs/>
      <w:sz w:val="26"/>
      <w:szCs w:val="26"/>
    </w:rPr>
  </w:style>
  <w:style w:type="character" w:customStyle="1" w:styleId="Heading6Char">
    <w:name w:val="Heading 6 Char"/>
    <w:link w:val="Heading6"/>
    <w:uiPriority w:val="9"/>
    <w:semiHidden/>
    <w:rPr>
      <w:rFonts w:ascii="Calibri" w:eastAsia="Times New Roman" w:hAnsi="Calibri"/>
      <w:b/>
      <w:bCs/>
      <w:sz w:val="22"/>
      <w:szCs w:val="22"/>
    </w:rPr>
  </w:style>
  <w:style w:type="character" w:customStyle="1" w:styleId="Heading7Char">
    <w:name w:val="Heading 7 Char"/>
    <w:link w:val="Heading7"/>
    <w:uiPriority w:val="9"/>
    <w:semiHidden/>
    <w:rPr>
      <w:rFonts w:ascii="Calibri" w:eastAsia="Times New Roman" w:hAnsi="Calibri"/>
      <w:sz w:val="24"/>
      <w:szCs w:val="24"/>
    </w:rPr>
  </w:style>
  <w:style w:type="character" w:customStyle="1" w:styleId="Heading8Char">
    <w:name w:val="Heading 8 Char"/>
    <w:link w:val="Heading8"/>
    <w:uiPriority w:val="9"/>
    <w:semiHidden/>
    <w:rPr>
      <w:rFonts w:ascii="Calibri" w:eastAsia="Times New Roman" w:hAnsi="Calibri"/>
      <w:i/>
      <w:iCs/>
      <w:sz w:val="24"/>
      <w:szCs w:val="24"/>
    </w:rPr>
  </w:style>
  <w:style w:type="character" w:customStyle="1" w:styleId="Heading9Char">
    <w:name w:val="Heading 9 Char"/>
    <w:link w:val="Heading9"/>
    <w:uiPriority w:val="9"/>
    <w:semiHidden/>
    <w:rPr>
      <w:rFonts w:ascii="Calibri Light" w:eastAsia="Times New Roman" w:hAnsi="Calibri Light"/>
      <w:sz w:val="22"/>
      <w:szCs w:val="22"/>
    </w:rPr>
  </w:style>
  <w:style w:type="numbering" w:customStyle="1" w:styleId="NoList1">
    <w:name w:val="No List1"/>
    <w:next w:val="NoList"/>
    <w:uiPriority w:val="99"/>
    <w:semiHidden/>
    <w:unhideWhenUsed/>
  </w:style>
  <w:style w:type="paragraph" w:customStyle="1" w:styleId="ListParagraph1">
    <w:name w:val="List Paragraph1"/>
    <w:basedOn w:val="Normal"/>
    <w:next w:val="ListParagraph"/>
    <w:uiPriority w:val="34"/>
    <w:qFormat/>
    <w:pPr>
      <w:spacing w:after="160" w:line="360" w:lineRule="auto"/>
      <w:ind w:left="720" w:firstLine="0"/>
      <w:contextualSpacing/>
    </w:pPr>
    <w:rPr>
      <w:szCs w:val="22"/>
    </w:rPr>
  </w:style>
  <w:style w:type="table" w:customStyle="1" w:styleId="TableGrid1">
    <w:name w:val="Table Grid1"/>
    <w:basedOn w:val="TableNormal"/>
    <w:next w:val="TableGrid"/>
    <w:uiPriority w:val="39"/>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pPr>
      <w:spacing w:after="0"/>
      <w:ind w:firstLine="0"/>
    </w:pPr>
    <w:rPr>
      <w:sz w:val="20"/>
      <w:szCs w:val="20"/>
    </w:rPr>
  </w:style>
  <w:style w:type="character" w:customStyle="1" w:styleId="EndnoteTextChar">
    <w:name w:val="Endnote Text Char"/>
    <w:link w:val="EndnoteText1"/>
    <w:uiPriority w:val="99"/>
    <w:semiHidden/>
    <w:rPr>
      <w:sz w:val="20"/>
      <w:szCs w:val="20"/>
    </w:rPr>
  </w:style>
  <w:style w:type="character" w:styleId="EndnoteReference">
    <w:name w:val="endnote reference"/>
    <w:uiPriority w:val="99"/>
    <w:semiHidden/>
    <w:unhideWhenUsed/>
    <w:rPr>
      <w:vertAlign w:val="superscript"/>
    </w:rPr>
  </w:style>
  <w:style w:type="paragraph" w:styleId="NormalWeb">
    <w:name w:val="Normal (Web)"/>
    <w:basedOn w:val="Normal"/>
    <w:uiPriority w:val="99"/>
    <w:unhideWhenUsed/>
    <w:pPr>
      <w:widowControl/>
      <w:spacing w:before="100" w:beforeAutospacing="1" w:after="100" w:afterAutospacing="1"/>
      <w:ind w:firstLine="0"/>
    </w:pPr>
    <w:rPr>
      <w:rFonts w:eastAsia="Times New Roman"/>
      <w:sz w:val="24"/>
      <w:szCs w:val="24"/>
    </w:rPr>
  </w:style>
  <w:style w:type="paragraph" w:customStyle="1" w:styleId="NoSpacing1">
    <w:name w:val="No Spacing1"/>
    <w:next w:val="NoSpacing"/>
    <w:uiPriority w:val="1"/>
    <w:qFormat/>
    <w:pPr>
      <w:widowControl w:val="0"/>
      <w:jc w:val="both"/>
    </w:pPr>
    <w:rPr>
      <w:sz w:val="28"/>
      <w:szCs w:val="22"/>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pPr>
      <w:keepNext/>
      <w:widowControl/>
      <w:spacing w:after="160" w:line="240" w:lineRule="exact"/>
      <w:ind w:firstLine="0"/>
    </w:pPr>
    <w:rPr>
      <w:sz w:val="20"/>
      <w:szCs w:val="20"/>
      <w:vertAlign w:val="superscript"/>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pPr>
  </w:style>
  <w:style w:type="paragraph" w:styleId="EndnoteText">
    <w:name w:val="endnote text"/>
    <w:basedOn w:val="Normal"/>
    <w:link w:val="EndnoteTextChar1"/>
    <w:uiPriority w:val="99"/>
    <w:semiHidden/>
    <w:unhideWhenUsed/>
    <w:rPr>
      <w:sz w:val="20"/>
      <w:szCs w:val="20"/>
    </w:rPr>
  </w:style>
  <w:style w:type="character" w:customStyle="1" w:styleId="EndnoteTextChar1">
    <w:name w:val="Endnote Text Char1"/>
    <w:basedOn w:val="DefaultParagraphFont"/>
    <w:link w:val="EndnoteText"/>
    <w:uiPriority w:val="99"/>
    <w:semiHidden/>
  </w:style>
  <w:style w:type="paragraph" w:styleId="NoSpacing">
    <w:name w:val="No Spacing"/>
    <w:uiPriority w:val="1"/>
    <w:qFormat/>
    <w:pPr>
      <w:widowControl w:val="0"/>
      <w:ind w:firstLine="720"/>
    </w:pPr>
    <w:rPr>
      <w:sz w:val="28"/>
      <w:szCs w:val="28"/>
    </w:rPr>
  </w:style>
  <w:style w:type="numbering" w:customStyle="1" w:styleId="NoList2">
    <w:name w:val="No List2"/>
    <w:next w:val="NoList"/>
    <w:uiPriority w:val="99"/>
    <w:semiHidden/>
    <w:unhideWhenUsed/>
  </w:style>
  <w:style w:type="character" w:customStyle="1" w:styleId="UnresolvedMention10">
    <w:name w:val="Unresolved Mention1"/>
    <w:uiPriority w:val="99"/>
    <w:semiHidden/>
    <w:unhideWhenUsed/>
    <w:rPr>
      <w:color w:val="605E5C"/>
      <w:shd w:val="clear" w:color="auto" w:fill="E1DFDD"/>
    </w:rPr>
  </w:style>
  <w:style w:type="paragraph" w:styleId="BodyText">
    <w:name w:val="Body Text"/>
    <w:basedOn w:val="Normal"/>
    <w:link w:val="BodyTextChar"/>
    <w:pPr>
      <w:widowControl/>
      <w:autoSpaceDE w:val="0"/>
      <w:autoSpaceDN w:val="0"/>
      <w:spacing w:after="0"/>
      <w:ind w:firstLine="0"/>
    </w:pPr>
    <w:rPr>
      <w:rFonts w:ascii=".VnTime" w:eastAsia="Times New Roman" w:hAnsi=".VnTime" w:cs=".VnTime"/>
      <w:lang w:val="en-GB"/>
    </w:rPr>
  </w:style>
  <w:style w:type="character" w:customStyle="1" w:styleId="BodyTextChar">
    <w:name w:val="Body Text Char"/>
    <w:link w:val="BodyText"/>
    <w:rPr>
      <w:rFonts w:ascii=".VnTime" w:eastAsia="Times New Roman" w:hAnsi=".VnTime" w:cs=".VnTime"/>
      <w:sz w:val="28"/>
      <w:szCs w:val="28"/>
      <w:lang w:val="en-GB"/>
    </w:rPr>
  </w:style>
  <w:style w:type="character" w:styleId="Strong">
    <w:name w:val="Strong"/>
    <w:uiPriority w:val="22"/>
    <w:qFormat/>
    <w:rPr>
      <w:b/>
      <w:bCs/>
    </w:rPr>
  </w:style>
  <w:style w:type="paragraph" w:styleId="Title">
    <w:name w:val="Title"/>
    <w:basedOn w:val="Normal"/>
    <w:next w:val="Normal"/>
    <w:link w:val="TitleChar"/>
    <w:autoRedefine/>
    <w:uiPriority w:val="10"/>
    <w:qFormat/>
    <w:pPr>
      <w:widowControl/>
      <w:ind w:firstLine="0"/>
      <w:contextualSpacing/>
      <w:jc w:val="center"/>
      <w:outlineLvl w:val="0"/>
    </w:pPr>
    <w:rPr>
      <w:rFonts w:ascii="Times New Roman Bold" w:eastAsia="Times New Roman" w:hAnsi="Times New Roman Bold"/>
      <w:b/>
      <w:kern w:val="28"/>
      <w:szCs w:val="56"/>
    </w:rPr>
  </w:style>
  <w:style w:type="character" w:customStyle="1" w:styleId="TitleChar">
    <w:name w:val="Title Char"/>
    <w:link w:val="Title"/>
    <w:uiPriority w:val="10"/>
    <w:rPr>
      <w:rFonts w:ascii="Times New Roman Bold" w:eastAsia="Times New Roman" w:hAnsi="Times New Roman Bold"/>
      <w:b/>
      <w:kern w:val="28"/>
      <w:sz w:val="28"/>
      <w:szCs w:val="56"/>
    </w:rPr>
  </w:style>
  <w:style w:type="numbering" w:customStyle="1" w:styleId="NoList11">
    <w:name w:val="No List11"/>
    <w:next w:val="NoList"/>
    <w:uiPriority w:val="99"/>
    <w:semiHidden/>
    <w:unhideWhenUsed/>
  </w:style>
  <w:style w:type="paragraph" w:customStyle="1" w:styleId="summary">
    <w:name w:val="summary"/>
    <w:basedOn w:val="Normal"/>
    <w:pPr>
      <w:widowControl/>
      <w:spacing w:before="100" w:beforeAutospacing="1" w:after="100" w:afterAutospacing="1"/>
      <w:ind w:firstLine="0"/>
    </w:pPr>
    <w:rPr>
      <w:rFonts w:eastAsia="SimSun"/>
      <w:sz w:val="24"/>
      <w:szCs w:val="24"/>
      <w:lang w:eastAsia="zh-CN"/>
    </w:rPr>
  </w:style>
  <w:style w:type="table" w:customStyle="1" w:styleId="TableGrid2">
    <w:name w:val="Table Grid2"/>
    <w:basedOn w:val="TableNormal"/>
    <w:next w:val="TableGrid"/>
    <w:uiPriority w:val="39"/>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scope">
    <w:name w:val="x-scope"/>
    <w:basedOn w:val="Normal"/>
    <w:pPr>
      <w:widowControl/>
      <w:spacing w:before="100" w:beforeAutospacing="1" w:after="100" w:afterAutospacing="1"/>
      <w:ind w:firstLine="0"/>
      <w:jc w:val="left"/>
    </w:pPr>
    <w:rPr>
      <w:rFonts w:eastAsia="Times New Roman"/>
      <w:sz w:val="24"/>
      <w:szCs w:val="24"/>
    </w:rPr>
  </w:style>
  <w:style w:type="table" w:customStyle="1" w:styleId="TableGrid3">
    <w:name w:val="Table Grid3"/>
    <w:basedOn w:val="TableNormal"/>
    <w:next w:val="TableGrid"/>
    <w:uiPriority w:val="39"/>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ind w:firstLine="720"/>
      <w:jc w:val="both"/>
    </w:pPr>
    <w:rPr>
      <w:sz w:val="28"/>
      <w:szCs w:val="28"/>
    </w:rPr>
  </w:style>
  <w:style w:type="paragraph" w:styleId="Heading1">
    <w:name w:val="heading 1"/>
    <w:basedOn w:val="Normal"/>
    <w:next w:val="Normal"/>
    <w:link w:val="Heading1Char"/>
    <w:autoRedefine/>
    <w:uiPriority w:val="9"/>
    <w:qFormat/>
    <w:pPr>
      <w:keepNext/>
      <w:keepLines/>
      <w:widowControl/>
      <w:numPr>
        <w:numId w:val="14"/>
      </w:numPr>
      <w:outlineLvl w:val="0"/>
    </w:pPr>
    <w:rPr>
      <w:rFonts w:eastAsia="Times New Roman"/>
      <w:b/>
      <w:bCs/>
      <w:kern w:val="32"/>
      <w:szCs w:val="32"/>
    </w:rPr>
  </w:style>
  <w:style w:type="paragraph" w:styleId="Heading2">
    <w:name w:val="heading 2"/>
    <w:basedOn w:val="Normal"/>
    <w:next w:val="Normal"/>
    <w:link w:val="Heading2Char"/>
    <w:autoRedefine/>
    <w:uiPriority w:val="9"/>
    <w:unhideWhenUsed/>
    <w:qFormat/>
    <w:pPr>
      <w:keepNext/>
      <w:keepLines/>
      <w:widowControl/>
      <w:numPr>
        <w:ilvl w:val="1"/>
        <w:numId w:val="14"/>
      </w:numPr>
      <w:outlineLvl w:val="1"/>
    </w:pPr>
    <w:rPr>
      <w:rFonts w:eastAsia="Times New Roman"/>
      <w:b/>
      <w:bCs/>
      <w:iCs/>
    </w:rPr>
  </w:style>
  <w:style w:type="paragraph" w:styleId="Heading3">
    <w:name w:val="heading 3"/>
    <w:basedOn w:val="Normal"/>
    <w:next w:val="Normal"/>
    <w:link w:val="Heading3Char"/>
    <w:autoRedefine/>
    <w:uiPriority w:val="9"/>
    <w:unhideWhenUsed/>
    <w:qFormat/>
    <w:pPr>
      <w:keepNext/>
      <w:keepLines/>
      <w:widowControl/>
      <w:numPr>
        <w:ilvl w:val="2"/>
        <w:numId w:val="14"/>
      </w:numPr>
      <w:outlineLvl w:val="2"/>
    </w:pPr>
    <w:rPr>
      <w:rFonts w:eastAsia="Times New Roman"/>
      <w:b/>
      <w:bCs/>
      <w:szCs w:val="26"/>
    </w:rPr>
  </w:style>
  <w:style w:type="paragraph" w:styleId="Heading4">
    <w:name w:val="heading 4"/>
    <w:basedOn w:val="Normal"/>
    <w:next w:val="Normal"/>
    <w:link w:val="Heading4Char"/>
    <w:uiPriority w:val="9"/>
    <w:unhideWhenUsed/>
    <w:qFormat/>
    <w:pPr>
      <w:keepNext/>
      <w:numPr>
        <w:ilvl w:val="3"/>
        <w:numId w:val="14"/>
      </w:numPr>
      <w:spacing w:before="240" w:after="60" w:line="360" w:lineRule="auto"/>
      <w:outlineLvl w:val="3"/>
    </w:pPr>
    <w:rPr>
      <w:rFonts w:ascii="Calibri" w:eastAsia="Times New Roman" w:hAnsi="Calibri"/>
      <w:b/>
      <w:bCs/>
    </w:rPr>
  </w:style>
  <w:style w:type="paragraph" w:styleId="Heading5">
    <w:name w:val="heading 5"/>
    <w:basedOn w:val="Normal"/>
    <w:next w:val="Normal"/>
    <w:link w:val="Heading5Char"/>
    <w:uiPriority w:val="9"/>
    <w:unhideWhenUsed/>
    <w:qFormat/>
    <w:pPr>
      <w:numPr>
        <w:ilvl w:val="4"/>
        <w:numId w:val="14"/>
      </w:numPr>
      <w:spacing w:before="240" w:after="60" w:line="360" w:lineRule="auto"/>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numPr>
        <w:ilvl w:val="5"/>
        <w:numId w:val="14"/>
      </w:numPr>
      <w:spacing w:before="240" w:after="60" w:line="360" w:lineRule="auto"/>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pPr>
      <w:numPr>
        <w:ilvl w:val="6"/>
        <w:numId w:val="14"/>
      </w:numPr>
      <w:spacing w:before="240" w:after="60" w:line="360" w:lineRule="auto"/>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pPr>
      <w:numPr>
        <w:ilvl w:val="7"/>
        <w:numId w:val="14"/>
      </w:numPr>
      <w:spacing w:before="240" w:after="60" w:line="360" w:lineRule="auto"/>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pPr>
      <w:numPr>
        <w:ilvl w:val="8"/>
        <w:numId w:val="14"/>
      </w:numPr>
      <w:spacing w:before="240" w:after="60" w:line="360" w:lineRule="auto"/>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autoRedefine/>
    <w:uiPriority w:val="99"/>
    <w:unhideWhenUsed/>
    <w:qFormat/>
    <w:pPr>
      <w:spacing w:after="0"/>
      <w:ind w:firstLine="0"/>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qFormat/>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Re,1"/>
    <w:link w:val="CharChar1CharCharCharChar1CharCharCharCharCharCharCharChar"/>
    <w:uiPriority w:val="99"/>
    <w:unhideWhenUsed/>
    <w:qFormat/>
    <w:rPr>
      <w:vertAlign w:val="superscript"/>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Revision">
    <w:name w:val="Revision"/>
    <w:hidden/>
    <w:uiPriority w:val="99"/>
    <w:semiHidden/>
    <w:rPr>
      <w:sz w:val="28"/>
      <w:szCs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character" w:styleId="Hyperlink">
    <w:name w:val="Hyperlink"/>
    <w:uiPriority w:val="99"/>
    <w:unhideWhenUsed/>
    <w:rPr>
      <w:color w:val="0563C1"/>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link w:val="Heading1"/>
    <w:uiPriority w:val="9"/>
    <w:rPr>
      <w:rFonts w:eastAsia="Times New Roman"/>
      <w:b/>
      <w:bCs/>
      <w:kern w:val="32"/>
      <w:sz w:val="28"/>
      <w:szCs w:val="32"/>
    </w:rPr>
  </w:style>
  <w:style w:type="character" w:customStyle="1" w:styleId="Heading2Char">
    <w:name w:val="Heading 2 Char"/>
    <w:link w:val="Heading2"/>
    <w:uiPriority w:val="9"/>
    <w:rPr>
      <w:rFonts w:eastAsia="Times New Roman"/>
      <w:b/>
      <w:bCs/>
      <w:iCs/>
      <w:sz w:val="28"/>
      <w:szCs w:val="28"/>
    </w:rPr>
  </w:style>
  <w:style w:type="character" w:customStyle="1" w:styleId="Heading3Char">
    <w:name w:val="Heading 3 Char"/>
    <w:link w:val="Heading3"/>
    <w:uiPriority w:val="9"/>
    <w:rPr>
      <w:rFonts w:eastAsia="Times New Roman"/>
      <w:b/>
      <w:bCs/>
      <w:sz w:val="28"/>
      <w:szCs w:val="26"/>
    </w:rPr>
  </w:style>
  <w:style w:type="character" w:customStyle="1" w:styleId="Heading4Char">
    <w:name w:val="Heading 4 Char"/>
    <w:link w:val="Heading4"/>
    <w:uiPriority w:val="9"/>
    <w:rPr>
      <w:rFonts w:ascii="Calibri" w:eastAsia="Times New Roman" w:hAnsi="Calibri"/>
      <w:b/>
      <w:bCs/>
      <w:sz w:val="28"/>
      <w:szCs w:val="28"/>
    </w:rPr>
  </w:style>
  <w:style w:type="character" w:customStyle="1" w:styleId="Heading5Char">
    <w:name w:val="Heading 5 Char"/>
    <w:link w:val="Heading5"/>
    <w:uiPriority w:val="9"/>
    <w:rPr>
      <w:rFonts w:ascii="Calibri" w:eastAsia="Times New Roman" w:hAnsi="Calibri"/>
      <w:b/>
      <w:bCs/>
      <w:i/>
      <w:iCs/>
      <w:sz w:val="26"/>
      <w:szCs w:val="26"/>
    </w:rPr>
  </w:style>
  <w:style w:type="character" w:customStyle="1" w:styleId="Heading6Char">
    <w:name w:val="Heading 6 Char"/>
    <w:link w:val="Heading6"/>
    <w:uiPriority w:val="9"/>
    <w:semiHidden/>
    <w:rPr>
      <w:rFonts w:ascii="Calibri" w:eastAsia="Times New Roman" w:hAnsi="Calibri"/>
      <w:b/>
      <w:bCs/>
      <w:sz w:val="22"/>
      <w:szCs w:val="22"/>
    </w:rPr>
  </w:style>
  <w:style w:type="character" w:customStyle="1" w:styleId="Heading7Char">
    <w:name w:val="Heading 7 Char"/>
    <w:link w:val="Heading7"/>
    <w:uiPriority w:val="9"/>
    <w:semiHidden/>
    <w:rPr>
      <w:rFonts w:ascii="Calibri" w:eastAsia="Times New Roman" w:hAnsi="Calibri"/>
      <w:sz w:val="24"/>
      <w:szCs w:val="24"/>
    </w:rPr>
  </w:style>
  <w:style w:type="character" w:customStyle="1" w:styleId="Heading8Char">
    <w:name w:val="Heading 8 Char"/>
    <w:link w:val="Heading8"/>
    <w:uiPriority w:val="9"/>
    <w:semiHidden/>
    <w:rPr>
      <w:rFonts w:ascii="Calibri" w:eastAsia="Times New Roman" w:hAnsi="Calibri"/>
      <w:i/>
      <w:iCs/>
      <w:sz w:val="24"/>
      <w:szCs w:val="24"/>
    </w:rPr>
  </w:style>
  <w:style w:type="character" w:customStyle="1" w:styleId="Heading9Char">
    <w:name w:val="Heading 9 Char"/>
    <w:link w:val="Heading9"/>
    <w:uiPriority w:val="9"/>
    <w:semiHidden/>
    <w:rPr>
      <w:rFonts w:ascii="Calibri Light" w:eastAsia="Times New Roman" w:hAnsi="Calibri Light"/>
      <w:sz w:val="22"/>
      <w:szCs w:val="22"/>
    </w:rPr>
  </w:style>
  <w:style w:type="numbering" w:customStyle="1" w:styleId="NoList1">
    <w:name w:val="No List1"/>
    <w:next w:val="NoList"/>
    <w:uiPriority w:val="99"/>
    <w:semiHidden/>
    <w:unhideWhenUsed/>
  </w:style>
  <w:style w:type="paragraph" w:customStyle="1" w:styleId="ListParagraph1">
    <w:name w:val="List Paragraph1"/>
    <w:basedOn w:val="Normal"/>
    <w:next w:val="ListParagraph"/>
    <w:uiPriority w:val="34"/>
    <w:qFormat/>
    <w:pPr>
      <w:spacing w:after="160" w:line="360" w:lineRule="auto"/>
      <w:ind w:left="720" w:firstLine="0"/>
      <w:contextualSpacing/>
    </w:pPr>
    <w:rPr>
      <w:szCs w:val="22"/>
    </w:rPr>
  </w:style>
  <w:style w:type="table" w:customStyle="1" w:styleId="TableGrid1">
    <w:name w:val="Table Grid1"/>
    <w:basedOn w:val="TableNormal"/>
    <w:next w:val="TableGrid"/>
    <w:uiPriority w:val="39"/>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pPr>
      <w:spacing w:after="0"/>
      <w:ind w:firstLine="0"/>
    </w:pPr>
    <w:rPr>
      <w:sz w:val="20"/>
      <w:szCs w:val="20"/>
    </w:rPr>
  </w:style>
  <w:style w:type="character" w:customStyle="1" w:styleId="EndnoteTextChar">
    <w:name w:val="Endnote Text Char"/>
    <w:link w:val="EndnoteText1"/>
    <w:uiPriority w:val="99"/>
    <w:semiHidden/>
    <w:rPr>
      <w:sz w:val="20"/>
      <w:szCs w:val="20"/>
    </w:rPr>
  </w:style>
  <w:style w:type="character" w:styleId="EndnoteReference">
    <w:name w:val="endnote reference"/>
    <w:uiPriority w:val="99"/>
    <w:semiHidden/>
    <w:unhideWhenUsed/>
    <w:rPr>
      <w:vertAlign w:val="superscript"/>
    </w:rPr>
  </w:style>
  <w:style w:type="paragraph" w:styleId="NormalWeb">
    <w:name w:val="Normal (Web)"/>
    <w:basedOn w:val="Normal"/>
    <w:uiPriority w:val="99"/>
    <w:unhideWhenUsed/>
    <w:pPr>
      <w:widowControl/>
      <w:spacing w:before="100" w:beforeAutospacing="1" w:after="100" w:afterAutospacing="1"/>
      <w:ind w:firstLine="0"/>
    </w:pPr>
    <w:rPr>
      <w:rFonts w:eastAsia="Times New Roman"/>
      <w:sz w:val="24"/>
      <w:szCs w:val="24"/>
    </w:rPr>
  </w:style>
  <w:style w:type="paragraph" w:customStyle="1" w:styleId="NoSpacing1">
    <w:name w:val="No Spacing1"/>
    <w:next w:val="NoSpacing"/>
    <w:uiPriority w:val="1"/>
    <w:qFormat/>
    <w:pPr>
      <w:widowControl w:val="0"/>
      <w:jc w:val="both"/>
    </w:pPr>
    <w:rPr>
      <w:sz w:val="28"/>
      <w:szCs w:val="22"/>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pPr>
      <w:keepNext/>
      <w:widowControl/>
      <w:spacing w:after="160" w:line="240" w:lineRule="exact"/>
      <w:ind w:firstLine="0"/>
    </w:pPr>
    <w:rPr>
      <w:sz w:val="20"/>
      <w:szCs w:val="20"/>
      <w:vertAlign w:val="superscript"/>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pPr>
  </w:style>
  <w:style w:type="paragraph" w:styleId="EndnoteText">
    <w:name w:val="endnote text"/>
    <w:basedOn w:val="Normal"/>
    <w:link w:val="EndnoteTextChar1"/>
    <w:uiPriority w:val="99"/>
    <w:semiHidden/>
    <w:unhideWhenUsed/>
    <w:rPr>
      <w:sz w:val="20"/>
      <w:szCs w:val="20"/>
    </w:rPr>
  </w:style>
  <w:style w:type="character" w:customStyle="1" w:styleId="EndnoteTextChar1">
    <w:name w:val="Endnote Text Char1"/>
    <w:basedOn w:val="DefaultParagraphFont"/>
    <w:link w:val="EndnoteText"/>
    <w:uiPriority w:val="99"/>
    <w:semiHidden/>
  </w:style>
  <w:style w:type="paragraph" w:styleId="NoSpacing">
    <w:name w:val="No Spacing"/>
    <w:uiPriority w:val="1"/>
    <w:qFormat/>
    <w:pPr>
      <w:widowControl w:val="0"/>
      <w:ind w:firstLine="720"/>
    </w:pPr>
    <w:rPr>
      <w:sz w:val="28"/>
      <w:szCs w:val="28"/>
    </w:rPr>
  </w:style>
  <w:style w:type="numbering" w:customStyle="1" w:styleId="NoList2">
    <w:name w:val="No List2"/>
    <w:next w:val="NoList"/>
    <w:uiPriority w:val="99"/>
    <w:semiHidden/>
    <w:unhideWhenUsed/>
  </w:style>
  <w:style w:type="character" w:customStyle="1" w:styleId="UnresolvedMention10">
    <w:name w:val="Unresolved Mention1"/>
    <w:uiPriority w:val="99"/>
    <w:semiHidden/>
    <w:unhideWhenUsed/>
    <w:rPr>
      <w:color w:val="605E5C"/>
      <w:shd w:val="clear" w:color="auto" w:fill="E1DFDD"/>
    </w:rPr>
  </w:style>
  <w:style w:type="paragraph" w:styleId="BodyText">
    <w:name w:val="Body Text"/>
    <w:basedOn w:val="Normal"/>
    <w:link w:val="BodyTextChar"/>
    <w:pPr>
      <w:widowControl/>
      <w:autoSpaceDE w:val="0"/>
      <w:autoSpaceDN w:val="0"/>
      <w:spacing w:after="0"/>
      <w:ind w:firstLine="0"/>
    </w:pPr>
    <w:rPr>
      <w:rFonts w:ascii=".VnTime" w:eastAsia="Times New Roman" w:hAnsi=".VnTime" w:cs=".VnTime"/>
      <w:lang w:val="en-GB"/>
    </w:rPr>
  </w:style>
  <w:style w:type="character" w:customStyle="1" w:styleId="BodyTextChar">
    <w:name w:val="Body Text Char"/>
    <w:link w:val="BodyText"/>
    <w:rPr>
      <w:rFonts w:ascii=".VnTime" w:eastAsia="Times New Roman" w:hAnsi=".VnTime" w:cs=".VnTime"/>
      <w:sz w:val="28"/>
      <w:szCs w:val="28"/>
      <w:lang w:val="en-GB"/>
    </w:rPr>
  </w:style>
  <w:style w:type="character" w:styleId="Strong">
    <w:name w:val="Strong"/>
    <w:uiPriority w:val="22"/>
    <w:qFormat/>
    <w:rPr>
      <w:b/>
      <w:bCs/>
    </w:rPr>
  </w:style>
  <w:style w:type="paragraph" w:styleId="Title">
    <w:name w:val="Title"/>
    <w:basedOn w:val="Normal"/>
    <w:next w:val="Normal"/>
    <w:link w:val="TitleChar"/>
    <w:autoRedefine/>
    <w:uiPriority w:val="10"/>
    <w:qFormat/>
    <w:pPr>
      <w:widowControl/>
      <w:ind w:firstLine="0"/>
      <w:contextualSpacing/>
      <w:jc w:val="center"/>
      <w:outlineLvl w:val="0"/>
    </w:pPr>
    <w:rPr>
      <w:rFonts w:ascii="Times New Roman Bold" w:eastAsia="Times New Roman" w:hAnsi="Times New Roman Bold"/>
      <w:b/>
      <w:kern w:val="28"/>
      <w:szCs w:val="56"/>
    </w:rPr>
  </w:style>
  <w:style w:type="character" w:customStyle="1" w:styleId="TitleChar">
    <w:name w:val="Title Char"/>
    <w:link w:val="Title"/>
    <w:uiPriority w:val="10"/>
    <w:rPr>
      <w:rFonts w:ascii="Times New Roman Bold" w:eastAsia="Times New Roman" w:hAnsi="Times New Roman Bold"/>
      <w:b/>
      <w:kern w:val="28"/>
      <w:sz w:val="28"/>
      <w:szCs w:val="56"/>
    </w:rPr>
  </w:style>
  <w:style w:type="numbering" w:customStyle="1" w:styleId="NoList11">
    <w:name w:val="No List11"/>
    <w:next w:val="NoList"/>
    <w:uiPriority w:val="99"/>
    <w:semiHidden/>
    <w:unhideWhenUsed/>
  </w:style>
  <w:style w:type="paragraph" w:customStyle="1" w:styleId="summary">
    <w:name w:val="summary"/>
    <w:basedOn w:val="Normal"/>
    <w:pPr>
      <w:widowControl/>
      <w:spacing w:before="100" w:beforeAutospacing="1" w:after="100" w:afterAutospacing="1"/>
      <w:ind w:firstLine="0"/>
    </w:pPr>
    <w:rPr>
      <w:rFonts w:eastAsia="SimSun"/>
      <w:sz w:val="24"/>
      <w:szCs w:val="24"/>
      <w:lang w:eastAsia="zh-CN"/>
    </w:rPr>
  </w:style>
  <w:style w:type="table" w:customStyle="1" w:styleId="TableGrid2">
    <w:name w:val="Table Grid2"/>
    <w:basedOn w:val="TableNormal"/>
    <w:next w:val="TableGrid"/>
    <w:uiPriority w:val="39"/>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scope">
    <w:name w:val="x-scope"/>
    <w:basedOn w:val="Normal"/>
    <w:pPr>
      <w:widowControl/>
      <w:spacing w:before="100" w:beforeAutospacing="1" w:after="100" w:afterAutospacing="1"/>
      <w:ind w:firstLine="0"/>
      <w:jc w:val="left"/>
    </w:pPr>
    <w:rPr>
      <w:rFonts w:eastAsia="Times New Roman"/>
      <w:sz w:val="24"/>
      <w:szCs w:val="24"/>
    </w:rPr>
  </w:style>
  <w:style w:type="table" w:customStyle="1" w:styleId="TableGrid3">
    <w:name w:val="Table Grid3"/>
    <w:basedOn w:val="TableNormal"/>
    <w:next w:val="TableGrid"/>
    <w:uiPriority w:val="39"/>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219">
      <w:bodyDiv w:val="1"/>
      <w:marLeft w:val="0"/>
      <w:marRight w:val="0"/>
      <w:marTop w:val="0"/>
      <w:marBottom w:val="0"/>
      <w:divBdr>
        <w:top w:val="none" w:sz="0" w:space="0" w:color="auto"/>
        <w:left w:val="none" w:sz="0" w:space="0" w:color="auto"/>
        <w:bottom w:val="none" w:sz="0" w:space="0" w:color="auto"/>
        <w:right w:val="none" w:sz="0" w:space="0" w:color="auto"/>
      </w:divBdr>
    </w:div>
    <w:div w:id="212423046">
      <w:bodyDiv w:val="1"/>
      <w:marLeft w:val="0"/>
      <w:marRight w:val="0"/>
      <w:marTop w:val="0"/>
      <w:marBottom w:val="0"/>
      <w:divBdr>
        <w:top w:val="none" w:sz="0" w:space="0" w:color="auto"/>
        <w:left w:val="none" w:sz="0" w:space="0" w:color="auto"/>
        <w:bottom w:val="none" w:sz="0" w:space="0" w:color="auto"/>
        <w:right w:val="none" w:sz="0" w:space="0" w:color="auto"/>
      </w:divBdr>
    </w:div>
    <w:div w:id="271592415">
      <w:bodyDiv w:val="1"/>
      <w:marLeft w:val="0"/>
      <w:marRight w:val="0"/>
      <w:marTop w:val="0"/>
      <w:marBottom w:val="0"/>
      <w:divBdr>
        <w:top w:val="none" w:sz="0" w:space="0" w:color="auto"/>
        <w:left w:val="none" w:sz="0" w:space="0" w:color="auto"/>
        <w:bottom w:val="none" w:sz="0" w:space="0" w:color="auto"/>
        <w:right w:val="none" w:sz="0" w:space="0" w:color="auto"/>
      </w:divBdr>
    </w:div>
    <w:div w:id="418062129">
      <w:bodyDiv w:val="1"/>
      <w:marLeft w:val="0"/>
      <w:marRight w:val="0"/>
      <w:marTop w:val="0"/>
      <w:marBottom w:val="0"/>
      <w:divBdr>
        <w:top w:val="none" w:sz="0" w:space="0" w:color="auto"/>
        <w:left w:val="none" w:sz="0" w:space="0" w:color="auto"/>
        <w:bottom w:val="none" w:sz="0" w:space="0" w:color="auto"/>
        <w:right w:val="none" w:sz="0" w:space="0" w:color="auto"/>
      </w:divBdr>
    </w:div>
    <w:div w:id="886768235">
      <w:bodyDiv w:val="1"/>
      <w:marLeft w:val="0"/>
      <w:marRight w:val="0"/>
      <w:marTop w:val="0"/>
      <w:marBottom w:val="0"/>
      <w:divBdr>
        <w:top w:val="none" w:sz="0" w:space="0" w:color="auto"/>
        <w:left w:val="none" w:sz="0" w:space="0" w:color="auto"/>
        <w:bottom w:val="none" w:sz="0" w:space="0" w:color="auto"/>
        <w:right w:val="none" w:sz="0" w:space="0" w:color="auto"/>
      </w:divBdr>
    </w:div>
    <w:div w:id="949704653">
      <w:bodyDiv w:val="1"/>
      <w:marLeft w:val="0"/>
      <w:marRight w:val="0"/>
      <w:marTop w:val="0"/>
      <w:marBottom w:val="0"/>
      <w:divBdr>
        <w:top w:val="none" w:sz="0" w:space="0" w:color="auto"/>
        <w:left w:val="none" w:sz="0" w:space="0" w:color="auto"/>
        <w:bottom w:val="none" w:sz="0" w:space="0" w:color="auto"/>
        <w:right w:val="none" w:sz="0" w:space="0" w:color="auto"/>
      </w:divBdr>
    </w:div>
    <w:div w:id="1115363555">
      <w:bodyDiv w:val="1"/>
      <w:marLeft w:val="0"/>
      <w:marRight w:val="0"/>
      <w:marTop w:val="0"/>
      <w:marBottom w:val="0"/>
      <w:divBdr>
        <w:top w:val="none" w:sz="0" w:space="0" w:color="auto"/>
        <w:left w:val="none" w:sz="0" w:space="0" w:color="auto"/>
        <w:bottom w:val="none" w:sz="0" w:space="0" w:color="auto"/>
        <w:right w:val="none" w:sz="0" w:space="0" w:color="auto"/>
      </w:divBdr>
    </w:div>
    <w:div w:id="1287661170">
      <w:bodyDiv w:val="1"/>
      <w:marLeft w:val="0"/>
      <w:marRight w:val="0"/>
      <w:marTop w:val="0"/>
      <w:marBottom w:val="0"/>
      <w:divBdr>
        <w:top w:val="none" w:sz="0" w:space="0" w:color="auto"/>
        <w:left w:val="none" w:sz="0" w:space="0" w:color="auto"/>
        <w:bottom w:val="none" w:sz="0" w:space="0" w:color="auto"/>
        <w:right w:val="none" w:sz="0" w:space="0" w:color="auto"/>
      </w:divBdr>
    </w:div>
    <w:div w:id="1470367861">
      <w:bodyDiv w:val="1"/>
      <w:marLeft w:val="0"/>
      <w:marRight w:val="0"/>
      <w:marTop w:val="0"/>
      <w:marBottom w:val="0"/>
      <w:divBdr>
        <w:top w:val="none" w:sz="0" w:space="0" w:color="auto"/>
        <w:left w:val="none" w:sz="0" w:space="0" w:color="auto"/>
        <w:bottom w:val="none" w:sz="0" w:space="0" w:color="auto"/>
        <w:right w:val="none" w:sz="0" w:space="0" w:color="auto"/>
      </w:divBdr>
    </w:div>
    <w:div w:id="2052529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3CB8F-2290-42C1-A23E-21915DC1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2533</Words>
  <Characters>14440</Characters>
  <Application>Microsoft Office Word</Application>
  <DocSecurity>0</DocSecurity>
  <Lines>120</Lines>
  <Paragraphs>33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 Dung</dc:creator>
  <cp:lastModifiedBy>TRONG CHINH</cp:lastModifiedBy>
  <cp:revision>2</cp:revision>
  <cp:lastPrinted>2024-06-12T07:16:00Z</cp:lastPrinted>
  <dcterms:created xsi:type="dcterms:W3CDTF">2024-06-12T07:16:00Z</dcterms:created>
  <dcterms:modified xsi:type="dcterms:W3CDTF">2024-06-12T07:16:00Z</dcterms:modified>
</cp:coreProperties>
</file>