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56" w:rsidRPr="000624CC" w:rsidRDefault="00430456" w:rsidP="00430456">
      <w:pPr>
        <w:rPr>
          <w:b/>
          <w:sz w:val="24"/>
          <w:szCs w:val="24"/>
        </w:rPr>
      </w:pPr>
      <w:r w:rsidRPr="000624CC">
        <w:rPr>
          <w:b/>
          <w:sz w:val="24"/>
          <w:szCs w:val="24"/>
        </w:rPr>
        <w:t>Phụ lục</w:t>
      </w:r>
      <w:r w:rsidR="00B550F7">
        <w:rPr>
          <w:b/>
          <w:sz w:val="24"/>
          <w:szCs w:val="24"/>
        </w:rPr>
        <w:t xml:space="preserve"> 03</w:t>
      </w:r>
      <w:r w:rsidRPr="000624CC">
        <w:rPr>
          <w:b/>
          <w:sz w:val="24"/>
          <w:szCs w:val="24"/>
        </w:rPr>
        <w:t>:</w:t>
      </w:r>
    </w:p>
    <w:p w:rsidR="00430456" w:rsidRPr="000624CC" w:rsidRDefault="00430456" w:rsidP="00430456">
      <w:pPr>
        <w:jc w:val="center"/>
        <w:rPr>
          <w:b/>
          <w:sz w:val="24"/>
          <w:szCs w:val="24"/>
        </w:rPr>
      </w:pPr>
      <w:r w:rsidRPr="000624CC">
        <w:rPr>
          <w:b/>
          <w:sz w:val="24"/>
          <w:szCs w:val="24"/>
        </w:rPr>
        <w:t xml:space="preserve">TỔNG HỢP KẾT QUẢ </w:t>
      </w:r>
      <w:r>
        <w:rPr>
          <w:b/>
          <w:sz w:val="24"/>
          <w:szCs w:val="24"/>
        </w:rPr>
        <w:t xml:space="preserve">CÁC KNCT </w:t>
      </w:r>
      <w:r w:rsidR="00965B8C">
        <w:rPr>
          <w:b/>
          <w:sz w:val="24"/>
          <w:szCs w:val="24"/>
        </w:rPr>
        <w:t>TỒN ĐỌNG HOẶC CHẬM GIẢI QUYẾT</w:t>
      </w:r>
    </w:p>
    <w:p w:rsidR="00430456" w:rsidRPr="000624CC" w:rsidRDefault="00430456" w:rsidP="00430456">
      <w:pPr>
        <w:jc w:val="center"/>
        <w:rPr>
          <w:i/>
          <w:sz w:val="24"/>
          <w:szCs w:val="24"/>
        </w:rPr>
      </w:pPr>
      <w:r w:rsidRPr="000624CC">
        <w:rPr>
          <w:i/>
          <w:sz w:val="24"/>
          <w:szCs w:val="24"/>
        </w:rPr>
        <w:t>(Ban hành kèm theo Báo cáo số</w:t>
      </w:r>
      <w:r>
        <w:rPr>
          <w:i/>
          <w:sz w:val="24"/>
          <w:szCs w:val="24"/>
        </w:rPr>
        <w:t>:</w:t>
      </w:r>
      <w:r w:rsidR="00F73E90">
        <w:rPr>
          <w:i/>
          <w:sz w:val="24"/>
          <w:szCs w:val="24"/>
        </w:rPr>
        <w:t xml:space="preserve"> 533</w:t>
      </w:r>
      <w:r w:rsidRPr="000624CC">
        <w:rPr>
          <w:i/>
          <w:sz w:val="24"/>
          <w:szCs w:val="24"/>
        </w:rPr>
        <w:t>/</w:t>
      </w:r>
      <w:r>
        <w:rPr>
          <w:i/>
          <w:sz w:val="24"/>
          <w:szCs w:val="24"/>
        </w:rPr>
        <w:t>BC-HĐND</w:t>
      </w:r>
      <w:r w:rsidR="00F73E90">
        <w:rPr>
          <w:i/>
          <w:sz w:val="24"/>
          <w:szCs w:val="24"/>
        </w:rPr>
        <w:t xml:space="preserve"> ngày 14/12</w:t>
      </w:r>
      <w:bookmarkStart w:id="0" w:name="_GoBack"/>
      <w:bookmarkEnd w:id="0"/>
      <w:r w:rsidRPr="000624CC">
        <w:rPr>
          <w:i/>
          <w:sz w:val="24"/>
          <w:szCs w:val="24"/>
        </w:rPr>
        <w:t xml:space="preserve">/2021 của </w:t>
      </w:r>
      <w:r>
        <w:rPr>
          <w:i/>
          <w:sz w:val="24"/>
          <w:szCs w:val="24"/>
        </w:rPr>
        <w:t>Đoàn Giám sát</w:t>
      </w:r>
      <w:r w:rsidRPr="000624CC">
        <w:rPr>
          <w:i/>
          <w:sz w:val="24"/>
          <w:szCs w:val="24"/>
        </w:rPr>
        <w:t>)</w:t>
      </w:r>
    </w:p>
    <w:p w:rsidR="00430456" w:rsidRDefault="00430456" w:rsidP="00430456">
      <w:pPr>
        <w:jc w:val="center"/>
        <w:rPr>
          <w:b/>
        </w:rPr>
      </w:pPr>
    </w:p>
    <w:tbl>
      <w:tblPr>
        <w:tblStyle w:val="TableGrid"/>
        <w:tblW w:w="14879" w:type="dxa"/>
        <w:tblLayout w:type="fixed"/>
        <w:tblLook w:val="04A0" w:firstRow="1" w:lastRow="0" w:firstColumn="1" w:lastColumn="0" w:noHBand="0" w:noVBand="1"/>
      </w:tblPr>
      <w:tblGrid>
        <w:gridCol w:w="562"/>
        <w:gridCol w:w="4111"/>
        <w:gridCol w:w="10206"/>
      </w:tblGrid>
      <w:tr w:rsidR="00430456" w:rsidRPr="00430456" w:rsidTr="00602BD6">
        <w:trPr>
          <w:trHeight w:val="266"/>
        </w:trPr>
        <w:tc>
          <w:tcPr>
            <w:tcW w:w="562" w:type="dxa"/>
            <w:vAlign w:val="center"/>
          </w:tcPr>
          <w:p w:rsidR="00430456" w:rsidRPr="00430456" w:rsidRDefault="00430456" w:rsidP="00430456">
            <w:pPr>
              <w:jc w:val="center"/>
              <w:rPr>
                <w:b/>
                <w:sz w:val="24"/>
                <w:szCs w:val="24"/>
              </w:rPr>
            </w:pPr>
            <w:r w:rsidRPr="00430456">
              <w:rPr>
                <w:b/>
                <w:sz w:val="24"/>
                <w:szCs w:val="24"/>
              </w:rPr>
              <w:t>TT</w:t>
            </w:r>
          </w:p>
        </w:tc>
        <w:tc>
          <w:tcPr>
            <w:tcW w:w="4111" w:type="dxa"/>
            <w:vAlign w:val="center"/>
          </w:tcPr>
          <w:p w:rsidR="00430456" w:rsidRPr="00430456" w:rsidRDefault="00430456" w:rsidP="00430456">
            <w:pPr>
              <w:jc w:val="center"/>
              <w:rPr>
                <w:b/>
                <w:sz w:val="24"/>
                <w:szCs w:val="24"/>
              </w:rPr>
            </w:pPr>
            <w:r>
              <w:rPr>
                <w:b/>
                <w:sz w:val="24"/>
                <w:szCs w:val="24"/>
              </w:rPr>
              <w:t>KIẾN NGHỊ CỬ TRI</w:t>
            </w:r>
          </w:p>
        </w:tc>
        <w:tc>
          <w:tcPr>
            <w:tcW w:w="10206" w:type="dxa"/>
            <w:vAlign w:val="center"/>
          </w:tcPr>
          <w:p w:rsidR="00430456" w:rsidRPr="00430456" w:rsidRDefault="00430456" w:rsidP="00430456">
            <w:pPr>
              <w:jc w:val="center"/>
              <w:rPr>
                <w:b/>
                <w:sz w:val="24"/>
                <w:szCs w:val="24"/>
              </w:rPr>
            </w:pPr>
            <w:r w:rsidRPr="00430456">
              <w:rPr>
                <w:b/>
                <w:sz w:val="24"/>
                <w:szCs w:val="24"/>
              </w:rPr>
              <w:t>KẾT QUẢ GIẢI QUYẾT</w:t>
            </w:r>
          </w:p>
        </w:tc>
      </w:tr>
      <w:tr w:rsidR="00430456" w:rsidRPr="00430456" w:rsidTr="0087350C">
        <w:trPr>
          <w:trHeight w:val="279"/>
        </w:trPr>
        <w:tc>
          <w:tcPr>
            <w:tcW w:w="562" w:type="dxa"/>
            <w:vAlign w:val="center"/>
          </w:tcPr>
          <w:p w:rsidR="00430456" w:rsidRPr="000624CC" w:rsidRDefault="00430456" w:rsidP="00430456">
            <w:pPr>
              <w:jc w:val="center"/>
              <w:rPr>
                <w:sz w:val="24"/>
                <w:szCs w:val="24"/>
              </w:rPr>
            </w:pPr>
            <w:r w:rsidRPr="000624CC">
              <w:rPr>
                <w:sz w:val="24"/>
                <w:szCs w:val="24"/>
              </w:rPr>
              <w:t>(1)</w:t>
            </w:r>
          </w:p>
        </w:tc>
        <w:tc>
          <w:tcPr>
            <w:tcW w:w="4111" w:type="dxa"/>
            <w:vAlign w:val="center"/>
          </w:tcPr>
          <w:p w:rsidR="00430456" w:rsidRPr="000624CC" w:rsidRDefault="00430456" w:rsidP="00430456">
            <w:pPr>
              <w:jc w:val="center"/>
              <w:rPr>
                <w:sz w:val="24"/>
                <w:szCs w:val="24"/>
              </w:rPr>
            </w:pPr>
            <w:r w:rsidRPr="000624CC">
              <w:rPr>
                <w:sz w:val="24"/>
                <w:szCs w:val="24"/>
              </w:rPr>
              <w:t>(2)</w:t>
            </w:r>
          </w:p>
        </w:tc>
        <w:tc>
          <w:tcPr>
            <w:tcW w:w="10206" w:type="dxa"/>
            <w:vAlign w:val="center"/>
          </w:tcPr>
          <w:p w:rsidR="00430456" w:rsidRPr="000624CC" w:rsidRDefault="00430456" w:rsidP="00430456">
            <w:pPr>
              <w:jc w:val="center"/>
              <w:rPr>
                <w:sz w:val="24"/>
                <w:szCs w:val="24"/>
              </w:rPr>
            </w:pPr>
            <w:r w:rsidRPr="000624CC">
              <w:rPr>
                <w:sz w:val="24"/>
                <w:szCs w:val="24"/>
              </w:rPr>
              <w:t>(3)</w:t>
            </w:r>
          </w:p>
        </w:tc>
      </w:tr>
      <w:tr w:rsidR="002A300C" w:rsidRPr="00430456" w:rsidTr="00137A38">
        <w:trPr>
          <w:trHeight w:val="545"/>
        </w:trPr>
        <w:tc>
          <w:tcPr>
            <w:tcW w:w="562" w:type="dxa"/>
          </w:tcPr>
          <w:p w:rsidR="002A300C" w:rsidRPr="002A300C" w:rsidRDefault="00965B8C" w:rsidP="002A300C">
            <w:pPr>
              <w:tabs>
                <w:tab w:val="center" w:pos="244"/>
              </w:tabs>
              <w:ind w:left="142"/>
              <w:rPr>
                <w:b/>
                <w:sz w:val="24"/>
                <w:szCs w:val="24"/>
              </w:rPr>
            </w:pPr>
            <w:r>
              <w:rPr>
                <w:b/>
                <w:sz w:val="24"/>
                <w:szCs w:val="24"/>
              </w:rPr>
              <w:tab/>
              <w:t>I</w:t>
            </w:r>
          </w:p>
        </w:tc>
        <w:tc>
          <w:tcPr>
            <w:tcW w:w="14317" w:type="dxa"/>
            <w:gridSpan w:val="2"/>
            <w:vAlign w:val="center"/>
          </w:tcPr>
          <w:p w:rsidR="002A300C" w:rsidRPr="002A300C" w:rsidRDefault="002A300C" w:rsidP="002A300C">
            <w:pPr>
              <w:jc w:val="center"/>
              <w:rPr>
                <w:b/>
                <w:sz w:val="22"/>
                <w:szCs w:val="22"/>
              </w:rPr>
            </w:pPr>
            <w:r w:rsidRPr="002A300C">
              <w:rPr>
                <w:b/>
                <w:sz w:val="22"/>
                <w:szCs w:val="22"/>
              </w:rPr>
              <w:t>LĨNH VỰC ĐẦU TƯ, GIAO THÔNG, XÂY DỰNG VÀ CÁC CHƯƠNG TRÌNH DỰ ÁN</w:t>
            </w:r>
          </w:p>
        </w:tc>
      </w:tr>
      <w:tr w:rsidR="002A300C" w:rsidRPr="00430456" w:rsidTr="0087350C">
        <w:tc>
          <w:tcPr>
            <w:tcW w:w="562" w:type="dxa"/>
            <w:vAlign w:val="center"/>
          </w:tcPr>
          <w:p w:rsidR="002A300C" w:rsidRPr="00430456" w:rsidRDefault="002A300C" w:rsidP="00137A38">
            <w:pPr>
              <w:pStyle w:val="ListParagraph"/>
              <w:numPr>
                <w:ilvl w:val="0"/>
                <w:numId w:val="1"/>
              </w:numPr>
              <w:jc w:val="center"/>
              <w:rPr>
                <w:b/>
                <w:sz w:val="24"/>
                <w:szCs w:val="24"/>
              </w:rPr>
            </w:pPr>
          </w:p>
        </w:tc>
        <w:tc>
          <w:tcPr>
            <w:tcW w:w="4111" w:type="dxa"/>
            <w:vAlign w:val="center"/>
          </w:tcPr>
          <w:p w:rsidR="002A300C" w:rsidRPr="00410E6F" w:rsidRDefault="00410E6F" w:rsidP="002A300C">
            <w:pPr>
              <w:jc w:val="both"/>
              <w:rPr>
                <w:b/>
                <w:sz w:val="22"/>
                <w:szCs w:val="22"/>
              </w:rPr>
            </w:pPr>
            <w:r w:rsidRPr="00410E6F">
              <w:rPr>
                <w:sz w:val="22"/>
                <w:szCs w:val="22"/>
              </w:rPr>
              <w:t>Đề nghị tỉnh tập trung có các giải pháp giải quyết những vướng mắc, tồn đọng việc bồi thường, giải phóng mặt bằng Dự án Cấp nước Khu kinh tế Vũng Áng</w:t>
            </w:r>
          </w:p>
        </w:tc>
        <w:tc>
          <w:tcPr>
            <w:tcW w:w="10206" w:type="dxa"/>
          </w:tcPr>
          <w:p w:rsidR="00410E6F" w:rsidRPr="00410E6F" w:rsidRDefault="00410E6F" w:rsidP="00410E6F">
            <w:pPr>
              <w:ind w:firstLine="170"/>
              <w:jc w:val="both"/>
              <w:rPr>
                <w:sz w:val="22"/>
                <w:szCs w:val="22"/>
              </w:rPr>
            </w:pPr>
            <w:r w:rsidRPr="00410E6F">
              <w:rPr>
                <w:sz w:val="22"/>
                <w:szCs w:val="22"/>
              </w:rPr>
              <w:t>- Về giải quyết các khó khăn, vướng mắc: UBND tỉnh và các sở, ngành cấp tỉnh, UBND huyện Kỳ Anh đã có 03 cuộc làm việc với Bộ Tài nguyên và Môi trường và các bộ, ngành liên quan; Bộ Tài nguyên và Môi trường đã có Thông báo số 47/TB-BTNMT ngày 04/6/2021.</w:t>
            </w:r>
          </w:p>
          <w:p w:rsidR="002A300C" w:rsidRPr="00410E6F" w:rsidRDefault="00410E6F" w:rsidP="00410E6F">
            <w:pPr>
              <w:spacing w:before="60" w:after="60"/>
              <w:ind w:firstLine="92"/>
              <w:jc w:val="both"/>
              <w:rPr>
                <w:sz w:val="22"/>
                <w:szCs w:val="22"/>
              </w:rPr>
            </w:pPr>
            <w:r w:rsidRPr="00410E6F">
              <w:rPr>
                <w:sz w:val="22"/>
                <w:szCs w:val="22"/>
              </w:rPr>
              <w:t>- Về kinh phí chi trả thực hiện chính sách bồi thường, hỗ trợ cho các hộ thôn Tân Xuân, xã Kỳ Tây đã được HĐND tỉnh thống nhất tại Văn bản số 158/TTr-HĐND ngày 12/5/2021, chỉ đạo của UBND tỉnh tại Văn bản số 2952/UBND-NL</w:t>
            </w:r>
            <w:r w:rsidRPr="00410E6F">
              <w:rPr>
                <w:sz w:val="22"/>
                <w:szCs w:val="22"/>
                <w:vertAlign w:val="subscript"/>
              </w:rPr>
              <w:t>1</w:t>
            </w:r>
            <w:r w:rsidRPr="00410E6F">
              <w:rPr>
                <w:sz w:val="22"/>
                <w:szCs w:val="22"/>
              </w:rPr>
              <w:t xml:space="preserve"> ngày 17/5/2021. Cuối tháng 5/2021, UBND huyện Kỳ Anh đã chỉ đạo Hội đồng bồi thường hoàn thành công tác chi trả tiền cho người dân với số tiền 9,5 tỷ đồng. Các nội dung còn lại, UBND huyện đang tiếp tục quan tâm, chỉ đạo thực hiện.</w:t>
            </w:r>
          </w:p>
        </w:tc>
      </w:tr>
      <w:tr w:rsidR="00E947F0" w:rsidRPr="00430456" w:rsidTr="001F5A14">
        <w:tc>
          <w:tcPr>
            <w:tcW w:w="562" w:type="dxa"/>
            <w:vAlign w:val="center"/>
          </w:tcPr>
          <w:p w:rsidR="00E947F0" w:rsidRPr="00E947F0" w:rsidRDefault="00965B8C" w:rsidP="00E947F0">
            <w:pPr>
              <w:jc w:val="center"/>
              <w:rPr>
                <w:b/>
                <w:sz w:val="24"/>
                <w:szCs w:val="24"/>
              </w:rPr>
            </w:pPr>
            <w:r>
              <w:rPr>
                <w:b/>
                <w:sz w:val="24"/>
                <w:szCs w:val="24"/>
              </w:rPr>
              <w:t>II</w:t>
            </w:r>
          </w:p>
        </w:tc>
        <w:tc>
          <w:tcPr>
            <w:tcW w:w="14317" w:type="dxa"/>
            <w:gridSpan w:val="2"/>
            <w:vAlign w:val="center"/>
          </w:tcPr>
          <w:p w:rsidR="00E947F0" w:rsidRPr="00E947F0" w:rsidRDefault="00E947F0" w:rsidP="00E947F0">
            <w:pPr>
              <w:spacing w:before="60" w:after="60"/>
              <w:ind w:firstLine="170"/>
              <w:jc w:val="center"/>
              <w:rPr>
                <w:b/>
                <w:sz w:val="22"/>
                <w:szCs w:val="22"/>
              </w:rPr>
            </w:pPr>
            <w:r>
              <w:rPr>
                <w:b/>
                <w:sz w:val="22"/>
                <w:szCs w:val="22"/>
              </w:rPr>
              <w:t>LĨNH VỰC TÀI NGUYÊN VÀ MÔI TRƯỜNG</w:t>
            </w:r>
          </w:p>
        </w:tc>
      </w:tr>
      <w:tr w:rsidR="00E947F0" w:rsidRPr="00430456" w:rsidTr="00602BD6">
        <w:trPr>
          <w:trHeight w:val="1269"/>
        </w:trPr>
        <w:tc>
          <w:tcPr>
            <w:tcW w:w="562" w:type="dxa"/>
            <w:vAlign w:val="center"/>
          </w:tcPr>
          <w:p w:rsidR="00E947F0" w:rsidRPr="00430456" w:rsidRDefault="00E947F0" w:rsidP="00A2251F">
            <w:pPr>
              <w:pStyle w:val="ListParagraph"/>
              <w:numPr>
                <w:ilvl w:val="0"/>
                <w:numId w:val="1"/>
              </w:numPr>
              <w:jc w:val="center"/>
              <w:rPr>
                <w:b/>
                <w:sz w:val="24"/>
                <w:szCs w:val="24"/>
              </w:rPr>
            </w:pPr>
          </w:p>
        </w:tc>
        <w:tc>
          <w:tcPr>
            <w:tcW w:w="4111" w:type="dxa"/>
            <w:vAlign w:val="center"/>
          </w:tcPr>
          <w:p w:rsidR="00E947F0" w:rsidRPr="001936D7" w:rsidRDefault="001936D7" w:rsidP="00286727">
            <w:pPr>
              <w:jc w:val="both"/>
              <w:rPr>
                <w:sz w:val="22"/>
                <w:szCs w:val="22"/>
              </w:rPr>
            </w:pPr>
            <w:r w:rsidRPr="001936D7">
              <w:rPr>
                <w:sz w:val="22"/>
                <w:szCs w:val="22"/>
              </w:rPr>
              <w:t>Đề nghị tỉnh chỉ đạo đẩy nhanh tiến độ phê duyệt giá đất cụ thể cho các Dự án đô thị trên địa bàn huyện Hương Sơn</w:t>
            </w:r>
          </w:p>
        </w:tc>
        <w:tc>
          <w:tcPr>
            <w:tcW w:w="10206" w:type="dxa"/>
          </w:tcPr>
          <w:p w:rsidR="00E947F0" w:rsidRPr="001936D7" w:rsidRDefault="00816F38" w:rsidP="00602BD6">
            <w:pPr>
              <w:pBdr>
                <w:top w:val="dotted" w:sz="4" w:space="0" w:color="FFFFFF"/>
                <w:left w:val="dotted" w:sz="4" w:space="0" w:color="FFFFFF"/>
                <w:bottom w:val="dotted" w:sz="4" w:space="16" w:color="FFFFFF"/>
                <w:right w:val="dotted" w:sz="4" w:space="0" w:color="FFFFFF"/>
              </w:pBdr>
              <w:shd w:val="clear" w:color="auto" w:fill="FFFFFF"/>
              <w:jc w:val="both"/>
              <w:rPr>
                <w:color w:val="000000"/>
                <w:spacing w:val="-4"/>
                <w:sz w:val="22"/>
                <w:szCs w:val="22"/>
              </w:rPr>
            </w:pPr>
            <w:r>
              <w:rPr>
                <w:sz w:val="22"/>
                <w:szCs w:val="22"/>
              </w:rPr>
              <w:t>H</w:t>
            </w:r>
            <w:r w:rsidR="001936D7" w:rsidRPr="001936D7">
              <w:rPr>
                <w:color w:val="000000"/>
                <w:sz w:val="22"/>
                <w:szCs w:val="22"/>
              </w:rPr>
              <w:t xml:space="preserve">iện nay </w:t>
            </w:r>
            <w:r>
              <w:rPr>
                <w:color w:val="000000"/>
                <w:sz w:val="22"/>
                <w:szCs w:val="22"/>
              </w:rPr>
              <w:t xml:space="preserve">huyện Hương Sơn </w:t>
            </w:r>
            <w:r w:rsidR="001936D7" w:rsidRPr="001936D7">
              <w:rPr>
                <w:color w:val="000000"/>
                <w:sz w:val="22"/>
                <w:szCs w:val="22"/>
              </w:rPr>
              <w:t xml:space="preserve">đang triển khai thực hiện 3 dự án đô thị: Dự án Khu đô thị Nam Phố Châu đã được UBND tỉnh phê duyệt giá đất nhưng đến nay nhà đầu tư chưa nộp tiền sử dụng đất nên chưa làm thủ tục cho thuê đất và cấp giấy CNQSD đất theo quy định; </w:t>
            </w:r>
            <w:r w:rsidR="001936D7" w:rsidRPr="001936D7">
              <w:rPr>
                <w:color w:val="000000"/>
                <w:spacing w:val="-2"/>
                <w:sz w:val="22"/>
                <w:szCs w:val="22"/>
              </w:rPr>
              <w:t xml:space="preserve">Dự án Khu đô thị Bắc Phố Châu 1 đã đấu thấu lựa chọn nhà đầu tư, ký kết hợp đồng, hiện nay cần điều chỉnh một số nội dung quy hoạch khu đô thị cần sớm được UBND tỉnh sớm phê duyệt đồng thời chỉ đạo Sở TNMT thuê tư vấn tính tiền sử dụng đất; </w:t>
            </w:r>
            <w:r w:rsidR="001936D7" w:rsidRPr="001936D7">
              <w:rPr>
                <w:color w:val="000000"/>
                <w:spacing w:val="-4"/>
                <w:sz w:val="22"/>
                <w:szCs w:val="22"/>
              </w:rPr>
              <w:t xml:space="preserve">Dự án Khu đô thị Bắc Phố Châu 2 thì UBND tỉnh cần chỉ đạo các sở, ngành sớm hướng dẫn tính giá trị M3 để xây dựng hồ sơ đấu thầu lựa chọn nhà đầu tư. </w:t>
            </w:r>
          </w:p>
        </w:tc>
      </w:tr>
      <w:tr w:rsidR="0025060C" w:rsidRPr="00430456" w:rsidTr="001936D7">
        <w:trPr>
          <w:trHeight w:val="2188"/>
        </w:trPr>
        <w:tc>
          <w:tcPr>
            <w:tcW w:w="562" w:type="dxa"/>
            <w:vAlign w:val="center"/>
          </w:tcPr>
          <w:p w:rsidR="0025060C" w:rsidRPr="00430456" w:rsidRDefault="0025060C" w:rsidP="00A2251F">
            <w:pPr>
              <w:pStyle w:val="ListParagraph"/>
              <w:numPr>
                <w:ilvl w:val="0"/>
                <w:numId w:val="1"/>
              </w:numPr>
              <w:jc w:val="center"/>
              <w:rPr>
                <w:b/>
                <w:sz w:val="24"/>
                <w:szCs w:val="24"/>
              </w:rPr>
            </w:pPr>
          </w:p>
        </w:tc>
        <w:tc>
          <w:tcPr>
            <w:tcW w:w="4111" w:type="dxa"/>
            <w:vAlign w:val="center"/>
          </w:tcPr>
          <w:p w:rsidR="0025060C" w:rsidRPr="0025060C" w:rsidRDefault="0025060C" w:rsidP="00286727">
            <w:pPr>
              <w:jc w:val="both"/>
              <w:rPr>
                <w:sz w:val="22"/>
                <w:szCs w:val="22"/>
              </w:rPr>
            </w:pPr>
            <w:r w:rsidRPr="0025060C">
              <w:rPr>
                <w:sz w:val="22"/>
                <w:szCs w:val="22"/>
              </w:rPr>
              <w:t>Việc cấp giấy chứng nhận quyền sử dụng đất cho các hộ dân thuộc đối tượng bồi thường, hỗ trợ khi triển khai xây dựng đường điện 500Kv (mạch 2) xã Kỳ Văn, huyện Kỳ Anh gặp vướng mắc trong việc xác định nghĩa vụ tài chính nên không thực hiện được. Đề nghị tỉnh chỉ đạo kiểm tra, xử lý đảm bảo quyền lợi cho người dân.</w:t>
            </w:r>
          </w:p>
        </w:tc>
        <w:tc>
          <w:tcPr>
            <w:tcW w:w="10206" w:type="dxa"/>
          </w:tcPr>
          <w:p w:rsidR="0025060C" w:rsidRPr="0025060C" w:rsidRDefault="0025060C" w:rsidP="00286727">
            <w:pPr>
              <w:pBdr>
                <w:top w:val="dotted" w:sz="4" w:space="0" w:color="FFFFFF"/>
                <w:left w:val="dotted" w:sz="4" w:space="0" w:color="FFFFFF"/>
                <w:bottom w:val="dotted" w:sz="4" w:space="16" w:color="FFFFFF"/>
                <w:right w:val="dotted" w:sz="4" w:space="0" w:color="FFFFFF"/>
              </w:pBdr>
              <w:shd w:val="clear" w:color="auto" w:fill="FFFFFF"/>
              <w:jc w:val="both"/>
              <w:rPr>
                <w:sz w:val="22"/>
                <w:szCs w:val="22"/>
              </w:rPr>
            </w:pPr>
            <w:r w:rsidRPr="0025060C">
              <w:rPr>
                <w:sz w:val="22"/>
                <w:szCs w:val="22"/>
              </w:rPr>
              <w:t>Ngày 26/5/2021, UBND huyện Kỳ Anh đã làm việc với Sở Tài nguyên và Môi trường để tháo gỡ một số tồn tại, vướng mắc trong công tác quản lý nhà nước về đất đai trên địa bàn huyện Kỳ Anh (thông báo kết luận số 247/TB-STNMT-UBNDKA, ngày 28/6/2021), trong đó có nội dung liên quan đến nội dung này. Theo đó UBND huyện Kỳ Anh đã chỉ đạo kiểm tra, rà soát lại việc bồi thường, hỗ trợ cho các hộ dân đã thực hiện trước đây; bổ sung kế hoạch sử dụng đất năm 2021 trình cấp có thẩm quyền phê duyệt (nếu chưa lập); phối hợp với Truyền tải điện Hà Tĩnh tiến hành lập Phương án bồi thường, hỗ trợ, tái định cư theo quy định tại Khoản 2 Điều 74 và Khoản 1 Điều 79 Luật Đất đai 2013. Hiện nay, UBND huyện đang triển khai thực hiện.</w:t>
            </w:r>
          </w:p>
        </w:tc>
      </w:tr>
      <w:tr w:rsidR="00410E6F" w:rsidRPr="00430456" w:rsidTr="00410E6F">
        <w:trPr>
          <w:trHeight w:val="351"/>
        </w:trPr>
        <w:tc>
          <w:tcPr>
            <w:tcW w:w="562" w:type="dxa"/>
            <w:vAlign w:val="center"/>
          </w:tcPr>
          <w:p w:rsidR="00410E6F" w:rsidRPr="00430456" w:rsidRDefault="00410E6F" w:rsidP="00A2251F">
            <w:pPr>
              <w:pStyle w:val="ListParagraph"/>
              <w:numPr>
                <w:ilvl w:val="0"/>
                <w:numId w:val="1"/>
              </w:numPr>
              <w:jc w:val="center"/>
              <w:rPr>
                <w:b/>
                <w:sz w:val="24"/>
                <w:szCs w:val="24"/>
              </w:rPr>
            </w:pPr>
          </w:p>
        </w:tc>
        <w:tc>
          <w:tcPr>
            <w:tcW w:w="4111" w:type="dxa"/>
            <w:vAlign w:val="center"/>
          </w:tcPr>
          <w:p w:rsidR="00410E6F" w:rsidRPr="00410E6F" w:rsidRDefault="00410E6F" w:rsidP="00286727">
            <w:pPr>
              <w:jc w:val="both"/>
              <w:rPr>
                <w:sz w:val="22"/>
                <w:szCs w:val="22"/>
              </w:rPr>
            </w:pPr>
            <w:r w:rsidRPr="00410E6F">
              <w:rPr>
                <w:sz w:val="22"/>
                <w:szCs w:val="22"/>
              </w:rPr>
              <w:t>Đề nghị tỉnh chỉ đạo việc kiểm tra cắm mốc xác định ranh giới phạm vi lòng hồ Văn Võ, xã Kỳ Văn, huyện Kỳ Anh để đảm bảo quản lý đất đai và đảm bảo an toàn khai thác hồ đập theo quy định</w:t>
            </w:r>
          </w:p>
        </w:tc>
        <w:tc>
          <w:tcPr>
            <w:tcW w:w="10206" w:type="dxa"/>
          </w:tcPr>
          <w:p w:rsidR="00410E6F" w:rsidRPr="00410E6F" w:rsidRDefault="00410E6F" w:rsidP="00410E6F">
            <w:pPr>
              <w:pBdr>
                <w:top w:val="dotted" w:sz="4" w:space="0" w:color="FFFFFF"/>
                <w:left w:val="dotted" w:sz="4" w:space="0" w:color="FFFFFF"/>
                <w:bottom w:val="dotted" w:sz="4" w:space="16" w:color="FFFFFF"/>
                <w:right w:val="dotted" w:sz="4" w:space="0" w:color="FFFFFF"/>
              </w:pBdr>
              <w:shd w:val="clear" w:color="auto" w:fill="FFFFFF"/>
              <w:spacing w:before="60"/>
              <w:ind w:firstLine="30"/>
              <w:jc w:val="both"/>
              <w:rPr>
                <w:sz w:val="22"/>
                <w:szCs w:val="22"/>
              </w:rPr>
            </w:pPr>
            <w:r w:rsidRPr="00410E6F">
              <w:rPr>
                <w:sz w:val="22"/>
                <w:szCs w:val="22"/>
              </w:rPr>
              <w:t>Hồ Văn Võ, xã Kỳ Văn được UBND tỉnh giao cho Công ty TNHH MTV Thủy lợi Nam Hà Tĩnh quản lý tại Quyết định số 15/2011/QĐ-UBND ngày 28/6/2011. Tuy vậy, hiện nay Chủ quản lý công trình thủy lợi chưa lập phương án bảo vệ đập, hồ chứa nước, trong đó có nội dung cắm mốc phạm vi bảo vệ đập, hồ chứa nước theo quy định. Tiếp thu ý kiến, kiến nghị của cử tri, UBND tỉnh chỉ đạo Công ty TNHH MTV Thủy lợi Nam Hà Tĩnh phối hợp với UBND huyện Kỳ Anh khẩn trương thực hiện nội dung trên.</w:t>
            </w:r>
          </w:p>
        </w:tc>
      </w:tr>
      <w:tr w:rsidR="00410E6F" w:rsidRPr="00430456" w:rsidTr="00410E6F">
        <w:trPr>
          <w:trHeight w:val="351"/>
        </w:trPr>
        <w:tc>
          <w:tcPr>
            <w:tcW w:w="562" w:type="dxa"/>
            <w:vAlign w:val="center"/>
          </w:tcPr>
          <w:p w:rsidR="00410E6F" w:rsidRPr="00430456" w:rsidRDefault="00410E6F" w:rsidP="00A2251F">
            <w:pPr>
              <w:pStyle w:val="ListParagraph"/>
              <w:numPr>
                <w:ilvl w:val="0"/>
                <w:numId w:val="1"/>
              </w:numPr>
              <w:jc w:val="center"/>
              <w:rPr>
                <w:b/>
                <w:sz w:val="24"/>
                <w:szCs w:val="24"/>
              </w:rPr>
            </w:pPr>
          </w:p>
        </w:tc>
        <w:tc>
          <w:tcPr>
            <w:tcW w:w="4111" w:type="dxa"/>
            <w:vAlign w:val="center"/>
          </w:tcPr>
          <w:p w:rsidR="00410E6F" w:rsidRPr="00410E6F" w:rsidRDefault="00410E6F" w:rsidP="00286727">
            <w:pPr>
              <w:jc w:val="both"/>
              <w:rPr>
                <w:sz w:val="22"/>
                <w:szCs w:val="22"/>
              </w:rPr>
            </w:pPr>
            <w:r w:rsidRPr="00410E6F">
              <w:rPr>
                <w:sz w:val="22"/>
                <w:szCs w:val="22"/>
              </w:rPr>
              <w:t>Đề nghị tỉnh làm việc với Công ty CP Sắt Thạch Khê sớm bàn giao đất Nghĩa trang Đồng Trằm Trị về cho địa phương quản lý</w:t>
            </w:r>
          </w:p>
        </w:tc>
        <w:tc>
          <w:tcPr>
            <w:tcW w:w="10206" w:type="dxa"/>
          </w:tcPr>
          <w:p w:rsidR="00410E6F" w:rsidRPr="00410E6F" w:rsidRDefault="00410E6F" w:rsidP="00410E6F">
            <w:pPr>
              <w:pBdr>
                <w:top w:val="dotted" w:sz="4" w:space="0" w:color="FFFFFF"/>
                <w:left w:val="dotted" w:sz="4" w:space="0" w:color="FFFFFF"/>
                <w:bottom w:val="dotted" w:sz="4" w:space="16" w:color="FFFFFF"/>
                <w:right w:val="dotted" w:sz="4" w:space="0" w:color="FFFFFF"/>
              </w:pBdr>
              <w:shd w:val="clear" w:color="auto" w:fill="FFFFFF"/>
              <w:spacing w:before="60"/>
              <w:ind w:firstLine="30"/>
              <w:jc w:val="both"/>
              <w:rPr>
                <w:sz w:val="22"/>
                <w:szCs w:val="22"/>
              </w:rPr>
            </w:pPr>
            <w:r w:rsidRPr="00410E6F">
              <w:rPr>
                <w:sz w:val="22"/>
                <w:szCs w:val="22"/>
              </w:rPr>
              <w:t>Nghĩa trang Đồng Trằm Trị hiện nay thuộc Ban Quản lý khu vực Mỏ sắt Thạch Khê xây dựng và quản lý. Tiếp thu ý kiến, kiến nghị của cử tri, trong thời gian tới, UBND tỉnh sẽ chỉ đạo UBND huyện Thạch Hà phối hợp với Ban Quản lý khu vực Mỏ sắt Thạch Khê lập hồ sơ văn bản bàn giao cho địa phương quản lý, sử dụng.</w:t>
            </w:r>
          </w:p>
        </w:tc>
      </w:tr>
      <w:tr w:rsidR="00413A26" w:rsidRPr="00430456" w:rsidTr="001F5A14">
        <w:trPr>
          <w:trHeight w:val="351"/>
        </w:trPr>
        <w:tc>
          <w:tcPr>
            <w:tcW w:w="562" w:type="dxa"/>
            <w:vAlign w:val="center"/>
          </w:tcPr>
          <w:p w:rsidR="00413A26" w:rsidRPr="00430456" w:rsidRDefault="00413A26" w:rsidP="00413A26">
            <w:pPr>
              <w:pStyle w:val="ListParagraph"/>
              <w:numPr>
                <w:ilvl w:val="0"/>
                <w:numId w:val="1"/>
              </w:numPr>
              <w:jc w:val="center"/>
              <w:rPr>
                <w:b/>
                <w:sz w:val="24"/>
                <w:szCs w:val="24"/>
              </w:rPr>
            </w:pPr>
          </w:p>
        </w:tc>
        <w:tc>
          <w:tcPr>
            <w:tcW w:w="4111" w:type="dxa"/>
            <w:vAlign w:val="center"/>
          </w:tcPr>
          <w:p w:rsidR="00413A26" w:rsidRPr="00410E6F" w:rsidRDefault="00413A26" w:rsidP="005D66BD">
            <w:pPr>
              <w:jc w:val="both"/>
              <w:rPr>
                <w:sz w:val="22"/>
                <w:szCs w:val="22"/>
              </w:rPr>
            </w:pPr>
            <w:r w:rsidRPr="00410E6F">
              <w:rPr>
                <w:sz w:val="22"/>
                <w:szCs w:val="22"/>
              </w:rPr>
              <w:t>Đề nghị tỉnh kiểm tra, xử lý việc Trại thực nghiệm giống nuôi trồng thủy sản tại xã Xuân Phổ, huyện Nghi Xuân; Trường Dạy nghề cũ, Trung tâm y học cổ truyền, xã Tùng Ảnh, huyện Đức Thọ</w:t>
            </w:r>
            <w:r w:rsidR="005D66BD">
              <w:rPr>
                <w:sz w:val="22"/>
                <w:szCs w:val="22"/>
              </w:rPr>
              <w:t xml:space="preserve">; </w:t>
            </w:r>
            <w:r w:rsidR="005D66BD" w:rsidRPr="005D66BD">
              <w:rPr>
                <w:sz w:val="22"/>
                <w:szCs w:val="22"/>
              </w:rPr>
              <w:t>một số khu tập thể cũ ở thành phố Hà Tĩnh bỏ hoang nhiều năm, gây lãng phí</w:t>
            </w:r>
            <w:r w:rsidRPr="00410E6F">
              <w:rPr>
                <w:sz w:val="22"/>
                <w:szCs w:val="22"/>
              </w:rPr>
              <w:t xml:space="preserve"> bỏ hoang nhiều năm, gây lãng phí</w:t>
            </w:r>
          </w:p>
        </w:tc>
        <w:tc>
          <w:tcPr>
            <w:tcW w:w="10206" w:type="dxa"/>
            <w:vAlign w:val="center"/>
          </w:tcPr>
          <w:p w:rsidR="00413A26" w:rsidRDefault="00413A26" w:rsidP="00413A26">
            <w:pPr>
              <w:pBdr>
                <w:top w:val="dotted" w:sz="4" w:space="0" w:color="FFFFFF"/>
                <w:left w:val="dotted" w:sz="4" w:space="0" w:color="FFFFFF"/>
                <w:bottom w:val="dotted" w:sz="4" w:space="16" w:color="FFFFFF"/>
                <w:right w:val="dotted" w:sz="4" w:space="0" w:color="FFFFFF"/>
              </w:pBdr>
              <w:shd w:val="clear" w:color="auto" w:fill="FFFFFF"/>
              <w:spacing w:before="60"/>
              <w:jc w:val="both"/>
              <w:rPr>
                <w:i/>
                <w:sz w:val="22"/>
                <w:szCs w:val="22"/>
              </w:rPr>
            </w:pPr>
            <w:r>
              <w:rPr>
                <w:i/>
                <w:sz w:val="22"/>
                <w:szCs w:val="22"/>
              </w:rPr>
              <w:t>-</w:t>
            </w:r>
            <w:r w:rsidRPr="006C5891">
              <w:rPr>
                <w:i/>
                <w:sz w:val="22"/>
                <w:szCs w:val="22"/>
              </w:rPr>
              <w:t xml:space="preserve"> Về trại thực nghiệm giống nuôi trông thủy sản </w:t>
            </w:r>
            <w:r>
              <w:rPr>
                <w:i/>
                <w:sz w:val="22"/>
                <w:szCs w:val="22"/>
              </w:rPr>
              <w:t xml:space="preserve">tại xã Xuân Phổ, huyện Nghi Xuân: </w:t>
            </w:r>
            <w:r w:rsidRPr="006C5891">
              <w:rPr>
                <w:sz w:val="22"/>
                <w:szCs w:val="22"/>
              </w:rPr>
              <w:t>Trại thực nghiệm giống nuôi trồng thủy sản tại xã Xuân Phổ, huyện Nghi Xuân được UBND tỉnh phê duyệt dự án đầu tư tại Quyết định số 3228/QĐ-UBND ngày 11/12/2007 và điều chỉnh tại Quyết định số 2350/QĐ-UBND ngày 21/8/2008 và Quyết định số 3225/QĐ-UBND ngày 30/10/2012; Chủ đầu tư là Trung tâm Khuyến nông - Khuyến ngư tỉnh (nay là Trung tâm Khuyến nông tỉnh). Dự án khởi công ngày 16/9/2009; hoàn thành ngày 30/12/2012; được phê duyệt quyết toán dự án hoàn thành tại Quyết định số 1407/QĐ-UBND ngày 14/05/2018.</w:t>
            </w:r>
            <w:r>
              <w:rPr>
                <w:i/>
                <w:sz w:val="22"/>
                <w:szCs w:val="22"/>
              </w:rPr>
              <w:t xml:space="preserve"> </w:t>
            </w:r>
            <w:r w:rsidRPr="006C5891">
              <w:rPr>
                <w:sz w:val="22"/>
                <w:szCs w:val="22"/>
              </w:rPr>
              <w:t>Sau khi hoàn hoàn thành dự án, Trại thực nghiệm được Trung tâm Khuyến nông cho Công ty Thông Thuận Hà Tĩnh thuê sử dụng mặt bằng một thời gian, đến ngày 28/9/2015 thực hiện chủ trương UBND tỉnh tại Văn bản số 2778/UBND-NL, Trung tâm tiếp tục cho Công ty TNHH Fineton thuê lại mặt bằng, cơ sở vật chất để sản xuất giống cá mú, cá bơn và các loại thủy sản có giá trị kinh tế cao. Tuy vậy, sau đó dự án không tiếp tục triển khai thực hiện. Sở Kế hoạch và Đầu tư đã có Quyết định số 163/QĐ-SKHĐT ngày 29/12/2017 chấm dứt hoạt động của dự án đầu tư và thu hồi Giấy chứng nhận đăng ký đầu tư của Công ty TNHH Fineton.</w:t>
            </w:r>
            <w:r>
              <w:rPr>
                <w:i/>
                <w:sz w:val="22"/>
                <w:szCs w:val="22"/>
              </w:rPr>
              <w:t xml:space="preserve"> </w:t>
            </w:r>
            <w:r w:rsidRPr="006C5891">
              <w:rPr>
                <w:sz w:val="22"/>
                <w:szCs w:val="22"/>
              </w:rPr>
              <w:t>Ngày 30/6/2021, UBND tỉnh đã ban hành Văn bản số 4126/UBND-NL về việc giải quyết hồ sơ vụ việc thanh lý hợp đồng Trại nuôi thực nghiệm và sản xuất giống thủy sản Xuân Phổ gửi Tòa án nhân dân tỉnh Hà Tĩnh; theo đó, Trung tâm Khuyến nông tỉnh đã có đơn và hồ sơ gửi đến Tòa án nhân dân tỉnh để khởi kiện Công ty TNHH Phát triển Fineton Hà Tĩnh liên quan đến việc thanh lý hợp đồng Trại nuôi thực nghiệm và sản xuất giống thủy sản Xuân Phổ.</w:t>
            </w:r>
          </w:p>
          <w:p w:rsidR="00413A26" w:rsidRDefault="00413A26" w:rsidP="00413A26">
            <w:pPr>
              <w:pBdr>
                <w:top w:val="dotted" w:sz="4" w:space="0" w:color="FFFFFF"/>
                <w:left w:val="dotted" w:sz="4" w:space="0" w:color="FFFFFF"/>
                <w:bottom w:val="dotted" w:sz="4" w:space="16" w:color="FFFFFF"/>
                <w:right w:val="dotted" w:sz="4" w:space="0" w:color="FFFFFF"/>
              </w:pBdr>
              <w:shd w:val="clear" w:color="auto" w:fill="FFFFFF"/>
              <w:spacing w:before="60"/>
              <w:jc w:val="both"/>
              <w:rPr>
                <w:i/>
                <w:sz w:val="22"/>
                <w:szCs w:val="22"/>
              </w:rPr>
            </w:pPr>
            <w:r>
              <w:rPr>
                <w:i/>
                <w:sz w:val="22"/>
                <w:szCs w:val="22"/>
              </w:rPr>
              <w:t xml:space="preserve">- </w:t>
            </w:r>
            <w:r w:rsidRPr="006C5891">
              <w:rPr>
                <w:i/>
                <w:sz w:val="22"/>
                <w:szCs w:val="22"/>
              </w:rPr>
              <w:t>Về xử lý Trại thực nghiệm sản xuất giống cá tại xã Kỳ Văn</w:t>
            </w:r>
            <w:r>
              <w:rPr>
                <w:i/>
                <w:sz w:val="22"/>
                <w:szCs w:val="22"/>
              </w:rPr>
              <w:t xml:space="preserve">: </w:t>
            </w:r>
            <w:r w:rsidRPr="006C5891">
              <w:rPr>
                <w:sz w:val="22"/>
                <w:szCs w:val="22"/>
              </w:rPr>
              <w:t>UBND huyện Kỳ Anh có Văn bản số 749/UBND-TCKH ngày 04/6/2021 gửi UBND tỉnh và các sở, ngành liên quan đề nghị điều chuyển cơ sở nhà đất Trại thực nghiệm và sản xuất cá giống Kỳ Văn để bàn giao tiếp nhận, sử dụng.</w:t>
            </w:r>
            <w:r>
              <w:rPr>
                <w:i/>
                <w:sz w:val="22"/>
                <w:szCs w:val="22"/>
              </w:rPr>
              <w:t xml:space="preserve"> </w:t>
            </w:r>
            <w:r w:rsidRPr="006C5891">
              <w:rPr>
                <w:sz w:val="22"/>
                <w:szCs w:val="22"/>
              </w:rPr>
              <w:t xml:space="preserve">UBND tỉnh đã giao Sở Tài chính và Sở Nông nghiệp và PTNT hướng dẫn, xử lý; Sở Tài chính đã có Văn bản số  2597/STC-GCS ngày 07/7/2021; theo đó, Sở Nông nghiệp và PTNT chỉ đạo, hướng dẫn Trung tâm Khuyến nông tỉnh lập hồ sơ điều chuyển tài sản theo quy định, trình Sở Tài chính thẩm định, UBND tỉnh quyết định điều chuyển tài sản Trại cá Kỳ Văn về UBND huyện Kỳ Anh quản lý, sử dụng, phát huy hiệu quả. </w:t>
            </w:r>
          </w:p>
          <w:p w:rsidR="00413A26" w:rsidRDefault="00413A26" w:rsidP="00413A26">
            <w:pPr>
              <w:pBdr>
                <w:top w:val="dotted" w:sz="4" w:space="0" w:color="FFFFFF"/>
                <w:left w:val="dotted" w:sz="4" w:space="0" w:color="FFFFFF"/>
                <w:bottom w:val="dotted" w:sz="4" w:space="16" w:color="FFFFFF"/>
                <w:right w:val="dotted" w:sz="4" w:space="0" w:color="FFFFFF"/>
              </w:pBdr>
              <w:shd w:val="clear" w:color="auto" w:fill="FFFFFF"/>
              <w:spacing w:before="60"/>
              <w:jc w:val="both"/>
              <w:rPr>
                <w:sz w:val="22"/>
                <w:szCs w:val="22"/>
              </w:rPr>
            </w:pPr>
            <w:r>
              <w:rPr>
                <w:i/>
                <w:sz w:val="22"/>
                <w:szCs w:val="22"/>
              </w:rPr>
              <w:t xml:space="preserve">- </w:t>
            </w:r>
            <w:r w:rsidRPr="006C5891">
              <w:rPr>
                <w:i/>
                <w:sz w:val="22"/>
                <w:szCs w:val="22"/>
              </w:rPr>
              <w:t>Về nội dung Trường Dạy nghề cũ, Trung tâm y học cổ truyền, xã Tùng Ảnh, huyện Đức Thọ bỏ hoang nhiều năm, gây lãng phí</w:t>
            </w:r>
            <w:r>
              <w:rPr>
                <w:sz w:val="22"/>
                <w:szCs w:val="22"/>
              </w:rPr>
              <w:t xml:space="preserve">: </w:t>
            </w:r>
            <w:r w:rsidRPr="006C5891">
              <w:rPr>
                <w:sz w:val="22"/>
                <w:szCs w:val="22"/>
              </w:rPr>
              <w:t>Cả 02 công trình nêu trên thuộc diện sắp xếp lại, xử lý tài sản công theo Nghị định số 67/2021/NĐ-CP ngày 15/7/2021 (có hiệu lực từ ngày 01/9/2021) về sửa đổi, bổ sung một số điều của Nghị định số 167/2017/NĐ-CP ngày 31/12/2017. Hiện nay, Bộ Tài chính đã dự thảo và đang lấy ý kiến góp ý dự thảo Thông tư hướng dẫn một số nội dung về sắp xếp lại, xử lý nhà, đất theo quy định tại Nghị định số 167/2017/NĐ-CP của Chính phủ quy định việc sắp xếp lại, xử lý tài sản công và Nghị định số 67/2021/NĐ-CP về việc sửa đổi, bổ sung một số điều của Nghị định số 167/2017/NĐ-CP. UBND tỉnh đã giao Sở Tài chính chủ trì, phối hợp với các địa phương, đơn vị liên quan hướng dẫn thực hiện việc sắp xếp, xử lý tài sản công theo quy định tại Nghị định số 67/2021/NĐ-CP.</w:t>
            </w:r>
          </w:p>
          <w:p w:rsidR="00602BD6" w:rsidRPr="005D66BD" w:rsidRDefault="005D66BD" w:rsidP="00602BD6">
            <w:pPr>
              <w:pBdr>
                <w:top w:val="dotted" w:sz="4" w:space="0" w:color="FFFFFF"/>
                <w:left w:val="dotted" w:sz="4" w:space="0" w:color="FFFFFF"/>
                <w:bottom w:val="dotted" w:sz="4" w:space="16" w:color="FFFFFF"/>
                <w:right w:val="dotted" w:sz="4" w:space="0" w:color="FFFFFF"/>
              </w:pBdr>
              <w:shd w:val="clear" w:color="auto" w:fill="FFFFFF"/>
              <w:spacing w:before="60"/>
              <w:jc w:val="both"/>
              <w:rPr>
                <w:sz w:val="22"/>
                <w:szCs w:val="22"/>
              </w:rPr>
            </w:pPr>
            <w:r w:rsidRPr="00602BD6">
              <w:rPr>
                <w:sz w:val="22"/>
                <w:szCs w:val="22"/>
              </w:rPr>
              <w:t>- Về việc một số khu tập thể cũ ở thành phố Hà Tĩnh bỏ hoang nhiều năm, gây lãng phí bỏ hoang nhiều năm, gây lãng phí</w:t>
            </w:r>
            <w:r w:rsidR="00602BD6" w:rsidRPr="00602BD6">
              <w:rPr>
                <w:sz w:val="22"/>
                <w:szCs w:val="22"/>
              </w:rPr>
              <w:t xml:space="preserve">: UBND tỉnh đã có Quyết định số 1989/QĐ-UBND ngày 29/6/2020 về việc chuyển giao cơ sở nhà đất của Bảo tàng tỉnh và Thư viện tỉnh về cho UBND thành phố Hà Tĩnh quản lý, sử dụng; hiện nay, UBND thành phố đã giao UBND phường Bắc Hà thực hiện quản lý, chỉnh trang lại khu vực này, đảm bảo vệ sinh môi trường và mỹ quan đô thị. </w:t>
            </w:r>
            <w:r w:rsidR="00602BD6">
              <w:rPr>
                <w:sz w:val="22"/>
                <w:szCs w:val="22"/>
              </w:rPr>
              <w:t>Đối với số trụ sở khác sẽ chỉ đạo tập trung xử lý trong thời gian tới</w:t>
            </w:r>
          </w:p>
        </w:tc>
      </w:tr>
    </w:tbl>
    <w:p w:rsidR="00430456" w:rsidRPr="00430456" w:rsidRDefault="00430456" w:rsidP="00430456">
      <w:pPr>
        <w:jc w:val="center"/>
        <w:rPr>
          <w:b/>
        </w:rPr>
      </w:pPr>
    </w:p>
    <w:sectPr w:rsidR="00430456" w:rsidRPr="00430456" w:rsidSect="00602BD6">
      <w:pgSz w:w="15840" w:h="12240" w:orient="landscape"/>
      <w:pgMar w:top="624" w:right="567" w:bottom="45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634" w:rsidRDefault="00856634" w:rsidP="00410E6F">
      <w:r>
        <w:separator/>
      </w:r>
    </w:p>
  </w:endnote>
  <w:endnote w:type="continuationSeparator" w:id="0">
    <w:p w:rsidR="00856634" w:rsidRDefault="00856634" w:rsidP="0041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634" w:rsidRDefault="00856634" w:rsidP="00410E6F">
      <w:r>
        <w:separator/>
      </w:r>
    </w:p>
  </w:footnote>
  <w:footnote w:type="continuationSeparator" w:id="0">
    <w:p w:rsidR="00856634" w:rsidRDefault="00856634" w:rsidP="00410E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7F76"/>
    <w:multiLevelType w:val="hybridMultilevel"/>
    <w:tmpl w:val="B78AB3B2"/>
    <w:lvl w:ilvl="0" w:tplc="296A0C9E">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51"/>
    <w:rsid w:val="00091E41"/>
    <w:rsid w:val="00117EB2"/>
    <w:rsid w:val="00133E9F"/>
    <w:rsid w:val="00137A38"/>
    <w:rsid w:val="001936D7"/>
    <w:rsid w:val="001F0165"/>
    <w:rsid w:val="001F5A14"/>
    <w:rsid w:val="0025060C"/>
    <w:rsid w:val="00286727"/>
    <w:rsid w:val="002A300C"/>
    <w:rsid w:val="00410E6F"/>
    <w:rsid w:val="00413A26"/>
    <w:rsid w:val="00430456"/>
    <w:rsid w:val="00583AFA"/>
    <w:rsid w:val="005D66BD"/>
    <w:rsid w:val="00602BD6"/>
    <w:rsid w:val="007A5A9E"/>
    <w:rsid w:val="00816F38"/>
    <w:rsid w:val="008201DB"/>
    <w:rsid w:val="00856634"/>
    <w:rsid w:val="0087350C"/>
    <w:rsid w:val="00916A2E"/>
    <w:rsid w:val="00965B8C"/>
    <w:rsid w:val="00A2251F"/>
    <w:rsid w:val="00B550F7"/>
    <w:rsid w:val="00BA6851"/>
    <w:rsid w:val="00C63815"/>
    <w:rsid w:val="00DA10C0"/>
    <w:rsid w:val="00DA4476"/>
    <w:rsid w:val="00DE2997"/>
    <w:rsid w:val="00E947F0"/>
    <w:rsid w:val="00EC248E"/>
    <w:rsid w:val="00F73E90"/>
    <w:rsid w:val="00F9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7715"/>
  <w15:chartTrackingRefBased/>
  <w15:docId w15:val="{C48F028E-1516-4118-95DF-550A426F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456"/>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456"/>
    <w:pPr>
      <w:ind w:left="720"/>
      <w:contextualSpacing/>
    </w:pPr>
  </w:style>
  <w:style w:type="paragraph" w:styleId="FootnoteText">
    <w:name w:val="footnote text"/>
    <w:basedOn w:val="Normal"/>
    <w:link w:val="FootnoteTextChar"/>
    <w:uiPriority w:val="99"/>
    <w:semiHidden/>
    <w:unhideWhenUsed/>
    <w:rsid w:val="00410E6F"/>
    <w:pPr>
      <w:spacing w:after="200" w:line="276" w:lineRule="auto"/>
    </w:pPr>
    <w:rPr>
      <w:rFonts w:eastAsia="Calibri"/>
      <w:sz w:val="20"/>
      <w:szCs w:val="20"/>
    </w:rPr>
  </w:style>
  <w:style w:type="character" w:customStyle="1" w:styleId="FootnoteTextChar">
    <w:name w:val="Footnote Text Char"/>
    <w:basedOn w:val="DefaultParagraphFont"/>
    <w:link w:val="FootnoteText"/>
    <w:uiPriority w:val="99"/>
    <w:semiHidden/>
    <w:rsid w:val="00410E6F"/>
    <w:rPr>
      <w:rFonts w:eastAsia="Calibri" w:cs="Times New Roman"/>
      <w:sz w:val="20"/>
      <w:szCs w:val="20"/>
    </w:rPr>
  </w:style>
  <w:style w:type="character" w:styleId="FootnoteReference">
    <w:name w:val="footnote reference"/>
    <w:uiPriority w:val="99"/>
    <w:semiHidden/>
    <w:unhideWhenUsed/>
    <w:rsid w:val="00410E6F"/>
    <w:rPr>
      <w:vertAlign w:val="superscript"/>
    </w:rPr>
  </w:style>
  <w:style w:type="paragraph" w:styleId="BalloonText">
    <w:name w:val="Balloon Text"/>
    <w:basedOn w:val="Normal"/>
    <w:link w:val="BalloonTextChar"/>
    <w:uiPriority w:val="99"/>
    <w:semiHidden/>
    <w:unhideWhenUsed/>
    <w:rsid w:val="00B55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0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3F63F-D586-4AC5-AC46-52FF01C4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2021-11-22T15:57:00Z</dcterms:created>
  <dc:creator>hatechvn@outlook.com</dc:creator>
  <cp:lastModifiedBy>hatechvn@outlook.com</cp:lastModifiedBy>
  <cp:lastPrinted>2021-11-26T08:25:00Z</cp:lastPrinted>
  <dcterms:modified xsi:type="dcterms:W3CDTF">2021-12-14T06:50:00Z</dcterms:modified>
  <cp:revision>14</cp:revision>
  <dc:title>Phòng Tổng hợp Thông tin dân nguyện - QH-HĐND tỉnh Hà Tĩnh</dc:title>
</cp:coreProperties>
</file>