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ayout w:type="fixed"/>
        <w:tblLook w:val="0000" w:firstRow="0" w:lastRow="0" w:firstColumn="0" w:lastColumn="0" w:noHBand="0" w:noVBand="0"/>
      </w:tblPr>
      <w:tblGrid>
        <w:gridCol w:w="3533"/>
        <w:gridCol w:w="6480"/>
      </w:tblGrid>
      <w:tr w:rsidR="002B6991" w:rsidRPr="00DB6A90" w:rsidTr="00DE6292">
        <w:tc>
          <w:tcPr>
            <w:tcW w:w="3533" w:type="dxa"/>
          </w:tcPr>
          <w:p w:rsidR="002B6991" w:rsidRPr="00DB6A90" w:rsidRDefault="002B6991" w:rsidP="00FB65A1">
            <w:pPr>
              <w:jc w:val="center"/>
              <w:rPr>
                <w:b/>
                <w:noProof/>
                <w:color w:val="000000"/>
              </w:rPr>
            </w:pPr>
            <w:r w:rsidRPr="00DB6A90">
              <w:rPr>
                <w:b/>
                <w:noProof/>
                <w:color w:val="000000"/>
              </w:rPr>
              <w:t>HỘI ĐỒNG NHÂN DÂN</w:t>
            </w:r>
          </w:p>
          <w:p w:rsidR="002B6991" w:rsidRPr="00DB6A90" w:rsidRDefault="002B6991" w:rsidP="00FB65A1">
            <w:pPr>
              <w:jc w:val="center"/>
              <w:rPr>
                <w:b/>
                <w:noProof/>
                <w:color w:val="000000"/>
              </w:rPr>
            </w:pPr>
            <w:r w:rsidRPr="00DB6A90">
              <w:rPr>
                <w:b/>
                <w:noProof/>
                <w:color w:val="000000"/>
              </w:rPr>
              <w:t>TỈNH HÀ TĨNH</w:t>
            </w:r>
          </w:p>
          <w:p w:rsidR="002B6991" w:rsidRPr="00E60AD5" w:rsidRDefault="00E219CA" w:rsidP="00FB65A1">
            <w:pPr>
              <w:spacing w:before="120"/>
              <w:jc w:val="center"/>
              <w:rPr>
                <w:color w:val="000000"/>
                <w:sz w:val="4"/>
              </w:rPr>
            </w:pPr>
            <w:r>
              <w:rPr>
                <w:b/>
                <w:noProof/>
                <w:color w:val="000000"/>
                <w:u w:val="single"/>
              </w:rPr>
              <mc:AlternateContent>
                <mc:Choice Requires="wps">
                  <w:drawing>
                    <wp:anchor distT="0" distB="0" distL="114300" distR="114300" simplePos="0" relativeHeight="251656192" behindDoc="0" locked="0" layoutInCell="1" allowOverlap="1" wp14:anchorId="10E0B6A7" wp14:editId="17CBE2F0">
                      <wp:simplePos x="0" y="0"/>
                      <wp:positionH relativeFrom="column">
                        <wp:posOffset>619125</wp:posOffset>
                      </wp:positionH>
                      <wp:positionV relativeFrom="paragraph">
                        <wp:posOffset>25400</wp:posOffset>
                      </wp:positionV>
                      <wp:extent cx="800100" cy="0"/>
                      <wp:effectExtent l="9525" t="6350" r="9525" b="127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2pt" to="111.7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jUA+EQ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pxjpEgH Em2F4ijLQ2t64wqIqNTOhuLoWb2YrabfHVK6aok68Ejx9WIgLwsZyZuUsHEGLtj3XzSDGHL0Ovbp 3NguQEIH0DnKcbnLwc8eUTicp9ASEI0OroQUQ56xzn/mukPBKLEEzhGXnLbOBx6kGELCNUpvhJRR bKlQX+LFdDKNCU5LwYIzhDl72FfSohMJ4xK/WBR4HsOsPioWwVpO2PpmeyLk1YbLpQp4UAnQuVnX efixSBfr+Xqej/LJbD3K07oefdpU+Wi2yT5O6w91VdXZz0Aty4tWMMZVYDfMZpb/nfa3V3Kdqvt0 3tuQvEWP/QKywz+SjlIG9a5zsNfssrODxDCOMfj2dMK8P+7Bfnzgq18AAAD//wMAUEsDBBQABgAI AAAAIQD1KKTR2gAAAAYBAAAPAAAAZHJzL2Rvd25yZXYueG1sTI/LTsMwEEX3SPyDNUhsKuqQ8gxx KgTNjg0FxHYaD0lEPE5jt035eqbdwPLoXt05k89H16ktDaH1bOBymoAirrxtuTbw/lZe3IEKEdli 55kM7CnAvDg9yTGzfsevtF3GWskIhwwNNDH2mdahashhmPqeWLIvPziMgkOt7YA7GXedTpPkRjts WS402NNTQ9X3cuMMhPKD1uXPpJokn7PaU7p+flmgMedn4+MDqEhj/CvDQV/UoRCnld+wDaozcH97 LU0DV/KRxGk6E14dWRe5/q9f/AIAAP//AwBQSwECLQAUAAYACAAAACEAtoM4kv4AAADhAQAAEwAA AAAAAAAAAAAAAAAAAAAAW0NvbnRlbnRfVHlwZXNdLnhtbFBLAQItABQABgAIAAAAIQA4/SH/1gAA AJQBAAALAAAAAAAAAAAAAAAAAC8BAABfcmVscy8ucmVsc1BLAQItABQABgAIAAAAIQC5jUA+EQIA ACgEAAAOAAAAAAAAAAAAAAAAAC4CAABkcnMvZTJvRG9jLnhtbFBLAQItABQABgAIAAAAIQD1KKTR 2gAAAAYBAAAPAAAAAAAAAAAAAAAAAGsEAABkcnMvZG93bnJldi54bWxQSwUGAAAAAAQABADzAAAA cgUAAAAA "/>
                  </w:pict>
                </mc:Fallback>
              </mc:AlternateContent>
            </w:r>
          </w:p>
          <w:p w:rsidR="002B6991" w:rsidRPr="00DB6A90" w:rsidRDefault="002B6991" w:rsidP="00FB65A1">
            <w:pPr>
              <w:spacing w:before="120"/>
              <w:jc w:val="center"/>
              <w:rPr>
                <w:color w:val="000000"/>
                <w:vertAlign w:val="superscript"/>
              </w:rPr>
            </w:pPr>
            <w:r w:rsidRPr="00DB6A90">
              <w:rPr>
                <w:color w:val="000000"/>
              </w:rPr>
              <w:t>Số:</w:t>
            </w:r>
            <w:r>
              <w:rPr>
                <w:b/>
                <w:color w:val="000000"/>
              </w:rPr>
              <w:t xml:space="preserve"> </w:t>
            </w:r>
            <w:r w:rsidR="00021CA1">
              <w:rPr>
                <w:color w:val="000000"/>
              </w:rPr>
              <w:t xml:space="preserve">     </w:t>
            </w:r>
            <w:r w:rsidR="00DE6292">
              <w:rPr>
                <w:color w:val="000000"/>
              </w:rPr>
              <w:t xml:space="preserve">    </w:t>
            </w:r>
            <w:r w:rsidRPr="00DB6A90">
              <w:rPr>
                <w:color w:val="000000"/>
              </w:rPr>
              <w:t>/20</w:t>
            </w:r>
            <w:r w:rsidR="00021CA1">
              <w:rPr>
                <w:color w:val="000000"/>
              </w:rPr>
              <w:t>21</w:t>
            </w:r>
            <w:r w:rsidRPr="00DB6A90">
              <w:rPr>
                <w:color w:val="000000"/>
              </w:rPr>
              <w:t>/NQ-HĐND</w:t>
            </w:r>
          </w:p>
          <w:p w:rsidR="002B6991" w:rsidRPr="00DB6A90" w:rsidRDefault="002B6991" w:rsidP="00FB65A1">
            <w:pPr>
              <w:jc w:val="center"/>
              <w:rPr>
                <w:color w:val="000000"/>
              </w:rPr>
            </w:pPr>
          </w:p>
        </w:tc>
        <w:tc>
          <w:tcPr>
            <w:tcW w:w="6480" w:type="dxa"/>
          </w:tcPr>
          <w:p w:rsidR="002B6991" w:rsidRPr="00DB6A90" w:rsidRDefault="002B6991" w:rsidP="00FB65A1">
            <w:pPr>
              <w:jc w:val="center"/>
              <w:rPr>
                <w:color w:val="000000"/>
              </w:rPr>
            </w:pPr>
            <w:r w:rsidRPr="00DB6A90">
              <w:rPr>
                <w:b/>
                <w:color w:val="000000"/>
              </w:rPr>
              <w:t xml:space="preserve">CỘNG HOÀ XÃ HỘI CHỦ NGHĨA VIỆT </w:t>
            </w:r>
            <w:smartTag w:uri="urn:schemas-microsoft-com:office:smarttags" w:element="place">
              <w:smartTag w:uri="urn:schemas-microsoft-com:office:smarttags" w:element="country-region">
                <w:r w:rsidRPr="00DB6A90">
                  <w:rPr>
                    <w:b/>
                    <w:color w:val="000000"/>
                  </w:rPr>
                  <w:t>NAM</w:t>
                </w:r>
              </w:smartTag>
            </w:smartTag>
          </w:p>
          <w:p w:rsidR="002B6991" w:rsidRPr="00DB6A90" w:rsidRDefault="002B6991" w:rsidP="00FB65A1">
            <w:pPr>
              <w:jc w:val="center"/>
              <w:rPr>
                <w:b/>
                <w:color w:val="000000"/>
              </w:rPr>
            </w:pPr>
            <w:r w:rsidRPr="00DB6A90">
              <w:rPr>
                <w:b/>
                <w:color w:val="000000"/>
              </w:rPr>
              <w:t>Độc lập - Tự do - Hạnh phúc</w:t>
            </w:r>
          </w:p>
          <w:p w:rsidR="002B6991" w:rsidRPr="00DB6A90" w:rsidRDefault="00E219CA" w:rsidP="00FB65A1">
            <w:pPr>
              <w:spacing w:line="180" w:lineRule="exact"/>
              <w:jc w:val="center"/>
              <w:rPr>
                <w:color w:val="000000"/>
                <w:vertAlign w:val="superscript"/>
              </w:rPr>
            </w:pPr>
            <w:r>
              <w:rPr>
                <w:noProof/>
                <w:color w:val="000000"/>
                <w:vertAlign w:val="superscript"/>
              </w:rPr>
              <mc:AlternateContent>
                <mc:Choice Requires="wps">
                  <w:drawing>
                    <wp:anchor distT="0" distB="0" distL="114300" distR="114300" simplePos="0" relativeHeight="251657216" behindDoc="0" locked="0" layoutInCell="1" allowOverlap="1" wp14:anchorId="7B85AACD" wp14:editId="51F6732E">
                      <wp:simplePos x="0" y="0"/>
                      <wp:positionH relativeFrom="column">
                        <wp:posOffset>1017270</wp:posOffset>
                      </wp:positionH>
                      <wp:positionV relativeFrom="paragraph">
                        <wp:posOffset>31115</wp:posOffset>
                      </wp:positionV>
                      <wp:extent cx="2007235" cy="0"/>
                      <wp:effectExtent l="7620" t="12065" r="13970"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yUgjEwIAACk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rMRjjBTp QKKNUBxlk9Ca3rgCIiq1taE4elKvZqPpd4eUrlqi9jxSfDsbyMtCRvIuJWycgQt2/RfNIIYcvI59 OjW2C5DQAXSKcpzvcvCTRxQOQd+n0XiCEb35ElLcEo11/jPXHQpGiSWQjsDkuHE+ECHFLSTco/Ra SBnVlgr1JZ5PRpOY4LQULDhDmLP7XSUtOpIwL/GLVYHnMczqg2IRrOWEra62J0JebLhcqoAHpQCd q3UZiB/zdL6arWb5IB9NV4M8revBp3WVD6br7GlSj+uqqrOfgVqWF61gjKvA7jacWf534l+fyWWs 7uN5b0PyHj32C8je/pF01DLIdxmEnWbnrb1pDPMYg69vJwz84x7sxxe+/AUAAP//AwBQSwMEFAAG AAgAAAAhAEtLX7jaAAAABwEAAA8AAABkcnMvZG93bnJldi54bWxMjsFOwzAQRO9I/IO1SFwqapNW AUKcCgG5cWkBcd0mSxIRr9PYbQNfz8IFjk8zmnn5anK9OtAYOs8WLucGFHHl644bCy/P5cU1qBCR a+w9k4VPCrAqTk9yzGp/5DUdNrFRMsIhQwttjEOmdahachjmfiCW7N2PDqPg2Oh6xKOMu14nxqTa Ycfy0OJA9y1VH5u9sxDKV9qVX7NqZt4Wjadk9/D0iNaen013t6AiTfGvDD/6og6FOG39nuugeuHU JFK1sLwBJfnyKl2A2v6yLnL937/4BgAA//8DAFBLAQItABQABgAIAAAAIQC2gziS/gAAAOEBAAAT AAAAAAAAAAAAAAAAAAAAAABbQ29udGVudF9UeXBlc10ueG1sUEsBAi0AFAAGAAgAAAAhADj9If/W AAAAlAEAAAsAAAAAAAAAAAAAAAAALwEAAF9yZWxzLy5yZWxzUEsBAi0AFAAGAAgAAAAhALvJSCMT AgAAKQQAAA4AAAAAAAAAAAAAAAAALgIAAGRycy9lMm9Eb2MueG1sUEsBAi0AFAAGAAgAAAAhAEtL X7jaAAAABwEAAA8AAAAAAAAAAAAAAAAAbQQAAGRycy9kb3ducmV2LnhtbFBLBQYAAAAABAAEAPMA AAB0BQAAAAA= "/>
                  </w:pict>
                </mc:Fallback>
              </mc:AlternateContent>
            </w:r>
          </w:p>
          <w:p w:rsidR="002B6991" w:rsidRPr="00E60AD5" w:rsidRDefault="002B6991" w:rsidP="00FB65A1">
            <w:pPr>
              <w:jc w:val="center"/>
              <w:rPr>
                <w:b/>
                <w:i/>
                <w:color w:val="000000"/>
                <w:sz w:val="8"/>
              </w:rPr>
            </w:pPr>
          </w:p>
          <w:p w:rsidR="002B6991" w:rsidRPr="00DB6A90" w:rsidRDefault="00DD4DF6" w:rsidP="00021CA1">
            <w:pPr>
              <w:jc w:val="center"/>
              <w:rPr>
                <w:color w:val="000000"/>
              </w:rPr>
            </w:pPr>
            <w:r>
              <w:rPr>
                <w:i/>
                <w:color w:val="000000"/>
              </w:rPr>
              <w:t xml:space="preserve">          </w:t>
            </w:r>
            <w:r w:rsidR="002B6991">
              <w:rPr>
                <w:i/>
                <w:color w:val="000000"/>
              </w:rPr>
              <w:t xml:space="preserve">Hà Tĩnh, ngày </w:t>
            </w:r>
            <w:r w:rsidR="00021CA1">
              <w:rPr>
                <w:i/>
                <w:color w:val="000000"/>
              </w:rPr>
              <w:t xml:space="preserve">    </w:t>
            </w:r>
            <w:r w:rsidR="00B06328">
              <w:rPr>
                <w:i/>
                <w:color w:val="000000"/>
              </w:rPr>
              <w:t xml:space="preserve"> </w:t>
            </w:r>
            <w:r w:rsidR="00261221">
              <w:rPr>
                <w:i/>
                <w:color w:val="000000"/>
              </w:rPr>
              <w:t xml:space="preserve"> tháng</w:t>
            </w:r>
            <w:r w:rsidR="00B06328">
              <w:rPr>
                <w:i/>
                <w:color w:val="000000"/>
              </w:rPr>
              <w:t xml:space="preserve"> </w:t>
            </w:r>
            <w:r>
              <w:rPr>
                <w:i/>
                <w:color w:val="000000"/>
              </w:rPr>
              <w:t xml:space="preserve"> </w:t>
            </w:r>
            <w:r w:rsidR="00261221">
              <w:rPr>
                <w:i/>
                <w:color w:val="000000"/>
              </w:rPr>
              <w:t>12</w:t>
            </w:r>
            <w:r w:rsidR="002B6991">
              <w:rPr>
                <w:i/>
                <w:color w:val="000000"/>
              </w:rPr>
              <w:t xml:space="preserve"> </w:t>
            </w:r>
            <w:r>
              <w:rPr>
                <w:i/>
                <w:color w:val="000000"/>
              </w:rPr>
              <w:t xml:space="preserve"> </w:t>
            </w:r>
            <w:r w:rsidR="002B6991" w:rsidRPr="00DB6A90">
              <w:rPr>
                <w:i/>
                <w:color w:val="000000"/>
              </w:rPr>
              <w:t>năm 20</w:t>
            </w:r>
            <w:r w:rsidR="00021CA1">
              <w:rPr>
                <w:i/>
                <w:color w:val="000000"/>
              </w:rPr>
              <w:t>21</w:t>
            </w:r>
          </w:p>
        </w:tc>
      </w:tr>
    </w:tbl>
    <w:p w:rsidR="009F2B57" w:rsidRDefault="009F2B57" w:rsidP="00634831">
      <w:pPr>
        <w:tabs>
          <w:tab w:val="left" w:pos="327"/>
        </w:tabs>
        <w:spacing w:before="120" w:line="240" w:lineRule="atLeast"/>
        <w:jc w:val="center"/>
        <w:rPr>
          <w:b/>
        </w:rPr>
      </w:pPr>
      <w:r>
        <w:rPr>
          <w:noProof/>
        </w:rPr>
        <mc:AlternateContent>
          <mc:Choice Requires="wps">
            <w:drawing>
              <wp:anchor distT="0" distB="0" distL="114300" distR="114300" simplePos="0" relativeHeight="251660288" behindDoc="0" locked="0" layoutInCell="1" allowOverlap="1" wp14:anchorId="2A76FB8B" wp14:editId="319CD0E6">
                <wp:simplePos x="0" y="0"/>
                <wp:positionH relativeFrom="column">
                  <wp:posOffset>145415</wp:posOffset>
                </wp:positionH>
                <wp:positionV relativeFrom="paragraph">
                  <wp:posOffset>200025</wp:posOffset>
                </wp:positionV>
                <wp:extent cx="1162050" cy="314325"/>
                <wp:effectExtent l="0" t="0" r="19050" b="2857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rsidR="00512303" w:rsidRPr="004E3DEE" w:rsidRDefault="00512303" w:rsidP="00512303">
                            <w:pPr>
                              <w:jc w:val="center"/>
                              <w:rPr>
                                <w:b/>
                              </w:rPr>
                            </w:pPr>
                            <w:r w:rsidRPr="004E3DE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1.45pt;margin-top:15.75pt;width:9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wZlJQIAAEgEAAAOAAAAZHJzL2Uyb0RvYy54bWysVNtu2zAMfR+wfxD0vvjSpEuNOEWRLsOA bivW7QNkWbaFyZJGKbG7ry8lu1l2wR6G+UEQRero8JD05nrsFTkKcNLokmaLlBKhuamlbkv65fP+ 1ZoS55mumTJalPRROHq9ffliM9hC5KYzqhZAEES7YrAl7by3RZI43omeuYWxQqOzMdAzjya0SQ1s QPReJXmaXiaDgdqC4cI5PL2dnHQb8ZtGcP+xaZzwRJUUufm4QlyrsCbbDStaYLaTfKbB/oFFz6TG R09Qt8wzcgD5G1QvORhnGr/gpk9M00guYg6YTZb+ks1Dx6yIuaA4zp5kcv8Pln843gORdUlzSjTr sUSfUDSmWyVItg76DNYVGPZg7yFk6Oyd4V8d0WbXYZi4ATBDJ1iNrLIQn/x0IRgOr5JqeG9qhGcH b6JUYwN9AEQRyBgr8niqiBg94XiYZZd5usLCcfRdZMuLfBWfYMXzbQvOvxWmJ2FTUkDyEZ0d75wP bFjxHBLZGyXrvVQqGtBWOwXkyLA79vGb0d15mNJkKOnVCt/+O0Qavz9B9NJjmyvZl3R9CmJFkO2N rmMTeibVtEfKSs86BummEvixGudqVKZ+REXBTO2M44ebzsB3SgZs5ZK6bwcGghL1TmNVrrLlMvR+ NJar1zkacO6pzj1Mc4Qqqadk2u78NC8HC7Lt8KUsyqDNDVaykVHkUOWJ1cwb2zVqP49WmIdzO0b9 +AFsnwAAAP//AwBQSwMEFAAGAAgAAAAhAFPihmreAAAACAEAAA8AAABkcnMvZG93bnJldi54bWxM j8FOwzAQRO9I/IO1SNyoHVdFbYhTIVCROLbphdsmWZK08TqKnTbw9ZgTHGdnNPM22862FxcafefY QLJQIIgrV3fcGDgWu4c1CB+Qa+wdk4Ev8rDNb28yTGt35T1dDqERsYR9igbaEIZUSl+1ZNEv3EAc vU83WgxRjo2sR7zGcttLrdSjtNhxXGhxoJeWqvNhsgbKTh/xe1+8KbvZLcP7XJymj1dj7u/m5ycQ gebwF4Zf/IgOeWQq3cS1F70BrTcxaWCZrEBEX6tVPJQG1okCmWfy/wP5DwAAAP//AwBQSwECLQAU AAYACAAAACEAtoM4kv4AAADhAQAAEwAAAAAAAAAAAAAAAAAAAAAAW0NvbnRlbnRfVHlwZXNdLnht bFBLAQItABQABgAIAAAAIQA4/SH/1gAAAJQBAAALAAAAAAAAAAAAAAAAAC8BAABfcmVscy8ucmVs c1BLAQItABQABgAIAAAAIQAuvwZlJQIAAEgEAAAOAAAAAAAAAAAAAAAAAC4CAABkcnMvZTJvRG9j LnhtbFBLAQItABQABgAIAAAAIQBT4oZq3gAAAAgBAAAPAAAAAAAAAAAAAAAAAH8EAABkcnMvZG93 bnJldi54bWxQSwUGAAAAAAQABADzAAAAigUAAAAA ">
                <v:textbox>
                  <w:txbxContent>
                    <w:p w:rsidR="00512303" w:rsidRPr="004E3DEE" w:rsidRDefault="00512303" w:rsidP="00512303">
                      <w:pPr>
                        <w:jc w:val="center"/>
                        <w:rPr>
                          <w:b/>
                        </w:rPr>
                      </w:pPr>
                      <w:r w:rsidRPr="004E3DEE">
                        <w:rPr>
                          <w:b/>
                        </w:rPr>
                        <w:t>DỰ THẢO</w:t>
                      </w:r>
                    </w:p>
                  </w:txbxContent>
                </v:textbox>
              </v:rect>
            </w:pict>
          </mc:Fallback>
        </mc:AlternateContent>
      </w:r>
    </w:p>
    <w:p w:rsidR="00F60292" w:rsidRPr="00593CCE" w:rsidRDefault="00F60292" w:rsidP="00634831">
      <w:pPr>
        <w:tabs>
          <w:tab w:val="left" w:pos="327"/>
        </w:tabs>
        <w:spacing w:before="120" w:line="240" w:lineRule="atLeast"/>
        <w:jc w:val="center"/>
        <w:rPr>
          <w:b/>
          <w:lang w:val="vi-VN"/>
        </w:rPr>
      </w:pPr>
      <w:r w:rsidRPr="00593CCE">
        <w:rPr>
          <w:b/>
          <w:lang w:val="vi-VN"/>
        </w:rPr>
        <w:t>NGHỊ QUYẾT</w:t>
      </w:r>
    </w:p>
    <w:p w:rsidR="00721502" w:rsidRDefault="004D7879" w:rsidP="00EA68AC">
      <w:pPr>
        <w:spacing w:line="240" w:lineRule="atLeast"/>
        <w:jc w:val="center"/>
        <w:rPr>
          <w:b/>
          <w:bCs/>
        </w:rPr>
      </w:pPr>
      <w:r w:rsidRPr="004F5E14">
        <w:rPr>
          <w:b/>
          <w:bCs/>
          <w:lang w:val="vi-VN"/>
        </w:rPr>
        <w:t>Quy định</w:t>
      </w:r>
      <w:r w:rsidR="00613222">
        <w:rPr>
          <w:b/>
          <w:bCs/>
        </w:rPr>
        <w:t xml:space="preserve"> về </w:t>
      </w:r>
      <w:r w:rsidRPr="004F5E14">
        <w:rPr>
          <w:b/>
          <w:bCs/>
          <w:lang w:val="vi-VN"/>
        </w:rPr>
        <w:t>phân cấp nguồn thu,</w:t>
      </w:r>
      <w:r w:rsidR="00721502">
        <w:rPr>
          <w:b/>
          <w:bCs/>
        </w:rPr>
        <w:t xml:space="preserve"> </w:t>
      </w:r>
      <w:r w:rsidR="00F7488B">
        <w:rPr>
          <w:b/>
          <w:bCs/>
        </w:rPr>
        <w:t>t</w:t>
      </w:r>
      <w:r w:rsidRPr="004D7879">
        <w:rPr>
          <w:b/>
          <w:bCs/>
          <w:lang w:val="vi-VN"/>
        </w:rPr>
        <w:t>ỷ lệ phần tr</w:t>
      </w:r>
      <w:r w:rsidRPr="004D7879">
        <w:rPr>
          <w:rFonts w:hint="eastAsia"/>
          <w:b/>
          <w:bCs/>
          <w:lang w:val="vi-VN"/>
        </w:rPr>
        <w:t>ă</w:t>
      </w:r>
      <w:r w:rsidRPr="004D7879">
        <w:rPr>
          <w:b/>
          <w:bCs/>
          <w:lang w:val="vi-VN"/>
        </w:rPr>
        <w:t xml:space="preserve">m (%) phân </w:t>
      </w:r>
    </w:p>
    <w:p w:rsidR="00EA68AC" w:rsidRPr="00385241" w:rsidRDefault="004D7879" w:rsidP="00EA68AC">
      <w:pPr>
        <w:spacing w:line="240" w:lineRule="atLeast"/>
        <w:jc w:val="center"/>
        <w:rPr>
          <w:b/>
          <w:bCs/>
          <w:color w:val="FF0000"/>
        </w:rPr>
      </w:pPr>
      <w:r w:rsidRPr="004D7879">
        <w:rPr>
          <w:b/>
          <w:bCs/>
          <w:lang w:val="vi-VN"/>
        </w:rPr>
        <w:t>chia nguồn thu</w:t>
      </w:r>
      <w:r w:rsidR="00EA68AC">
        <w:rPr>
          <w:b/>
          <w:bCs/>
        </w:rPr>
        <w:t xml:space="preserve"> và</w:t>
      </w:r>
      <w:r w:rsidR="005D727F">
        <w:rPr>
          <w:b/>
          <w:bCs/>
        </w:rPr>
        <w:t xml:space="preserve"> phân cấp</w:t>
      </w:r>
      <w:r w:rsidR="00EA68AC" w:rsidRPr="00EA68AC">
        <w:rPr>
          <w:b/>
          <w:bCs/>
          <w:lang w:val="vi-VN"/>
        </w:rPr>
        <w:t xml:space="preserve"> </w:t>
      </w:r>
      <w:r w:rsidR="00EA68AC" w:rsidRPr="004F5E14">
        <w:rPr>
          <w:b/>
          <w:bCs/>
          <w:lang w:val="vi-VN"/>
        </w:rPr>
        <w:t>nhiệm vụ chi</w:t>
      </w:r>
      <w:r w:rsidR="00721502">
        <w:rPr>
          <w:b/>
          <w:bCs/>
        </w:rPr>
        <w:t xml:space="preserve"> </w:t>
      </w:r>
      <w:r w:rsidR="00EA68AC" w:rsidRPr="004F5E14">
        <w:rPr>
          <w:b/>
          <w:bCs/>
          <w:lang w:val="vi-VN"/>
        </w:rPr>
        <w:t>các cấp ngân sách</w:t>
      </w:r>
      <w:r w:rsidRPr="004D7879">
        <w:rPr>
          <w:b/>
          <w:bCs/>
          <w:lang w:val="vi-VN"/>
        </w:rPr>
        <w:t xml:space="preserve"> </w:t>
      </w:r>
      <w:r w:rsidR="00EA68AC">
        <w:rPr>
          <w:b/>
          <w:bCs/>
        </w:rPr>
        <w:t xml:space="preserve">địa phương </w:t>
      </w:r>
      <w:r w:rsidRPr="004D7879">
        <w:rPr>
          <w:b/>
          <w:bCs/>
          <w:lang w:val="vi-VN"/>
        </w:rPr>
        <w:t xml:space="preserve">giai </w:t>
      </w:r>
      <w:r w:rsidRPr="004D7879">
        <w:rPr>
          <w:rFonts w:hint="eastAsia"/>
          <w:b/>
          <w:bCs/>
          <w:lang w:val="vi-VN"/>
        </w:rPr>
        <w:t>đ</w:t>
      </w:r>
      <w:r w:rsidRPr="004D7879">
        <w:rPr>
          <w:b/>
          <w:bCs/>
          <w:lang w:val="vi-VN"/>
        </w:rPr>
        <w:t>oạn 20</w:t>
      </w:r>
      <w:r w:rsidR="00FA7206">
        <w:rPr>
          <w:b/>
          <w:bCs/>
        </w:rPr>
        <w:t>22</w:t>
      </w:r>
      <w:r w:rsidRPr="004D7879">
        <w:rPr>
          <w:b/>
          <w:bCs/>
          <w:lang w:val="vi-VN"/>
        </w:rPr>
        <w:t>-20</w:t>
      </w:r>
      <w:r w:rsidR="002A4A59">
        <w:rPr>
          <w:b/>
          <w:bCs/>
        </w:rPr>
        <w:t>2</w:t>
      </w:r>
      <w:r w:rsidR="00FA7206">
        <w:rPr>
          <w:b/>
          <w:bCs/>
        </w:rPr>
        <w:t>5</w:t>
      </w:r>
      <w:r w:rsidRPr="004D7879">
        <w:rPr>
          <w:b/>
          <w:bCs/>
          <w:lang w:val="vi-VN"/>
        </w:rPr>
        <w:t xml:space="preserve">; </w:t>
      </w:r>
      <w:r w:rsidR="0066547D">
        <w:rPr>
          <w:b/>
          <w:bCs/>
        </w:rPr>
        <w:t>nguyên tắc, tiêu chí</w:t>
      </w:r>
      <w:r w:rsidR="005B6487">
        <w:rPr>
          <w:b/>
          <w:bCs/>
        </w:rPr>
        <w:t xml:space="preserve"> và</w:t>
      </w:r>
      <w:r w:rsidR="0066547D" w:rsidRPr="004F5E14">
        <w:rPr>
          <w:b/>
          <w:bCs/>
          <w:lang w:val="vi-VN"/>
        </w:rPr>
        <w:t xml:space="preserve"> </w:t>
      </w:r>
      <w:r w:rsidR="00F7488B">
        <w:rPr>
          <w:b/>
          <w:bCs/>
        </w:rPr>
        <w:t>đ</w:t>
      </w:r>
      <w:r w:rsidRPr="004D7879">
        <w:rPr>
          <w:b/>
          <w:bCs/>
          <w:lang w:val="vi-VN"/>
        </w:rPr>
        <w:t>ịnh mức phân bổ</w:t>
      </w:r>
      <w:r w:rsidR="0066547D">
        <w:rPr>
          <w:b/>
          <w:bCs/>
        </w:rPr>
        <w:t xml:space="preserve"> </w:t>
      </w:r>
      <w:r w:rsidRPr="004D7879">
        <w:rPr>
          <w:b/>
          <w:bCs/>
          <w:lang w:val="vi-VN"/>
        </w:rPr>
        <w:t>chi th</w:t>
      </w:r>
      <w:r w:rsidRPr="004D7879">
        <w:rPr>
          <w:rFonts w:hint="eastAsia"/>
          <w:b/>
          <w:bCs/>
          <w:lang w:val="vi-VN"/>
        </w:rPr>
        <w:t>ư</w:t>
      </w:r>
      <w:r w:rsidRPr="004D7879">
        <w:rPr>
          <w:b/>
          <w:bCs/>
          <w:lang w:val="vi-VN"/>
        </w:rPr>
        <w:t xml:space="preserve">ờng xuyên ngân sách </w:t>
      </w:r>
      <w:r w:rsidRPr="004D7879">
        <w:rPr>
          <w:rFonts w:hint="eastAsia"/>
          <w:b/>
          <w:bCs/>
          <w:lang w:val="vi-VN"/>
        </w:rPr>
        <w:t>đ</w:t>
      </w:r>
      <w:r w:rsidRPr="004D7879">
        <w:rPr>
          <w:b/>
          <w:bCs/>
          <w:lang w:val="vi-VN"/>
        </w:rPr>
        <w:t>ịa ph</w:t>
      </w:r>
      <w:r w:rsidRPr="004D7879">
        <w:rPr>
          <w:rFonts w:hint="eastAsia"/>
          <w:b/>
          <w:bCs/>
          <w:lang w:val="vi-VN"/>
        </w:rPr>
        <w:t>ươ</w:t>
      </w:r>
      <w:r w:rsidRPr="004D7879">
        <w:rPr>
          <w:b/>
          <w:bCs/>
          <w:lang w:val="vi-VN"/>
        </w:rPr>
        <w:t>ng n</w:t>
      </w:r>
      <w:r w:rsidRPr="004D7879">
        <w:rPr>
          <w:rFonts w:hint="eastAsia"/>
          <w:b/>
          <w:bCs/>
          <w:lang w:val="vi-VN"/>
        </w:rPr>
        <w:t>ă</w:t>
      </w:r>
      <w:r w:rsidR="00B06328">
        <w:rPr>
          <w:b/>
          <w:bCs/>
          <w:lang w:val="vi-VN"/>
        </w:rPr>
        <w:t>m 20</w:t>
      </w:r>
      <w:r w:rsidR="009333FF">
        <w:rPr>
          <w:b/>
          <w:bCs/>
        </w:rPr>
        <w:t>22</w:t>
      </w:r>
      <w:r w:rsidR="00EA68AC" w:rsidRPr="004F5E14">
        <w:rPr>
          <w:b/>
          <w:bCs/>
          <w:lang w:val="vi-VN"/>
        </w:rPr>
        <w:t xml:space="preserve"> </w:t>
      </w:r>
      <w:bookmarkStart w:id="0" w:name="_GoBack"/>
      <w:bookmarkEnd w:id="0"/>
    </w:p>
    <w:p w:rsidR="004D7879" w:rsidRPr="009333FF" w:rsidRDefault="00FB71E8" w:rsidP="00486F8E">
      <w:pPr>
        <w:spacing w:line="240" w:lineRule="atLeast"/>
        <w:jc w:val="center"/>
        <w:rPr>
          <w:b/>
          <w:bCs/>
        </w:rPr>
      </w:pPr>
      <w:r>
        <w:rPr>
          <w:b/>
          <w:bCs/>
          <w:noProof/>
          <w:sz w:val="16"/>
          <w:szCs w:val="16"/>
        </w:rPr>
        <mc:AlternateContent>
          <mc:Choice Requires="wps">
            <w:drawing>
              <wp:anchor distT="0" distB="0" distL="114300" distR="114300" simplePos="0" relativeHeight="251658240" behindDoc="0" locked="0" layoutInCell="1" allowOverlap="1" wp14:anchorId="7A76265F" wp14:editId="21AAFBCE">
                <wp:simplePos x="0" y="0"/>
                <wp:positionH relativeFrom="column">
                  <wp:posOffset>1875155</wp:posOffset>
                </wp:positionH>
                <wp:positionV relativeFrom="paragraph">
                  <wp:posOffset>50469</wp:posOffset>
                </wp:positionV>
                <wp:extent cx="1956435" cy="0"/>
                <wp:effectExtent l="0" t="0" r="2476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3.95pt" to="301.7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sLgJEw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pmoTW9cQVEVGpnQ3H0rF7MVtPvDildtUQdeKT4ejGQl4WM5E1K2DgDF+z7z5pBDDl6Hft0 bmwXIKED6BzluNzl4GePKBxmi+ksf5piRAdfQooh0VjnP3HdoWCUWALpCExOW+cDEVIMIeEepTdC yqi2VKgv8WI6mcYEp6VgwRnCnD3sK2nRiYR5iV+sCjyPYVYfFYtgLSdsfbM9EfJqw+VSBTwoBejc rOtA/Fiki/V8Pc9H+WS2HuVpXY8+bqp8NNtkH6b1U11VdfYzUMvyohWMcRXYDcOZ5X8n/u2ZXMfq Pp73NiRv0WO/gOzwj6SjlkG+6yDsNbvs7KAxzGMMvr2dMPCPe7AfX/jqFwAAAP//AwBQSwMEFAAG AAgAAAAhABSKKSTcAAAABwEAAA8AAABkcnMvZG93bnJldi54bWxMjsFOwzAQRO9I/IO1lbhU1CaB QtM4FYLmxoUC4rqNlyQiXqex2wa+HpcLHEczevPy1Wg7caDBt441XM0UCOLKmZZrDa8v5eUdCB+Q DXaOScMXeVgV52c5ZsYd+ZkOm1CLCGGfoYYmhD6T0lcNWfQz1xPH7sMNFkOMQy3NgMcIt51MlJpL iy3HhwZ7emio+tzsrQZfvtGu/J5WU/We1o6S3ePTGrW+mIz3SxCBxvA3hpN+VIciOm3dno0XnYZk cZPGqYbbBYjYz1V6DWL7m2WRy//+xQ8AAAD//wMAUEsBAi0AFAAGAAgAAAAhALaDOJL+AAAA4QEA ABMAAAAAAAAAAAAAAAAAAAAAAFtDb250ZW50X1R5cGVzXS54bWxQSwECLQAUAAYACAAAACEAOP0h /9YAAACUAQAACwAAAAAAAAAAAAAAAAAvAQAAX3JlbHMvLnJlbHNQSwECLQAUAAYACAAAACEA5bC4 CRMCAAApBAAADgAAAAAAAAAAAAAAAAAuAgAAZHJzL2Uyb0RvYy54bWxQSwECLQAUAAYACAAAACEA FIopJNwAAAAHAQAADwAAAAAAAAAAAAAAAABtBAAAZHJzL2Rvd25yZXYueG1sUEsFBgAAAAAEAAQA 8wAAAHYFAAAAAA== "/>
            </w:pict>
          </mc:Fallback>
        </mc:AlternateContent>
      </w:r>
    </w:p>
    <w:p w:rsidR="00FB71E8" w:rsidRPr="00FB71E8" w:rsidRDefault="00FB71E8" w:rsidP="00FB71E8">
      <w:pPr>
        <w:spacing w:line="240" w:lineRule="atLeast"/>
        <w:jc w:val="center"/>
        <w:rPr>
          <w:b/>
          <w:sz w:val="18"/>
        </w:rPr>
      </w:pPr>
    </w:p>
    <w:p w:rsidR="004D7879" w:rsidRPr="004D7879" w:rsidRDefault="004D7879" w:rsidP="00FB71E8">
      <w:pPr>
        <w:spacing w:line="240" w:lineRule="atLeast"/>
        <w:jc w:val="center"/>
        <w:rPr>
          <w:b/>
          <w:bCs/>
          <w:lang w:val="vi-VN"/>
        </w:rPr>
      </w:pPr>
      <w:r w:rsidRPr="004D7879">
        <w:rPr>
          <w:b/>
          <w:lang w:val="vi-VN"/>
        </w:rPr>
        <w:t>HỘI ĐỒNG NHÂN DÂN TỈNH HÀ TĨNH</w:t>
      </w:r>
    </w:p>
    <w:p w:rsidR="004D7879" w:rsidRPr="00B06328" w:rsidRDefault="002B6991" w:rsidP="00FB71E8">
      <w:pPr>
        <w:spacing w:line="240" w:lineRule="atLeast"/>
        <w:jc w:val="center"/>
        <w:rPr>
          <w:b/>
        </w:rPr>
      </w:pPr>
      <w:r>
        <w:rPr>
          <w:b/>
          <w:lang w:val="vi-VN"/>
        </w:rPr>
        <w:t>KHÓA XV</w:t>
      </w:r>
      <w:r w:rsidR="00B06328">
        <w:rPr>
          <w:b/>
        </w:rPr>
        <w:t>II</w:t>
      </w:r>
      <w:r w:rsidR="00D55CFD">
        <w:rPr>
          <w:b/>
        </w:rPr>
        <w:t>I</w:t>
      </w:r>
      <w:r w:rsidRPr="002B6991">
        <w:rPr>
          <w:b/>
          <w:lang w:val="vi-VN"/>
        </w:rPr>
        <w:t xml:space="preserve">, </w:t>
      </w:r>
      <w:r w:rsidR="004D7879" w:rsidRPr="004D7879">
        <w:rPr>
          <w:b/>
          <w:lang w:val="vi-VN"/>
        </w:rPr>
        <w:t xml:space="preserve">KỲ HỌP THỨ </w:t>
      </w:r>
      <w:r w:rsidR="002E0A36">
        <w:rPr>
          <w:b/>
        </w:rPr>
        <w:t>4</w:t>
      </w:r>
    </w:p>
    <w:p w:rsidR="00DE6292" w:rsidRPr="009F2B57" w:rsidRDefault="004D7879" w:rsidP="00DE6292">
      <w:pPr>
        <w:spacing w:before="60" w:after="60"/>
        <w:jc w:val="both"/>
      </w:pPr>
      <w:r w:rsidRPr="004D7879">
        <w:rPr>
          <w:lang w:val="vi-VN"/>
        </w:rPr>
        <w:tab/>
      </w:r>
    </w:p>
    <w:p w:rsidR="004D7879" w:rsidRPr="00634831" w:rsidRDefault="004D7879" w:rsidP="009F2B57">
      <w:pPr>
        <w:spacing w:before="60" w:after="60"/>
        <w:ind w:firstLine="720"/>
        <w:jc w:val="both"/>
        <w:rPr>
          <w:bCs/>
          <w:i/>
        </w:rPr>
      </w:pPr>
      <w:r w:rsidRPr="00634831">
        <w:rPr>
          <w:bCs/>
          <w:i/>
        </w:rPr>
        <w:t xml:space="preserve">Căn cứ Luật </w:t>
      </w:r>
      <w:r w:rsidR="00DE22EA">
        <w:rPr>
          <w:bCs/>
          <w:i/>
        </w:rPr>
        <w:t>T</w:t>
      </w:r>
      <w:r w:rsidRPr="00634831">
        <w:rPr>
          <w:bCs/>
          <w:i/>
        </w:rPr>
        <w:t xml:space="preserve">ổ chức </w:t>
      </w:r>
      <w:r w:rsidR="00B06328" w:rsidRPr="00634831">
        <w:rPr>
          <w:bCs/>
          <w:i/>
        </w:rPr>
        <w:t>chính quyền địa phương năm 2015</w:t>
      </w:r>
      <w:r w:rsidRPr="00634831">
        <w:rPr>
          <w:bCs/>
          <w:i/>
        </w:rPr>
        <w:t>;</w:t>
      </w:r>
      <w:r w:rsidR="00DF70C2">
        <w:rPr>
          <w:bCs/>
          <w:i/>
        </w:rPr>
        <w:t xml:space="preserve"> Luật </w:t>
      </w:r>
      <w:r w:rsidR="00D27AB3">
        <w:rPr>
          <w:bCs/>
          <w:i/>
        </w:rPr>
        <w:t>S</w:t>
      </w:r>
      <w:r w:rsidR="00DF70C2">
        <w:rPr>
          <w:bCs/>
          <w:i/>
        </w:rPr>
        <w:t>ửa đổi, bổ sung một số điều của Luật tổ chức chính quyền địa phương năm 2019;</w:t>
      </w:r>
    </w:p>
    <w:p w:rsidR="00B06328" w:rsidRPr="00E26744" w:rsidRDefault="00B06328" w:rsidP="009F2B57">
      <w:pPr>
        <w:spacing w:before="60" w:after="60"/>
        <w:jc w:val="both"/>
        <w:rPr>
          <w:bCs/>
          <w:i/>
          <w:spacing w:val="-6"/>
        </w:rPr>
      </w:pPr>
      <w:r w:rsidRPr="00634831">
        <w:rPr>
          <w:bCs/>
          <w:i/>
        </w:rPr>
        <w:tab/>
      </w:r>
      <w:r w:rsidRPr="00E26744">
        <w:rPr>
          <w:bCs/>
          <w:i/>
          <w:spacing w:val="-6"/>
        </w:rPr>
        <w:t xml:space="preserve">Căn </w:t>
      </w:r>
      <w:r w:rsidR="00BF1CDC" w:rsidRPr="00E26744">
        <w:rPr>
          <w:bCs/>
          <w:i/>
          <w:spacing w:val="-6"/>
        </w:rPr>
        <w:t xml:space="preserve">cứ </w:t>
      </w:r>
      <w:r w:rsidRPr="00E26744">
        <w:rPr>
          <w:bCs/>
          <w:i/>
          <w:spacing w:val="-6"/>
        </w:rPr>
        <w:t>Luật ban hành văn bản quy phạm pháp luật năm 2015;</w:t>
      </w:r>
      <w:r w:rsidR="00B51CC1" w:rsidRPr="00E26744">
        <w:rPr>
          <w:bCs/>
          <w:i/>
          <w:spacing w:val="-6"/>
        </w:rPr>
        <w:t xml:space="preserve"> Luật </w:t>
      </w:r>
      <w:r w:rsidR="00D27AB3" w:rsidRPr="00E26744">
        <w:rPr>
          <w:bCs/>
          <w:i/>
          <w:spacing w:val="-6"/>
        </w:rPr>
        <w:t>S</w:t>
      </w:r>
      <w:r w:rsidR="00B51CC1" w:rsidRPr="00E26744">
        <w:rPr>
          <w:bCs/>
          <w:i/>
          <w:spacing w:val="-6"/>
        </w:rPr>
        <w:t>ửa đổi, bổ sung một số điều của Luật ban hành văn bản quy phạm pháp luật năm 2020;</w:t>
      </w:r>
    </w:p>
    <w:p w:rsidR="004D7879" w:rsidRPr="00634831" w:rsidRDefault="004D7879" w:rsidP="009F2B57">
      <w:pPr>
        <w:spacing w:before="60" w:after="60"/>
        <w:jc w:val="both"/>
        <w:rPr>
          <w:bCs/>
          <w:i/>
        </w:rPr>
      </w:pPr>
      <w:r w:rsidRPr="00634831">
        <w:rPr>
          <w:bCs/>
          <w:i/>
        </w:rPr>
        <w:tab/>
        <w:t xml:space="preserve">Căn cứ </w:t>
      </w:r>
      <w:r w:rsidR="005E226B">
        <w:rPr>
          <w:bCs/>
          <w:i/>
        </w:rPr>
        <w:t>Luật ngân sách nhà nước năm 2015;</w:t>
      </w:r>
    </w:p>
    <w:p w:rsidR="00F7488B" w:rsidRDefault="00F7488B" w:rsidP="009F2B57">
      <w:pPr>
        <w:spacing w:before="60" w:after="60"/>
        <w:ind w:firstLine="720"/>
        <w:jc w:val="both"/>
        <w:rPr>
          <w:bCs/>
          <w:i/>
        </w:rPr>
      </w:pPr>
      <w:r w:rsidRPr="00634831">
        <w:rPr>
          <w:bCs/>
          <w:i/>
        </w:rPr>
        <w:t>Că</w:t>
      </w:r>
      <w:r w:rsidR="00564399">
        <w:rPr>
          <w:bCs/>
          <w:i/>
        </w:rPr>
        <w:t>n cứ Nghị định số 34/2016/NĐ-CP</w:t>
      </w:r>
      <w:r w:rsidRPr="00634831">
        <w:rPr>
          <w:bCs/>
          <w:i/>
        </w:rPr>
        <w:t xml:space="preserve"> ngày 14 tháng 5 năm 2016 của Chính phủ quy định chi tiết một số điều và biện pháp thi hành Luật ban hành văn bản quy phạm pháp luật; </w:t>
      </w:r>
      <w:r w:rsidR="00B84286">
        <w:rPr>
          <w:bCs/>
          <w:i/>
        </w:rPr>
        <w:t xml:space="preserve">Nghị định số </w:t>
      </w:r>
      <w:r w:rsidR="00B84286" w:rsidRPr="00B84286">
        <w:rPr>
          <w:bCs/>
          <w:i/>
        </w:rPr>
        <w:t>154/2020/NĐ-CP</w:t>
      </w:r>
      <w:r w:rsidR="00B84286">
        <w:rPr>
          <w:bCs/>
          <w:i/>
        </w:rPr>
        <w:t xml:space="preserve"> ngày 31 tháng 12 năm 2020 của Chính phủ về sửa đổi, bổ sung một số điều của Nghị định số 34/2016/NĐ-CP</w:t>
      </w:r>
      <w:r w:rsidR="00B84286" w:rsidRPr="00634831">
        <w:rPr>
          <w:bCs/>
          <w:i/>
        </w:rPr>
        <w:t xml:space="preserve"> ngày 14 tháng 5 năm 2016 của Chính phủ</w:t>
      </w:r>
      <w:r w:rsidR="00201DF1">
        <w:rPr>
          <w:bCs/>
          <w:i/>
        </w:rPr>
        <w:t>;</w:t>
      </w:r>
    </w:p>
    <w:p w:rsidR="000E01AD" w:rsidRDefault="000E01AD" w:rsidP="009F2B57">
      <w:pPr>
        <w:spacing w:before="60" w:after="60"/>
        <w:ind w:firstLine="720"/>
        <w:jc w:val="both"/>
        <w:rPr>
          <w:bCs/>
          <w:i/>
        </w:rPr>
      </w:pPr>
      <w:r>
        <w:rPr>
          <w:bCs/>
          <w:i/>
        </w:rPr>
        <w:t>Căn cứ Nghị định số 163/2016/NĐ-CP ngày 21 tháng 12 năm 2016 về quy định chi tiết thi hành một số điều của Luật Ngân sách nhà nước;</w:t>
      </w:r>
    </w:p>
    <w:p w:rsidR="004D7879" w:rsidRPr="00634831" w:rsidRDefault="004D7879" w:rsidP="009F2B57">
      <w:pPr>
        <w:spacing w:before="60" w:after="60"/>
        <w:jc w:val="both"/>
        <w:rPr>
          <w:bCs/>
          <w:i/>
        </w:rPr>
      </w:pPr>
      <w:r w:rsidRPr="00634831">
        <w:rPr>
          <w:bCs/>
          <w:i/>
        </w:rPr>
        <w:tab/>
        <w:t xml:space="preserve">Căn cứ Quyết định số </w:t>
      </w:r>
      <w:r w:rsidR="00564399">
        <w:rPr>
          <w:bCs/>
          <w:i/>
        </w:rPr>
        <w:t>30</w:t>
      </w:r>
      <w:r w:rsidRPr="00634831">
        <w:rPr>
          <w:bCs/>
          <w:i/>
        </w:rPr>
        <w:t>/20</w:t>
      </w:r>
      <w:r w:rsidR="00564399">
        <w:rPr>
          <w:bCs/>
          <w:i/>
        </w:rPr>
        <w:t>21</w:t>
      </w:r>
      <w:r w:rsidRPr="00634831">
        <w:rPr>
          <w:bCs/>
          <w:i/>
        </w:rPr>
        <w:t xml:space="preserve">/QĐ-TTg ngày </w:t>
      </w:r>
      <w:r w:rsidR="00587495" w:rsidRPr="00634831">
        <w:rPr>
          <w:bCs/>
          <w:i/>
        </w:rPr>
        <w:t>1</w:t>
      </w:r>
      <w:r w:rsidR="002C4CFE">
        <w:rPr>
          <w:bCs/>
          <w:i/>
        </w:rPr>
        <w:t>0</w:t>
      </w:r>
      <w:r w:rsidR="00F7488B" w:rsidRPr="00634831">
        <w:rPr>
          <w:bCs/>
          <w:i/>
        </w:rPr>
        <w:t xml:space="preserve"> tháng </w:t>
      </w:r>
      <w:r w:rsidR="00587495" w:rsidRPr="00634831">
        <w:rPr>
          <w:bCs/>
          <w:i/>
        </w:rPr>
        <w:t>10</w:t>
      </w:r>
      <w:r w:rsidR="00F7488B" w:rsidRPr="00634831">
        <w:rPr>
          <w:bCs/>
          <w:i/>
        </w:rPr>
        <w:t xml:space="preserve"> năm </w:t>
      </w:r>
      <w:r w:rsidRPr="00634831">
        <w:rPr>
          <w:bCs/>
          <w:i/>
        </w:rPr>
        <w:t>20</w:t>
      </w:r>
      <w:r w:rsidR="002C4CFE">
        <w:rPr>
          <w:bCs/>
          <w:i/>
        </w:rPr>
        <w:t>21</w:t>
      </w:r>
      <w:r w:rsidRPr="00634831">
        <w:rPr>
          <w:bCs/>
          <w:i/>
        </w:rPr>
        <w:t xml:space="preserve"> của Thủ tướng Chính phủ về việc ban hành </w:t>
      </w:r>
      <w:r w:rsidR="001F643E">
        <w:rPr>
          <w:bCs/>
          <w:i/>
        </w:rPr>
        <w:t>các nguyên tắc, tiêu chí và định mức phân bổ dự toán chi thường xuyên ngân sách nhà nước năm 2022;</w:t>
      </w:r>
    </w:p>
    <w:p w:rsidR="004D7879" w:rsidRPr="005375CA" w:rsidRDefault="00594C5F" w:rsidP="009F2B57">
      <w:pPr>
        <w:spacing w:before="60" w:after="60"/>
        <w:jc w:val="both"/>
        <w:rPr>
          <w:i/>
        </w:rPr>
      </w:pPr>
      <w:r w:rsidRPr="00634831">
        <w:rPr>
          <w:bCs/>
          <w:i/>
        </w:rPr>
        <w:tab/>
        <w:t xml:space="preserve">Sau khi xem xét Tờ trình số </w:t>
      </w:r>
      <w:r w:rsidR="00C851B8">
        <w:rPr>
          <w:bCs/>
          <w:i/>
        </w:rPr>
        <w:t xml:space="preserve">  </w:t>
      </w:r>
      <w:r w:rsidR="00FB71E8">
        <w:rPr>
          <w:bCs/>
          <w:i/>
        </w:rPr>
        <w:t xml:space="preserve">   </w:t>
      </w:r>
      <w:r w:rsidR="00C851B8">
        <w:rPr>
          <w:bCs/>
          <w:i/>
        </w:rPr>
        <w:t xml:space="preserve">   </w:t>
      </w:r>
      <w:r w:rsidRPr="00634831">
        <w:rPr>
          <w:bCs/>
          <w:i/>
        </w:rPr>
        <w:t xml:space="preserve">/TTr-UBND ngày </w:t>
      </w:r>
      <w:r w:rsidR="002C4CFE">
        <w:rPr>
          <w:bCs/>
          <w:i/>
        </w:rPr>
        <w:t xml:space="preserve">  </w:t>
      </w:r>
      <w:r w:rsidR="00BA407B" w:rsidRPr="00634831">
        <w:rPr>
          <w:bCs/>
          <w:i/>
        </w:rPr>
        <w:t xml:space="preserve"> tháng </w:t>
      </w:r>
      <w:r w:rsidR="00DD4DF6" w:rsidRPr="00634831">
        <w:rPr>
          <w:bCs/>
          <w:i/>
        </w:rPr>
        <w:t>12</w:t>
      </w:r>
      <w:r w:rsidR="00BA407B" w:rsidRPr="00634831">
        <w:rPr>
          <w:bCs/>
          <w:i/>
        </w:rPr>
        <w:t xml:space="preserve"> năm </w:t>
      </w:r>
      <w:r w:rsidRPr="00634831">
        <w:rPr>
          <w:bCs/>
          <w:i/>
        </w:rPr>
        <w:t>20</w:t>
      </w:r>
      <w:r w:rsidR="002C4CFE">
        <w:rPr>
          <w:bCs/>
          <w:i/>
        </w:rPr>
        <w:t>21</w:t>
      </w:r>
      <w:r w:rsidRPr="00634831">
        <w:rPr>
          <w:bCs/>
          <w:i/>
        </w:rPr>
        <w:t xml:space="preserve"> </w:t>
      </w:r>
      <w:r w:rsidR="004D7879" w:rsidRPr="00634831">
        <w:rPr>
          <w:bCs/>
          <w:i/>
        </w:rPr>
        <w:t xml:space="preserve">của </w:t>
      </w:r>
      <w:r w:rsidR="00BA407B" w:rsidRPr="00634831">
        <w:rPr>
          <w:bCs/>
          <w:i/>
        </w:rPr>
        <w:t>Ủy ban nhân dân</w:t>
      </w:r>
      <w:r w:rsidR="004D7879" w:rsidRPr="00634831">
        <w:rPr>
          <w:bCs/>
          <w:i/>
        </w:rPr>
        <w:t xml:space="preserve"> tỉnh</w:t>
      </w:r>
      <w:r w:rsidR="000D5628" w:rsidRPr="00634831">
        <w:rPr>
          <w:bCs/>
          <w:i/>
        </w:rPr>
        <w:t xml:space="preserve"> về việc đề nghị phê chuẩn q</w:t>
      </w:r>
      <w:r w:rsidR="000D5628" w:rsidRPr="005375CA">
        <w:rPr>
          <w:bCs/>
          <w:i/>
        </w:rPr>
        <w:t>uy định</w:t>
      </w:r>
      <w:r w:rsidR="009F7FDF">
        <w:rPr>
          <w:bCs/>
          <w:i/>
        </w:rPr>
        <w:t xml:space="preserve"> về</w:t>
      </w:r>
      <w:r w:rsidR="003B2F32">
        <w:rPr>
          <w:bCs/>
          <w:i/>
        </w:rPr>
        <w:t xml:space="preserve"> </w:t>
      </w:r>
      <w:r w:rsidR="00EF6207" w:rsidRPr="00EF6207">
        <w:rPr>
          <w:bCs/>
          <w:i/>
        </w:rPr>
        <w:t>phân cấp nguồn thu, tỷ lệ phần trăm (%) phân chia nguồn thu và</w:t>
      </w:r>
      <w:r w:rsidR="003B2F32">
        <w:rPr>
          <w:bCs/>
          <w:i/>
        </w:rPr>
        <w:t xml:space="preserve"> phân cấp</w:t>
      </w:r>
      <w:r w:rsidR="00EF6207" w:rsidRPr="00EF6207">
        <w:rPr>
          <w:bCs/>
          <w:i/>
        </w:rPr>
        <w:t xml:space="preserve"> nhiệm vụ chi các cấp ngân sách địa phương giai đoạn 2022-2025; </w:t>
      </w:r>
      <w:r w:rsidR="00524090">
        <w:rPr>
          <w:bCs/>
          <w:i/>
        </w:rPr>
        <w:t>nguyên tắc, tiêu chí</w:t>
      </w:r>
      <w:r w:rsidR="005B6487">
        <w:rPr>
          <w:bCs/>
          <w:i/>
        </w:rPr>
        <w:t xml:space="preserve"> và</w:t>
      </w:r>
      <w:r w:rsidR="00524090" w:rsidRPr="00EF6207">
        <w:rPr>
          <w:bCs/>
          <w:i/>
        </w:rPr>
        <w:t xml:space="preserve"> </w:t>
      </w:r>
      <w:r w:rsidR="00EF6207" w:rsidRPr="00EF6207">
        <w:rPr>
          <w:bCs/>
          <w:i/>
        </w:rPr>
        <w:t>định mức phân bổ chi thường xuyên ngân sách địa phương năm 2022</w:t>
      </w:r>
      <w:r w:rsidR="00EF6207">
        <w:rPr>
          <w:bCs/>
          <w:i/>
        </w:rPr>
        <w:t>;</w:t>
      </w:r>
      <w:r w:rsidR="000D5628" w:rsidRPr="005375CA">
        <w:rPr>
          <w:bCs/>
          <w:i/>
        </w:rPr>
        <w:t xml:space="preserve"> </w:t>
      </w:r>
      <w:r w:rsidR="00BA407B" w:rsidRPr="00634831">
        <w:rPr>
          <w:bCs/>
          <w:i/>
        </w:rPr>
        <w:t>B</w:t>
      </w:r>
      <w:r w:rsidR="009F245C" w:rsidRPr="00634831">
        <w:rPr>
          <w:bCs/>
          <w:i/>
        </w:rPr>
        <w:t xml:space="preserve">áo cáo thẩm tra của Ban </w:t>
      </w:r>
      <w:r w:rsidR="00BA407B" w:rsidRPr="00634831">
        <w:rPr>
          <w:bCs/>
          <w:i/>
        </w:rPr>
        <w:t>k</w:t>
      </w:r>
      <w:r w:rsidR="009F245C" w:rsidRPr="00634831">
        <w:rPr>
          <w:bCs/>
          <w:i/>
        </w:rPr>
        <w:t xml:space="preserve">inh tế </w:t>
      </w:r>
      <w:r w:rsidR="00E7151C">
        <w:rPr>
          <w:bCs/>
          <w:i/>
        </w:rPr>
        <w:t xml:space="preserve">- </w:t>
      </w:r>
      <w:r w:rsidR="00BA407B" w:rsidRPr="00634831">
        <w:rPr>
          <w:bCs/>
          <w:i/>
        </w:rPr>
        <w:t>n</w:t>
      </w:r>
      <w:r w:rsidR="004D7879" w:rsidRPr="00634831">
        <w:rPr>
          <w:bCs/>
          <w:i/>
        </w:rPr>
        <w:t>gân sách</w:t>
      </w:r>
      <w:r w:rsidRPr="00634831">
        <w:rPr>
          <w:bCs/>
          <w:i/>
        </w:rPr>
        <w:t xml:space="preserve"> </w:t>
      </w:r>
      <w:r w:rsidR="004D7879" w:rsidRPr="00634831">
        <w:rPr>
          <w:bCs/>
          <w:i/>
        </w:rPr>
        <w:t xml:space="preserve">và ý kiến </w:t>
      </w:r>
      <w:r w:rsidR="00BA407B" w:rsidRPr="00634831">
        <w:rPr>
          <w:bCs/>
          <w:i/>
        </w:rPr>
        <w:t xml:space="preserve">thảo luận </w:t>
      </w:r>
      <w:r w:rsidR="004D7879" w:rsidRPr="00634831">
        <w:rPr>
          <w:bCs/>
          <w:i/>
        </w:rPr>
        <w:t xml:space="preserve">của đại biểu </w:t>
      </w:r>
      <w:r w:rsidR="00BA407B" w:rsidRPr="00634831">
        <w:rPr>
          <w:bCs/>
          <w:i/>
        </w:rPr>
        <w:t xml:space="preserve">Hội đồng nhân dân </w:t>
      </w:r>
      <w:r w:rsidR="004D7879" w:rsidRPr="00634831">
        <w:rPr>
          <w:bCs/>
          <w:i/>
        </w:rPr>
        <w:t>tỉnh</w:t>
      </w:r>
      <w:r w:rsidR="00706928" w:rsidRPr="00634831">
        <w:rPr>
          <w:bCs/>
          <w:i/>
        </w:rPr>
        <w:t xml:space="preserve"> tại kỳ họp</w:t>
      </w:r>
      <w:r w:rsidR="002C2D7B" w:rsidRPr="005375CA">
        <w:rPr>
          <w:i/>
        </w:rPr>
        <w:t>.</w:t>
      </w:r>
    </w:p>
    <w:p w:rsidR="004D7879" w:rsidRPr="005375CA" w:rsidRDefault="004D7879" w:rsidP="009F2B57">
      <w:pPr>
        <w:spacing w:after="240" w:line="240" w:lineRule="atLeast"/>
        <w:jc w:val="center"/>
        <w:rPr>
          <w:b/>
          <w:bCs/>
          <w:lang w:val="vi-VN"/>
        </w:rPr>
      </w:pPr>
      <w:r w:rsidRPr="005375CA">
        <w:rPr>
          <w:b/>
          <w:bCs/>
        </w:rPr>
        <w:t>QUYẾT NGHỊ</w:t>
      </w:r>
      <w:r w:rsidR="009F245C" w:rsidRPr="005375CA">
        <w:rPr>
          <w:b/>
          <w:bCs/>
          <w:lang w:val="vi-VN"/>
        </w:rPr>
        <w:t>:</w:t>
      </w:r>
    </w:p>
    <w:p w:rsidR="002A4546" w:rsidRPr="005375CA" w:rsidRDefault="004D7879" w:rsidP="009F2B57">
      <w:pPr>
        <w:spacing w:after="60"/>
        <w:jc w:val="both"/>
      </w:pPr>
      <w:r w:rsidRPr="005375CA">
        <w:rPr>
          <w:b/>
        </w:rPr>
        <w:t xml:space="preserve">         </w:t>
      </w:r>
      <w:r w:rsidR="00DD4DF6">
        <w:rPr>
          <w:b/>
        </w:rPr>
        <w:tab/>
      </w:r>
      <w:r w:rsidRPr="005375CA">
        <w:rPr>
          <w:rFonts w:hint="eastAsia"/>
          <w:b/>
        </w:rPr>
        <w:t>Đ</w:t>
      </w:r>
      <w:r w:rsidRPr="005375CA">
        <w:rPr>
          <w:b/>
        </w:rPr>
        <w:t>iều 1</w:t>
      </w:r>
      <w:r w:rsidR="009A5F03" w:rsidRPr="005375CA">
        <w:t>.</w:t>
      </w:r>
      <w:r w:rsidRPr="005375CA">
        <w:t xml:space="preserve"> </w:t>
      </w:r>
      <w:r w:rsidR="002A4546" w:rsidRPr="005375CA">
        <w:rPr>
          <w:b/>
        </w:rPr>
        <w:t>Phạm vi điều chỉnh</w:t>
      </w:r>
    </w:p>
    <w:p w:rsidR="004D7879" w:rsidRPr="000345E3" w:rsidRDefault="00524090" w:rsidP="009F2B57">
      <w:pPr>
        <w:spacing w:after="60"/>
        <w:ind w:firstLine="720"/>
        <w:jc w:val="both"/>
        <w:rPr>
          <w:bCs/>
        </w:rPr>
      </w:pPr>
      <w:r>
        <w:rPr>
          <w:bCs/>
        </w:rPr>
        <w:t>Nghị quyết này q</w:t>
      </w:r>
      <w:r w:rsidR="004D7879" w:rsidRPr="005375CA">
        <w:rPr>
          <w:bCs/>
        </w:rPr>
        <w:t>uy định</w:t>
      </w:r>
      <w:r w:rsidR="00F94E1B">
        <w:rPr>
          <w:bCs/>
        </w:rPr>
        <w:t xml:space="preserve"> về</w:t>
      </w:r>
      <w:r w:rsidR="003B2F32">
        <w:rPr>
          <w:bCs/>
        </w:rPr>
        <w:t xml:space="preserve"> </w:t>
      </w:r>
      <w:r w:rsidR="009248DB" w:rsidRPr="009248DB">
        <w:rPr>
          <w:bCs/>
        </w:rPr>
        <w:t>phân cấp nguồn thu, tỷ lệ phần trăm (%) phân chia nguồn thu và</w:t>
      </w:r>
      <w:r w:rsidR="005D727F">
        <w:rPr>
          <w:bCs/>
        </w:rPr>
        <w:t xml:space="preserve"> phân cấp</w:t>
      </w:r>
      <w:r w:rsidR="009248DB" w:rsidRPr="009248DB">
        <w:rPr>
          <w:bCs/>
        </w:rPr>
        <w:t xml:space="preserve"> nhiệm vụ chi các cấp ngân sách địa phương giai </w:t>
      </w:r>
      <w:r w:rsidR="009248DB" w:rsidRPr="009248DB">
        <w:rPr>
          <w:bCs/>
        </w:rPr>
        <w:lastRenderedPageBreak/>
        <w:t>đoạn 2022-2025;</w:t>
      </w:r>
      <w:r w:rsidRPr="00524090">
        <w:rPr>
          <w:bCs/>
        </w:rPr>
        <w:t xml:space="preserve"> </w:t>
      </w:r>
      <w:r>
        <w:rPr>
          <w:bCs/>
        </w:rPr>
        <w:t>nguyên tắc, tiêu chí</w:t>
      </w:r>
      <w:r w:rsidR="00BE5880">
        <w:rPr>
          <w:bCs/>
        </w:rPr>
        <w:t xml:space="preserve"> và</w:t>
      </w:r>
      <w:r w:rsidR="009248DB" w:rsidRPr="009248DB">
        <w:rPr>
          <w:bCs/>
        </w:rPr>
        <w:t xml:space="preserve"> định mức</w:t>
      </w:r>
      <w:r w:rsidR="009248DB">
        <w:rPr>
          <w:bCs/>
        </w:rPr>
        <w:t xml:space="preserve"> </w:t>
      </w:r>
      <w:r w:rsidR="009248DB" w:rsidRPr="009248DB">
        <w:rPr>
          <w:bCs/>
        </w:rPr>
        <w:t>phân bổ chi thường xuyên ngân sách địa phương năm 2022</w:t>
      </w:r>
      <w:r w:rsidR="00DE05AA" w:rsidRPr="005375CA">
        <w:rPr>
          <w:bCs/>
          <w:i/>
        </w:rPr>
        <w:t>.</w:t>
      </w:r>
    </w:p>
    <w:p w:rsidR="007F580A" w:rsidRPr="005375CA" w:rsidRDefault="004D7879" w:rsidP="009F2B57">
      <w:pPr>
        <w:spacing w:after="60"/>
        <w:jc w:val="both"/>
        <w:rPr>
          <w:b/>
        </w:rPr>
      </w:pPr>
      <w:r w:rsidRPr="005375CA">
        <w:rPr>
          <w:b/>
        </w:rPr>
        <w:t xml:space="preserve">         </w:t>
      </w:r>
      <w:r w:rsidR="007F580A" w:rsidRPr="005375CA">
        <w:rPr>
          <w:b/>
        </w:rPr>
        <w:tab/>
        <w:t xml:space="preserve">Điều </w:t>
      </w:r>
      <w:r w:rsidR="00291DEA" w:rsidRPr="005375CA">
        <w:rPr>
          <w:b/>
        </w:rPr>
        <w:t xml:space="preserve">2. </w:t>
      </w:r>
      <w:r w:rsidR="000A05A3" w:rsidRPr="005375CA">
        <w:rPr>
          <w:b/>
        </w:rPr>
        <w:t>Đ</w:t>
      </w:r>
      <w:r w:rsidR="0080550E" w:rsidRPr="005375CA">
        <w:rPr>
          <w:b/>
        </w:rPr>
        <w:t>ối tượng áp dụng</w:t>
      </w:r>
    </w:p>
    <w:p w:rsidR="005122A0" w:rsidRDefault="009F7477" w:rsidP="009F2B57">
      <w:pPr>
        <w:spacing w:after="60"/>
        <w:jc w:val="both"/>
        <w:rPr>
          <w:spacing w:val="-4"/>
        </w:rPr>
      </w:pPr>
      <w:r w:rsidRPr="005375CA">
        <w:tab/>
      </w:r>
      <w:r w:rsidR="002A19A8" w:rsidRPr="00DE6292">
        <w:rPr>
          <w:spacing w:val="-4"/>
        </w:rPr>
        <w:t>Các cơ quan nhà nước, tổ chức chính trị và các tổ chức chính trị - xã hội; các tổ chức chính trị xã hội - nghề nghiệp</w:t>
      </w:r>
      <w:r w:rsidR="00105EFC" w:rsidRPr="00DE6292">
        <w:rPr>
          <w:spacing w:val="-4"/>
        </w:rPr>
        <w:t xml:space="preserve">, tổ chức xã hội, tổ chức xã hội </w:t>
      </w:r>
      <w:r w:rsidR="00D3022E" w:rsidRPr="00DE6292">
        <w:rPr>
          <w:spacing w:val="-4"/>
        </w:rPr>
        <w:t>-</w:t>
      </w:r>
      <w:r w:rsidR="00105EFC" w:rsidRPr="00DE6292">
        <w:rPr>
          <w:spacing w:val="-4"/>
        </w:rPr>
        <w:t xml:space="preserve"> nghề </w:t>
      </w:r>
      <w:r w:rsidR="00D3022E" w:rsidRPr="00DE6292">
        <w:rPr>
          <w:spacing w:val="-4"/>
        </w:rPr>
        <w:t>nghiệp được ngân sách nhà nước</w:t>
      </w:r>
      <w:r w:rsidR="0058792D" w:rsidRPr="00DE6292">
        <w:rPr>
          <w:spacing w:val="-4"/>
        </w:rPr>
        <w:t xml:space="preserve"> hỗ trợ theo nhiệm vụ Nhà nước giao; </w:t>
      </w:r>
      <w:r w:rsidR="00961DB4" w:rsidRPr="00DE6292">
        <w:rPr>
          <w:spacing w:val="-4"/>
        </w:rPr>
        <w:t>các đơn vị sự nghiệp công lập; các tổ chức, cá nhân khác có liên quan đến ngân sách nhà nước.</w:t>
      </w:r>
    </w:p>
    <w:p w:rsidR="004D3BA5" w:rsidRPr="004D3BA5" w:rsidRDefault="004D3BA5" w:rsidP="009F2B57">
      <w:pPr>
        <w:spacing w:after="60"/>
        <w:jc w:val="both"/>
        <w:rPr>
          <w:b/>
          <w:spacing w:val="-4"/>
        </w:rPr>
      </w:pPr>
      <w:r>
        <w:rPr>
          <w:spacing w:val="-4"/>
        </w:rPr>
        <w:tab/>
      </w:r>
      <w:r w:rsidRPr="004D3BA5">
        <w:rPr>
          <w:b/>
          <w:spacing w:val="-4"/>
        </w:rPr>
        <w:t xml:space="preserve">Điều 3. </w:t>
      </w:r>
      <w:r w:rsidR="00D50EE9">
        <w:rPr>
          <w:b/>
          <w:spacing w:val="-4"/>
        </w:rPr>
        <w:t>P</w:t>
      </w:r>
      <w:r w:rsidR="00D50EE9" w:rsidRPr="00D50EE9">
        <w:rPr>
          <w:b/>
          <w:spacing w:val="-4"/>
        </w:rPr>
        <w:t>hân cấp nguồn thu, tỷ lệ phần trăm (%) phân chia nguồn thu và phân cấp nhiệm vụ chi các cấp ngân sách địa phương giai đoạn 2022-2025</w:t>
      </w:r>
    </w:p>
    <w:p w:rsidR="004D3BA5" w:rsidRPr="00DE6292" w:rsidRDefault="004D3BA5" w:rsidP="00B33D8F">
      <w:pPr>
        <w:spacing w:after="60"/>
        <w:jc w:val="center"/>
        <w:rPr>
          <w:spacing w:val="-4"/>
        </w:rPr>
      </w:pPr>
      <w:r w:rsidRPr="005375CA">
        <w:rPr>
          <w:bCs/>
          <w:i/>
        </w:rPr>
        <w:t>(</w:t>
      </w:r>
      <w:r w:rsidR="00B33D8F">
        <w:rPr>
          <w:bCs/>
          <w:i/>
        </w:rPr>
        <w:t xml:space="preserve">Chi tiết </w:t>
      </w:r>
      <w:r w:rsidR="00B33D8F" w:rsidRPr="00B33D8F">
        <w:rPr>
          <w:i/>
        </w:rPr>
        <w:t>tại Phụ lục số 01 và Phụ biểu ban hành kèm theo</w:t>
      </w:r>
      <w:r w:rsidRPr="005375CA">
        <w:rPr>
          <w:bCs/>
          <w:i/>
        </w:rPr>
        <w:t>)</w:t>
      </w:r>
    </w:p>
    <w:p w:rsidR="00DC7BF1" w:rsidRPr="00962E93" w:rsidRDefault="00DC7BF1" w:rsidP="009F2B57">
      <w:pPr>
        <w:spacing w:after="60"/>
        <w:jc w:val="both"/>
        <w:rPr>
          <w:b/>
        </w:rPr>
      </w:pPr>
      <w:r>
        <w:tab/>
      </w:r>
      <w:r w:rsidRPr="00962E93">
        <w:rPr>
          <w:b/>
        </w:rPr>
        <w:t xml:space="preserve">Điều </w:t>
      </w:r>
      <w:r w:rsidR="00A9442B">
        <w:rPr>
          <w:b/>
        </w:rPr>
        <w:t>4</w:t>
      </w:r>
      <w:r w:rsidRPr="00962E93">
        <w:rPr>
          <w:b/>
        </w:rPr>
        <w:t>. Nguyên tắc, tiêu chí</w:t>
      </w:r>
      <w:r w:rsidR="00F32A37" w:rsidRPr="00F32A37">
        <w:t xml:space="preserve"> </w:t>
      </w:r>
      <w:r w:rsidR="00F32A37" w:rsidRPr="00F32A37">
        <w:rPr>
          <w:b/>
        </w:rPr>
        <w:t>và định mức phân bổ chi thường xuyên ngân sách địa phương năm 2022</w:t>
      </w:r>
    </w:p>
    <w:p w:rsidR="005D62AC" w:rsidRDefault="005D62AC" w:rsidP="009F2B57">
      <w:pPr>
        <w:spacing w:after="60"/>
        <w:ind w:firstLine="720"/>
        <w:jc w:val="both"/>
      </w:pPr>
      <w:r>
        <w:t>1. Nguyên tắc, tiêu chí</w:t>
      </w:r>
      <w:r w:rsidR="00D66A37">
        <w:t>:</w:t>
      </w:r>
    </w:p>
    <w:p w:rsidR="002D5738" w:rsidRPr="003004FD" w:rsidRDefault="002D5738" w:rsidP="009F2B57">
      <w:pPr>
        <w:spacing w:after="60"/>
        <w:ind w:firstLine="720"/>
        <w:jc w:val="both"/>
      </w:pPr>
      <w:r w:rsidRPr="003004FD">
        <w:t xml:space="preserve">Thực hiện </w:t>
      </w:r>
      <w:r w:rsidRPr="003004FD">
        <w:rPr>
          <w:rFonts w:hint="eastAsia"/>
        </w:rPr>
        <w:t>đú</w:t>
      </w:r>
      <w:r w:rsidRPr="003004FD">
        <w:t xml:space="preserve">ng quy </w:t>
      </w:r>
      <w:r w:rsidRPr="003004FD">
        <w:rPr>
          <w:rFonts w:hint="eastAsia"/>
        </w:rPr>
        <w:t>đ</w:t>
      </w:r>
      <w:r w:rsidRPr="003004FD">
        <w:t>ịnh của Luật NSNN số 83/2015/QH13 n</w:t>
      </w:r>
      <w:r w:rsidRPr="003004FD">
        <w:rPr>
          <w:rFonts w:hint="eastAsia"/>
        </w:rPr>
        <w:t>ă</w:t>
      </w:r>
      <w:r w:rsidRPr="003004FD">
        <w:t>m 2015</w:t>
      </w:r>
      <w:r>
        <w:t xml:space="preserve"> và các quy định hiện hành</w:t>
      </w:r>
      <w:r w:rsidRPr="003004FD">
        <w:t xml:space="preserve">, trong </w:t>
      </w:r>
      <w:r w:rsidRPr="003004FD">
        <w:rPr>
          <w:rFonts w:hint="eastAsia"/>
        </w:rPr>
        <w:t>đó</w:t>
      </w:r>
      <w:r w:rsidRPr="003004FD">
        <w:t xml:space="preserve"> tập trung một số nguyên tắc</w:t>
      </w:r>
      <w:r w:rsidR="001B6E76">
        <w:t>, tiêu chí</w:t>
      </w:r>
      <w:r w:rsidRPr="003004FD">
        <w:t xml:space="preserve"> sau:</w:t>
      </w:r>
    </w:p>
    <w:p w:rsidR="002D5738" w:rsidRPr="00A9627C" w:rsidRDefault="00D66A37" w:rsidP="009F2B57">
      <w:pPr>
        <w:spacing w:after="60"/>
        <w:ind w:firstLine="720"/>
        <w:jc w:val="both"/>
      </w:pPr>
      <w:r>
        <w:t>a)</w:t>
      </w:r>
      <w:r w:rsidR="002D5738" w:rsidRPr="00A9627C">
        <w:t xml:space="preserve"> Việc xây dựng </w:t>
      </w:r>
      <w:r w:rsidR="002D5738" w:rsidRPr="00A9627C">
        <w:rPr>
          <w:rFonts w:hint="eastAsia"/>
        </w:rPr>
        <w:t>đ</w:t>
      </w:r>
      <w:r w:rsidR="002D5738" w:rsidRPr="00A9627C">
        <w:t>ịnh mức phân bổ chi th</w:t>
      </w:r>
      <w:r w:rsidR="002D5738" w:rsidRPr="00A9627C">
        <w:rPr>
          <w:rFonts w:hint="eastAsia"/>
        </w:rPr>
        <w:t>ư</w:t>
      </w:r>
      <w:r w:rsidR="002D5738" w:rsidRPr="00A9627C">
        <w:t xml:space="preserve">ờng xuyên ngân sách </w:t>
      </w:r>
      <w:r w:rsidR="002D5738" w:rsidRPr="00A9627C">
        <w:rPr>
          <w:rFonts w:hint="eastAsia"/>
        </w:rPr>
        <w:t>đ</w:t>
      </w:r>
      <w:r w:rsidR="002D5738" w:rsidRPr="00A9627C">
        <w:t>ịa ph</w:t>
      </w:r>
      <w:r w:rsidR="002D5738" w:rsidRPr="00A9627C">
        <w:rPr>
          <w:rFonts w:hint="eastAsia"/>
        </w:rPr>
        <w:t>ươ</w:t>
      </w:r>
      <w:r w:rsidR="002D5738" w:rsidRPr="00A9627C">
        <w:t>ng n</w:t>
      </w:r>
      <w:r w:rsidR="002D5738" w:rsidRPr="00A9627C">
        <w:rPr>
          <w:rFonts w:hint="eastAsia"/>
        </w:rPr>
        <w:t>ă</w:t>
      </w:r>
      <w:r w:rsidR="002D5738" w:rsidRPr="00A9627C">
        <w:t xml:space="preserve">m 2022 phải đảm bảo thực hiện đúng theo quy định của pháp luật. </w:t>
      </w:r>
    </w:p>
    <w:p w:rsidR="002D5738" w:rsidRPr="00A9627C" w:rsidRDefault="00D66A37" w:rsidP="009F2B57">
      <w:pPr>
        <w:spacing w:after="60"/>
        <w:ind w:firstLine="720"/>
        <w:jc w:val="both"/>
      </w:pPr>
      <w:r>
        <w:t>b)</w:t>
      </w:r>
      <w:r w:rsidR="002D5738" w:rsidRPr="00A9627C">
        <w:t xml:space="preserve"> T</w:t>
      </w:r>
      <w:r w:rsidR="002D5738" w:rsidRPr="00A9627C">
        <w:rPr>
          <w:rFonts w:hint="eastAsia"/>
        </w:rPr>
        <w:t>ă</w:t>
      </w:r>
      <w:r w:rsidR="002D5738" w:rsidRPr="00A9627C">
        <w:t xml:space="preserve">ng quyền hạn và trách nhiệm của các cơ quan, đơn vị và </w:t>
      </w:r>
      <w:r w:rsidR="002D5738" w:rsidRPr="00A9627C">
        <w:rPr>
          <w:rFonts w:hint="eastAsia"/>
        </w:rPr>
        <w:t>đ</w:t>
      </w:r>
      <w:r w:rsidR="002D5738" w:rsidRPr="00A9627C">
        <w:t>ịa ph</w:t>
      </w:r>
      <w:r w:rsidR="002D5738" w:rsidRPr="00A9627C">
        <w:rPr>
          <w:rFonts w:hint="eastAsia"/>
        </w:rPr>
        <w:t>ươ</w:t>
      </w:r>
      <w:r w:rsidR="002D5738" w:rsidRPr="00A9627C">
        <w:t>ng trong quản lý ngân sách nhà n</w:t>
      </w:r>
      <w:r w:rsidR="002D5738" w:rsidRPr="00A9627C">
        <w:rPr>
          <w:rFonts w:hint="eastAsia"/>
        </w:rPr>
        <w:t>ư</w:t>
      </w:r>
      <w:r w:rsidR="002D5738" w:rsidRPr="00A9627C">
        <w:t>ớc; phù hợp khả n</w:t>
      </w:r>
      <w:r w:rsidR="002D5738" w:rsidRPr="00A9627C">
        <w:rPr>
          <w:rFonts w:hint="eastAsia"/>
        </w:rPr>
        <w:t>ă</w:t>
      </w:r>
      <w:r w:rsidR="002D5738" w:rsidRPr="00A9627C">
        <w:t xml:space="preserve">ng cân </w:t>
      </w:r>
      <w:r w:rsidR="002D5738" w:rsidRPr="00A9627C">
        <w:rPr>
          <w:rFonts w:hint="eastAsia"/>
        </w:rPr>
        <w:t>đ</w:t>
      </w:r>
      <w:r w:rsidR="002D5738" w:rsidRPr="00A9627C">
        <w:t>ối ngân sách và yêu cầu thực hiện c</w:t>
      </w:r>
      <w:r w:rsidR="002D5738" w:rsidRPr="00A9627C">
        <w:rPr>
          <w:rFonts w:hint="eastAsia"/>
        </w:rPr>
        <w:t>ơ</w:t>
      </w:r>
      <w:r w:rsidR="002D5738" w:rsidRPr="00A9627C">
        <w:t xml:space="preserve"> cấu lại chi NSNN; khuyến khích các </w:t>
      </w:r>
      <w:r w:rsidR="002D5738" w:rsidRPr="00A9627C">
        <w:rPr>
          <w:rFonts w:hint="eastAsia"/>
        </w:rPr>
        <w:t>đ</w:t>
      </w:r>
      <w:r w:rsidR="002D5738" w:rsidRPr="00A9627C">
        <w:t>ịa ph</w:t>
      </w:r>
      <w:r w:rsidR="002D5738" w:rsidRPr="00A9627C">
        <w:rPr>
          <w:rFonts w:hint="eastAsia"/>
        </w:rPr>
        <w:t>ươ</w:t>
      </w:r>
      <w:r w:rsidR="002D5738" w:rsidRPr="00A9627C">
        <w:t>ng tiết kiệm chi th</w:t>
      </w:r>
      <w:r w:rsidR="002D5738" w:rsidRPr="00A9627C">
        <w:rPr>
          <w:rFonts w:hint="eastAsia"/>
        </w:rPr>
        <w:t>ư</w:t>
      </w:r>
      <w:r w:rsidR="002D5738" w:rsidRPr="00A9627C">
        <w:t xml:space="preserve">ờng xuyên </w:t>
      </w:r>
      <w:r w:rsidR="002D5738" w:rsidRPr="00A9627C">
        <w:rPr>
          <w:rFonts w:hint="eastAsia"/>
        </w:rPr>
        <w:t>đ</w:t>
      </w:r>
      <w:r w:rsidR="002D5738" w:rsidRPr="00A9627C">
        <w:t xml:space="preserve">ể tăng chi </w:t>
      </w:r>
      <w:r w:rsidR="002D5738" w:rsidRPr="00A9627C">
        <w:rPr>
          <w:rFonts w:hint="eastAsia"/>
        </w:rPr>
        <w:t>đ</w:t>
      </w:r>
      <w:r w:rsidR="002D5738" w:rsidRPr="00A9627C">
        <w:t>ầu t</w:t>
      </w:r>
      <w:r w:rsidR="002D5738" w:rsidRPr="00A9627C">
        <w:rPr>
          <w:rFonts w:hint="eastAsia"/>
        </w:rPr>
        <w:t>ư</w:t>
      </w:r>
      <w:r w:rsidR="002D5738" w:rsidRPr="00A9627C">
        <w:t xml:space="preserve">, chủ </w:t>
      </w:r>
      <w:r w:rsidR="002D5738" w:rsidRPr="00A9627C">
        <w:rPr>
          <w:rFonts w:hint="eastAsia"/>
        </w:rPr>
        <w:t>đ</w:t>
      </w:r>
      <w:r w:rsidR="002D5738" w:rsidRPr="00A9627C">
        <w:t xml:space="preserve">ộng bố trí các nhiệm vụ chi thực hiện các mục tiêu, nhiệm vụ kế hoạch phát triển kinh tế - xã hội, đảm bảo quốc phòng, an ninh, đảm bảo an sinh xã hội, góp phần thực hiện thắng lợi Nghị quyết </w:t>
      </w:r>
      <w:r w:rsidR="002D5738" w:rsidRPr="00A9627C">
        <w:rPr>
          <w:rFonts w:hint="eastAsia"/>
        </w:rPr>
        <w:t>Đ</w:t>
      </w:r>
      <w:r w:rsidR="002D5738" w:rsidRPr="00A9627C">
        <w:t xml:space="preserve">ại hội </w:t>
      </w:r>
      <w:r w:rsidR="002D5738" w:rsidRPr="00A9627C">
        <w:rPr>
          <w:rFonts w:hint="eastAsia"/>
        </w:rPr>
        <w:t>đ</w:t>
      </w:r>
      <w:r w:rsidR="002D5738" w:rsidRPr="00A9627C">
        <w:t xml:space="preserve">ại biểu </w:t>
      </w:r>
      <w:r w:rsidR="002D5738" w:rsidRPr="00A9627C">
        <w:rPr>
          <w:rFonts w:hint="eastAsia"/>
        </w:rPr>
        <w:t>Đ</w:t>
      </w:r>
      <w:r w:rsidR="002D5738" w:rsidRPr="00A9627C">
        <w:t>ảng bộ tỉnh lần thứ XIX, nhiệm kỳ 2020-2025;</w:t>
      </w:r>
    </w:p>
    <w:p w:rsidR="002D5738" w:rsidRPr="00A9627C" w:rsidRDefault="002D5738" w:rsidP="009F2B57">
      <w:pPr>
        <w:spacing w:after="60"/>
        <w:ind w:firstLine="720"/>
        <w:jc w:val="both"/>
      </w:pPr>
      <w:r w:rsidRPr="00A9627C">
        <w:t xml:space="preserve"> </w:t>
      </w:r>
      <w:r w:rsidR="00D66A37">
        <w:t>c)</w:t>
      </w:r>
      <w:r w:rsidRPr="00A9627C">
        <w:t xml:space="preserve"> </w:t>
      </w:r>
      <w:r w:rsidRPr="00A9627C">
        <w:rPr>
          <w:rFonts w:hint="eastAsia"/>
        </w:rPr>
        <w:t>Đ</w:t>
      </w:r>
      <w:r w:rsidRPr="00A9627C">
        <w:t xml:space="preserve">ảm bảo tính tập trung của Ngân sách tỉnh </w:t>
      </w:r>
      <w:r w:rsidRPr="00A9627C">
        <w:rPr>
          <w:rFonts w:hint="eastAsia"/>
        </w:rPr>
        <w:t>đ</w:t>
      </w:r>
      <w:r w:rsidRPr="00A9627C">
        <w:t xml:space="preserve">ể thực hiện đề án, chính sách chung của </w:t>
      </w:r>
      <w:r w:rsidRPr="00A9627C">
        <w:rPr>
          <w:rFonts w:hint="eastAsia"/>
        </w:rPr>
        <w:t>đ</w:t>
      </w:r>
      <w:r w:rsidRPr="00A9627C">
        <w:t>ịa ph</w:t>
      </w:r>
      <w:r w:rsidRPr="00A9627C">
        <w:rPr>
          <w:rFonts w:hint="eastAsia"/>
        </w:rPr>
        <w:t>ươ</w:t>
      </w:r>
      <w:r w:rsidRPr="00A9627C">
        <w:t xml:space="preserve">ng; hỗ trợ phát triển </w:t>
      </w:r>
      <w:r w:rsidRPr="00A9627C">
        <w:rPr>
          <w:rFonts w:hint="eastAsia"/>
        </w:rPr>
        <w:t>đ</w:t>
      </w:r>
      <w:r w:rsidRPr="00A9627C">
        <w:t xml:space="preserve">ồng </w:t>
      </w:r>
      <w:r w:rsidRPr="00A9627C">
        <w:rPr>
          <w:rFonts w:hint="eastAsia"/>
        </w:rPr>
        <w:t>đ</w:t>
      </w:r>
      <w:r w:rsidR="00F95F00" w:rsidRPr="00A9627C">
        <w:t>ều giữa các khu vực trong tỉnh</w:t>
      </w:r>
      <w:r w:rsidRPr="00A9627C">
        <w:t xml:space="preserve">. </w:t>
      </w:r>
    </w:p>
    <w:p w:rsidR="0003781F" w:rsidRPr="00E87557" w:rsidRDefault="00D66A37" w:rsidP="009F2B57">
      <w:pPr>
        <w:spacing w:after="60"/>
        <w:ind w:firstLine="720"/>
        <w:jc w:val="both"/>
      </w:pPr>
      <w:r w:rsidRPr="00E87557">
        <w:rPr>
          <w:spacing w:val="-4"/>
        </w:rPr>
        <w:t>d)</w:t>
      </w:r>
      <w:r w:rsidR="002D5738" w:rsidRPr="00E87557">
        <w:rPr>
          <w:spacing w:val="-4"/>
        </w:rPr>
        <w:t xml:space="preserve"> </w:t>
      </w:r>
      <w:r w:rsidR="002D5738" w:rsidRPr="00E87557">
        <w:t>Định mức phân bổ chi thường xuyên của ngân sách địa phương được xây dựng cho các lĩnh vực chi theo quy định của Luật Ngân sách Nhà nước;</w:t>
      </w:r>
      <w:r w:rsidR="00B5245F" w:rsidRPr="00E87557">
        <w:t xml:space="preserve"> là cơ sở để</w:t>
      </w:r>
      <w:r w:rsidR="00D154C6" w:rsidRPr="00E87557">
        <w:t xml:space="preserve"> xây dựng và</w:t>
      </w:r>
      <w:r w:rsidR="00B5245F" w:rsidRPr="00E87557">
        <w:t xml:space="preserve"> phân bổ dự toán ngân sách năm 2022 (năm đầu thời kỳ ổn định ngân sách);</w:t>
      </w:r>
      <w:r w:rsidR="002D5738" w:rsidRPr="00E87557">
        <w:t xml:space="preserve"> tr</w:t>
      </w:r>
      <w:r w:rsidR="002D5738" w:rsidRPr="00E87557">
        <w:rPr>
          <w:rFonts w:hint="eastAsia"/>
        </w:rPr>
        <w:t>ư</w:t>
      </w:r>
      <w:r w:rsidR="002D5738" w:rsidRPr="00E87557">
        <w:t>ờng hợp dự toán chi th</w:t>
      </w:r>
      <w:r w:rsidR="002D5738" w:rsidRPr="00E87557">
        <w:rPr>
          <w:rFonts w:hint="eastAsia"/>
        </w:rPr>
        <w:t>ư</w:t>
      </w:r>
      <w:r w:rsidR="002D5738" w:rsidRPr="00E87557">
        <w:t xml:space="preserve">ờng xuyên ngân sách </w:t>
      </w:r>
      <w:r w:rsidR="002D5738" w:rsidRPr="00E87557">
        <w:rPr>
          <w:rFonts w:hint="eastAsia"/>
        </w:rPr>
        <w:t>đ</w:t>
      </w:r>
      <w:r w:rsidR="002D5738" w:rsidRPr="00E87557">
        <w:t>ịa ph</w:t>
      </w:r>
      <w:r w:rsidR="002D5738" w:rsidRPr="00E87557">
        <w:rPr>
          <w:rFonts w:hint="eastAsia"/>
        </w:rPr>
        <w:t>ươ</w:t>
      </w:r>
      <w:r w:rsidR="002D5738" w:rsidRPr="00E87557">
        <w:t xml:space="preserve">ng tính theo nguyên tắc, tiêu chí và </w:t>
      </w:r>
      <w:r w:rsidR="002D5738" w:rsidRPr="00E87557">
        <w:rPr>
          <w:rFonts w:hint="eastAsia"/>
        </w:rPr>
        <w:t>đ</w:t>
      </w:r>
      <w:r w:rsidR="002D5738" w:rsidRPr="00E87557">
        <w:t>ịnh mức n</w:t>
      </w:r>
      <w:r w:rsidR="002D5738" w:rsidRPr="00E87557">
        <w:rPr>
          <w:rFonts w:hint="eastAsia"/>
        </w:rPr>
        <w:t>ă</w:t>
      </w:r>
      <w:r w:rsidR="002D5738" w:rsidRPr="00E87557">
        <w:t>m 2022 thấp h</w:t>
      </w:r>
      <w:r w:rsidR="002D5738" w:rsidRPr="00E87557">
        <w:rPr>
          <w:rFonts w:hint="eastAsia"/>
        </w:rPr>
        <w:t>ơ</w:t>
      </w:r>
      <w:r w:rsidR="002D5738" w:rsidRPr="00E87557">
        <w:t>n dự toán n</w:t>
      </w:r>
      <w:r w:rsidR="002D5738" w:rsidRPr="00E87557">
        <w:rPr>
          <w:rFonts w:hint="eastAsia"/>
        </w:rPr>
        <w:t>ă</w:t>
      </w:r>
      <w:r w:rsidR="002D5738" w:rsidRPr="00E87557">
        <w:t xml:space="preserve">m 2021 (sau khi xác </w:t>
      </w:r>
      <w:r w:rsidR="002D5738" w:rsidRPr="00E87557">
        <w:rPr>
          <w:rFonts w:hint="eastAsia"/>
        </w:rPr>
        <w:t>đ</w:t>
      </w:r>
      <w:r w:rsidR="002D5738" w:rsidRPr="00E87557">
        <w:t xml:space="preserve">ịnh lại </w:t>
      </w:r>
      <w:r w:rsidR="002D5738" w:rsidRPr="00E87557">
        <w:rPr>
          <w:rFonts w:hint="eastAsia"/>
        </w:rPr>
        <w:t>đ</w:t>
      </w:r>
      <w:r w:rsidR="002D5738" w:rsidRPr="00E87557">
        <w:t xml:space="preserve">ảm bảo </w:t>
      </w:r>
      <w:r w:rsidR="002D5738" w:rsidRPr="00E87557">
        <w:rPr>
          <w:rFonts w:hint="eastAsia"/>
        </w:rPr>
        <w:t>đ</w:t>
      </w:r>
      <w:r w:rsidR="002D5738" w:rsidRPr="00E87557">
        <w:t xml:space="preserve">ủ chế </w:t>
      </w:r>
      <w:r w:rsidR="002D5738" w:rsidRPr="00E87557">
        <w:rPr>
          <w:rFonts w:hint="eastAsia"/>
        </w:rPr>
        <w:t>đ</w:t>
      </w:r>
      <w:r w:rsidR="002D5738" w:rsidRPr="00E87557">
        <w:t>ộ tiền l</w:t>
      </w:r>
      <w:r w:rsidR="002D5738" w:rsidRPr="00E87557">
        <w:rPr>
          <w:rFonts w:hint="eastAsia"/>
        </w:rPr>
        <w:t>ươ</w:t>
      </w:r>
      <w:r w:rsidR="002D5738" w:rsidRPr="00E87557">
        <w:t>ng, phụ cấp, các khoản có tính chất tiền l</w:t>
      </w:r>
      <w:r w:rsidR="002D5738" w:rsidRPr="00E87557">
        <w:rPr>
          <w:rFonts w:hint="eastAsia"/>
        </w:rPr>
        <w:t>ươ</w:t>
      </w:r>
      <w:r w:rsidR="002D5738" w:rsidRPr="00E87557">
        <w:t xml:space="preserve">ng, chi hoạt </w:t>
      </w:r>
      <w:r w:rsidR="002D5738" w:rsidRPr="00E87557">
        <w:rPr>
          <w:rFonts w:hint="eastAsia"/>
        </w:rPr>
        <w:t>đ</w:t>
      </w:r>
      <w:r w:rsidR="002D5738" w:rsidRPr="00E87557">
        <w:t>ộng th</w:t>
      </w:r>
      <w:r w:rsidR="002D5738" w:rsidRPr="00E87557">
        <w:rPr>
          <w:rFonts w:hint="eastAsia"/>
        </w:rPr>
        <w:t>ư</w:t>
      </w:r>
      <w:r w:rsidR="002D5738" w:rsidRPr="00E87557">
        <w:t xml:space="preserve">ờng xuyên, các chế </w:t>
      </w:r>
      <w:r w:rsidR="002D5738" w:rsidRPr="00E87557">
        <w:rPr>
          <w:rFonts w:hint="eastAsia"/>
        </w:rPr>
        <w:t>đ</w:t>
      </w:r>
      <w:r w:rsidR="002D5738" w:rsidRPr="00E87557">
        <w:t xml:space="preserve">ộ, chính sách theo quy </w:t>
      </w:r>
      <w:r w:rsidR="002D5738" w:rsidRPr="00E87557">
        <w:rPr>
          <w:rFonts w:hint="eastAsia"/>
        </w:rPr>
        <w:t>đ</w:t>
      </w:r>
      <w:r w:rsidR="002D5738" w:rsidRPr="00E87557">
        <w:t xml:space="preserve">ịnh) sẽ </w:t>
      </w:r>
      <w:r w:rsidR="002D5738" w:rsidRPr="00E87557">
        <w:rPr>
          <w:rFonts w:hint="eastAsia"/>
        </w:rPr>
        <w:t>đư</w:t>
      </w:r>
      <w:r w:rsidR="002D5738" w:rsidRPr="00E87557">
        <w:t xml:space="preserve">ợc hỗ trợ </w:t>
      </w:r>
      <w:r w:rsidR="002D5738" w:rsidRPr="00E87557">
        <w:rPr>
          <w:rFonts w:hint="eastAsia"/>
        </w:rPr>
        <w:t>đ</w:t>
      </w:r>
      <w:r w:rsidR="002D5738" w:rsidRPr="00E87557">
        <w:t>ể không thấp h</w:t>
      </w:r>
      <w:r w:rsidR="002D5738" w:rsidRPr="00E87557">
        <w:rPr>
          <w:rFonts w:hint="eastAsia"/>
        </w:rPr>
        <w:t>ơ</w:t>
      </w:r>
      <w:r w:rsidR="002D5738" w:rsidRPr="00E87557">
        <w:t>n</w:t>
      </w:r>
      <w:r w:rsidR="0003781F" w:rsidRPr="00E87557">
        <w:t>.</w:t>
      </w:r>
      <w:r w:rsidR="00B5245F" w:rsidRPr="00E87557">
        <w:t xml:space="preserve"> </w:t>
      </w:r>
    </w:p>
    <w:p w:rsidR="002D5738" w:rsidRDefault="00D66A37" w:rsidP="009F2B57">
      <w:pPr>
        <w:spacing w:after="60"/>
        <w:ind w:firstLine="720"/>
        <w:jc w:val="both"/>
      </w:pPr>
      <w:r>
        <w:t>đ)</w:t>
      </w:r>
      <w:r w:rsidR="002D5738">
        <w:t xml:space="preserve"> Đưa tối đa các khoản chi thường xuyên vào định mức chi quản lý hành chính của các cơ quan, đơn vị, địa phương với yêu cầu triệt để tiết kiệm. Thực hiện hành tiết kiệm, chống lãng phí; cải cách hàn</w:t>
      </w:r>
      <w:r w:rsidR="00074242">
        <w:t>h</w:t>
      </w:r>
      <w:r w:rsidR="002D5738">
        <w:t xml:space="preserve"> chính nâng cao chất lượng dịch vụ công, sử dụng hiệu quả ngân sách nhà nước; góp phần đổi mới quản lý tài chính đối với khu vực sự nghiệp công để giảm mức hỗ trợ trực tiếp cho đơn vị sự nghiệp công lập, tăng nguồn đảm bảo chính sách hỗ trợ người nghèo, đối </w:t>
      </w:r>
      <w:r w:rsidR="002D5738">
        <w:lastRenderedPageBreak/>
        <w:t>tượng chính sách tiếp cận các dịch vụ sự nghiệp công, khuyến khích xã hội hóa, huy động các nguồn lực xã hội để phát triển kinh tế - xã hội.</w:t>
      </w:r>
    </w:p>
    <w:p w:rsidR="0003781F" w:rsidRDefault="0003781F" w:rsidP="009F2B57">
      <w:pPr>
        <w:spacing w:after="60"/>
        <w:ind w:firstLine="720"/>
        <w:jc w:val="both"/>
      </w:pPr>
      <w:r>
        <w:t xml:space="preserve">e) </w:t>
      </w:r>
      <w:r w:rsidR="009C6039" w:rsidRPr="009C6039">
        <w:t>Định mức phân bổ dự toán chi thường xuyên ngân sách địa phương năm 2022 là cơ sở để các địa phương làm căn cứ xây dựng dự toán cho các năm tiếp theo. Hàng năm trong quá trình xây dựng dự toán, tùy theo khả năng ngân sách địa phương để bổ sung thêm kin</w:t>
      </w:r>
      <w:r w:rsidR="009C6039">
        <w:t>h phí</w:t>
      </w:r>
      <w:r w:rsidR="00B633A5">
        <w:t xml:space="preserve"> cho các đơn vị, địa phương</w:t>
      </w:r>
      <w:r w:rsidR="009C6039">
        <w:t>.</w:t>
      </w:r>
    </w:p>
    <w:p w:rsidR="00FD162E" w:rsidRDefault="0003781F" w:rsidP="00FD162E">
      <w:pPr>
        <w:spacing w:after="60"/>
        <w:ind w:firstLine="720"/>
        <w:jc w:val="both"/>
      </w:pPr>
      <w:r>
        <w:t>f</w:t>
      </w:r>
      <w:r w:rsidR="00D66A37">
        <w:t>)</w:t>
      </w:r>
      <w:r w:rsidR="002D5738">
        <w:t xml:space="preserve"> Tiêu chí phân bổ ngân </w:t>
      </w:r>
      <w:r w:rsidR="00D154C6">
        <w:t>sách phải rõ ràng, dễ thực hiện</w:t>
      </w:r>
      <w:r w:rsidR="002D5738">
        <w:t xml:space="preserve">; đảm bảo công bằng, công khai và </w:t>
      </w:r>
      <w:r w:rsidR="00074242">
        <w:t>phù hợp</w:t>
      </w:r>
      <w:r w:rsidR="002D5738">
        <w:t>.</w:t>
      </w:r>
      <w:r w:rsidR="00FD162E" w:rsidRPr="00FD162E">
        <w:t xml:space="preserve"> </w:t>
      </w:r>
    </w:p>
    <w:p w:rsidR="000D3282" w:rsidRDefault="00FD162E" w:rsidP="000D3282">
      <w:pPr>
        <w:spacing w:after="60"/>
        <w:ind w:firstLine="720"/>
        <w:jc w:val="both"/>
      </w:pPr>
      <w:r>
        <w:t xml:space="preserve">2. </w:t>
      </w:r>
      <w:r w:rsidR="000D3282">
        <w:t>Định mức phân bổ chi thường xuyên ngân sách địa phương năm 2022</w:t>
      </w:r>
    </w:p>
    <w:p w:rsidR="002D5738" w:rsidRPr="00CA44C5" w:rsidRDefault="000D3282" w:rsidP="00CA44C5">
      <w:pPr>
        <w:spacing w:after="60"/>
        <w:ind w:firstLine="720"/>
        <w:jc w:val="center"/>
        <w:rPr>
          <w:i/>
        </w:rPr>
      </w:pPr>
      <w:r w:rsidRPr="00CA44C5">
        <w:rPr>
          <w:i/>
        </w:rPr>
        <w:t>(</w:t>
      </w:r>
      <w:r w:rsidRPr="00CA44C5">
        <w:rPr>
          <w:bCs/>
          <w:i/>
        </w:rPr>
        <w:t xml:space="preserve">Chi tiết </w:t>
      </w:r>
      <w:r w:rsidRPr="00CA44C5">
        <w:rPr>
          <w:i/>
        </w:rPr>
        <w:t xml:space="preserve">theo </w:t>
      </w:r>
      <w:r w:rsidR="00CA44C5" w:rsidRPr="00CA44C5">
        <w:rPr>
          <w:i/>
        </w:rPr>
        <w:t>Phụ lục số 02 ban hành kèm theo)</w:t>
      </w:r>
    </w:p>
    <w:p w:rsidR="00286F14" w:rsidRPr="005375CA" w:rsidRDefault="004D7879" w:rsidP="009F2B57">
      <w:pPr>
        <w:spacing w:after="60"/>
        <w:ind w:firstLine="720"/>
        <w:jc w:val="both"/>
      </w:pPr>
      <w:r w:rsidRPr="005375CA">
        <w:rPr>
          <w:rFonts w:hint="eastAsia"/>
          <w:b/>
        </w:rPr>
        <w:t>Đ</w:t>
      </w:r>
      <w:r w:rsidRPr="005375CA">
        <w:rPr>
          <w:b/>
        </w:rPr>
        <w:t xml:space="preserve">iều </w:t>
      </w:r>
      <w:r w:rsidR="005F4313">
        <w:rPr>
          <w:b/>
        </w:rPr>
        <w:t>5</w:t>
      </w:r>
      <w:r w:rsidR="009A5F03" w:rsidRPr="005375CA">
        <w:rPr>
          <w:b/>
        </w:rPr>
        <w:t>.</w:t>
      </w:r>
      <w:r w:rsidRPr="005375CA">
        <w:rPr>
          <w:b/>
        </w:rPr>
        <w:t xml:space="preserve"> </w:t>
      </w:r>
      <w:r w:rsidR="005C3858" w:rsidRPr="005375CA">
        <w:rPr>
          <w:b/>
        </w:rPr>
        <w:t>Tổ chức thực hiện</w:t>
      </w:r>
    </w:p>
    <w:p w:rsidR="004D7879" w:rsidRDefault="005375CA" w:rsidP="009F2B57">
      <w:pPr>
        <w:spacing w:after="60"/>
        <w:ind w:firstLine="720"/>
        <w:jc w:val="both"/>
      </w:pPr>
      <w:r>
        <w:t xml:space="preserve">1. </w:t>
      </w:r>
      <w:r w:rsidR="004D7879" w:rsidRPr="005375CA">
        <w:t>Giao Ủy ban nhân dân tỉnh tổ chức</w:t>
      </w:r>
      <w:r w:rsidR="00D64240" w:rsidRPr="005375CA">
        <w:t xml:space="preserve"> triển khai</w:t>
      </w:r>
      <w:r w:rsidR="004D7879" w:rsidRPr="005375CA">
        <w:t xml:space="preserve"> thực hiện Nghị quyết này.</w:t>
      </w:r>
    </w:p>
    <w:p w:rsidR="005375CA" w:rsidRPr="005375CA" w:rsidRDefault="00C10657" w:rsidP="009F2B57">
      <w:pPr>
        <w:spacing w:after="60"/>
        <w:ind w:firstLine="720"/>
        <w:jc w:val="both"/>
      </w:pPr>
      <w:r>
        <w:t xml:space="preserve">2. </w:t>
      </w:r>
      <w:r w:rsidR="000E689C">
        <w:t>Th</w:t>
      </w:r>
      <w:r w:rsidR="006A3AF8">
        <w:t>ường trực Hội đồng nhân dân</w:t>
      </w:r>
      <w:r w:rsidR="000E689C">
        <w:t xml:space="preserve">, </w:t>
      </w:r>
      <w:r w:rsidR="006A3AF8">
        <w:t>các Ban</w:t>
      </w:r>
      <w:r w:rsidR="00B82772">
        <w:t xml:space="preserve"> của</w:t>
      </w:r>
      <w:r w:rsidR="006A3AF8">
        <w:t xml:space="preserve"> Hội đồng nhân dân</w:t>
      </w:r>
      <w:r w:rsidR="00556B90">
        <w:t>, các tổ đại biểu Hội đồng nhân dân tỉnh</w:t>
      </w:r>
      <w:r w:rsidR="006A3AF8">
        <w:t xml:space="preserve"> và đại biểu Hội đồng nhân dân tỉnh giám sát</w:t>
      </w:r>
      <w:r w:rsidR="00556B90">
        <w:t xml:space="preserve"> việc</w:t>
      </w:r>
      <w:r w:rsidR="006A3AF8">
        <w:t xml:space="preserve"> thực hiện Nghị quyết.</w:t>
      </w:r>
    </w:p>
    <w:p w:rsidR="00E60AD5" w:rsidRDefault="002B6991" w:rsidP="009F2B57">
      <w:pPr>
        <w:spacing w:after="60"/>
        <w:ind w:firstLine="720"/>
        <w:jc w:val="both"/>
        <w:rPr>
          <w:lang w:val="es-ES_tradnl"/>
        </w:rPr>
      </w:pPr>
      <w:r w:rsidRPr="005375CA">
        <w:rPr>
          <w:lang w:val="es-ES_tradnl"/>
        </w:rPr>
        <w:t xml:space="preserve">Nghị quyết này đã được Hội đồng nhân dân tỉnh Hà Tĩnh Khóa </w:t>
      </w:r>
      <w:r w:rsidR="00062324" w:rsidRPr="00062324">
        <w:rPr>
          <w:lang w:val="es-ES_tradnl"/>
        </w:rPr>
        <w:t>XVIII</w:t>
      </w:r>
      <w:r w:rsidRPr="005375CA">
        <w:rPr>
          <w:lang w:val="es-ES_tradnl"/>
        </w:rPr>
        <w:t xml:space="preserve">, Kỳ họp thứ </w:t>
      </w:r>
      <w:r w:rsidR="003D164E">
        <w:rPr>
          <w:lang w:val="es-ES_tradnl"/>
        </w:rPr>
        <w:t>4</w:t>
      </w:r>
      <w:r w:rsidRPr="005375CA">
        <w:rPr>
          <w:lang w:val="es-ES_tradnl"/>
        </w:rPr>
        <w:t xml:space="preserve"> thông qua</w:t>
      </w:r>
      <w:r w:rsidR="00AC2AE3" w:rsidRPr="005375CA">
        <w:rPr>
          <w:lang w:val="es-ES_tradnl"/>
        </w:rPr>
        <w:t xml:space="preserve"> ngày </w:t>
      </w:r>
      <w:r w:rsidR="007C1441">
        <w:rPr>
          <w:lang w:val="es-ES_tradnl"/>
        </w:rPr>
        <w:t xml:space="preserve">    </w:t>
      </w:r>
      <w:r w:rsidR="00BA407B">
        <w:rPr>
          <w:lang w:val="es-ES_tradnl"/>
        </w:rPr>
        <w:t xml:space="preserve"> </w:t>
      </w:r>
      <w:r w:rsidR="00DE6292">
        <w:rPr>
          <w:lang w:val="es-ES_tradnl"/>
        </w:rPr>
        <w:t xml:space="preserve"> </w:t>
      </w:r>
      <w:r w:rsidR="00AC2AE3" w:rsidRPr="005375CA">
        <w:rPr>
          <w:lang w:val="es-ES_tradnl"/>
        </w:rPr>
        <w:t>tháng 12 năm 20</w:t>
      </w:r>
      <w:r w:rsidR="007C1441">
        <w:rPr>
          <w:lang w:val="es-ES_tradnl"/>
        </w:rPr>
        <w:t>21</w:t>
      </w:r>
      <w:r w:rsidR="00AC2AE3" w:rsidRPr="005375CA">
        <w:rPr>
          <w:lang w:val="es-ES_tradnl"/>
        </w:rPr>
        <w:t xml:space="preserve"> và có hiệu lực từ ngày</w:t>
      </w:r>
      <w:r w:rsidR="00BA407B">
        <w:rPr>
          <w:lang w:val="es-ES_tradnl"/>
        </w:rPr>
        <w:t xml:space="preserve"> 01</w:t>
      </w:r>
      <w:r w:rsidR="00AC2AE3" w:rsidRPr="005375CA">
        <w:rPr>
          <w:lang w:val="es-ES_tradnl"/>
        </w:rPr>
        <w:t xml:space="preserve"> tháng </w:t>
      </w:r>
      <w:r w:rsidR="00BA407B">
        <w:rPr>
          <w:lang w:val="es-ES_tradnl"/>
        </w:rPr>
        <w:t>01</w:t>
      </w:r>
      <w:r w:rsidR="00AC2AE3" w:rsidRPr="005375CA">
        <w:rPr>
          <w:lang w:val="es-ES_tradnl"/>
        </w:rPr>
        <w:t xml:space="preserve"> năm 20</w:t>
      </w:r>
      <w:r w:rsidR="007C1441">
        <w:rPr>
          <w:lang w:val="es-ES_tradnl"/>
        </w:rPr>
        <w:t>22</w:t>
      </w:r>
      <w:r w:rsidRPr="005375CA">
        <w:rPr>
          <w:lang w:val="es-ES_tradnl"/>
        </w:rPr>
        <w:t xml:space="preserve">./. </w:t>
      </w:r>
    </w:p>
    <w:p w:rsidR="00E27C1B" w:rsidRPr="009F2B57" w:rsidRDefault="00E27C1B" w:rsidP="009F2B57">
      <w:pPr>
        <w:spacing w:after="60"/>
        <w:ind w:firstLine="720"/>
        <w:jc w:val="both"/>
        <w:rPr>
          <w:lang w:val="es-ES_tradnl"/>
        </w:rPr>
      </w:pPr>
    </w:p>
    <w:tbl>
      <w:tblPr>
        <w:tblW w:w="9458" w:type="dxa"/>
        <w:tblLook w:val="00A0" w:firstRow="1" w:lastRow="0" w:firstColumn="1" w:lastColumn="0" w:noHBand="0" w:noVBand="0"/>
      </w:tblPr>
      <w:tblGrid>
        <w:gridCol w:w="4788"/>
        <w:gridCol w:w="4670"/>
      </w:tblGrid>
      <w:tr w:rsidR="00E60AD5" w:rsidRPr="00012305" w:rsidTr="009F2B57">
        <w:trPr>
          <w:trHeight w:val="5327"/>
        </w:trPr>
        <w:tc>
          <w:tcPr>
            <w:tcW w:w="4788" w:type="dxa"/>
          </w:tcPr>
          <w:p w:rsidR="00E60AD5" w:rsidRPr="00C239C1" w:rsidRDefault="00E60AD5" w:rsidP="00D5683D">
            <w:pPr>
              <w:rPr>
                <w:b/>
                <w:i/>
                <w:noProof/>
                <w:sz w:val="22"/>
                <w:lang w:val="vi-VN" w:eastAsia="en-GB"/>
              </w:rPr>
            </w:pPr>
            <w:r w:rsidRPr="00C239C1">
              <w:rPr>
                <w:b/>
                <w:i/>
                <w:noProof/>
                <w:sz w:val="22"/>
                <w:lang w:val="vi-VN" w:eastAsia="en-GB"/>
              </w:rPr>
              <w:t>Nơi nhận:</w:t>
            </w:r>
          </w:p>
          <w:p w:rsidR="00E60AD5" w:rsidRPr="00C239C1" w:rsidRDefault="00E60AD5" w:rsidP="00D5683D">
            <w:pPr>
              <w:rPr>
                <w:noProof/>
                <w:sz w:val="22"/>
                <w:lang w:val="vi-VN" w:eastAsia="en-GB"/>
              </w:rPr>
            </w:pPr>
            <w:r w:rsidRPr="00C239C1">
              <w:rPr>
                <w:noProof/>
                <w:sz w:val="22"/>
                <w:lang w:val="vi-VN" w:eastAsia="en-GB"/>
              </w:rPr>
              <w:t>- Ủy ban Thường vụ Quốc hội;</w:t>
            </w:r>
          </w:p>
          <w:p w:rsidR="00E60AD5" w:rsidRPr="00C239C1" w:rsidRDefault="00E60AD5" w:rsidP="00D5683D">
            <w:pPr>
              <w:rPr>
                <w:noProof/>
                <w:sz w:val="22"/>
                <w:lang w:val="vi-VN" w:eastAsia="en-GB"/>
              </w:rPr>
            </w:pPr>
            <w:r w:rsidRPr="00C239C1">
              <w:rPr>
                <w:noProof/>
                <w:sz w:val="22"/>
                <w:lang w:val="vi-VN" w:eastAsia="en-GB"/>
              </w:rPr>
              <w:t>- Ban Công tác đại biểu UBTVQH;</w:t>
            </w:r>
          </w:p>
          <w:p w:rsidR="00E60AD5" w:rsidRPr="00C239C1" w:rsidRDefault="00E60AD5" w:rsidP="00D5683D">
            <w:pPr>
              <w:rPr>
                <w:noProof/>
                <w:sz w:val="22"/>
                <w:lang w:val="vi-VN" w:eastAsia="en-GB"/>
              </w:rPr>
            </w:pPr>
            <w:r w:rsidRPr="00C239C1">
              <w:rPr>
                <w:noProof/>
                <w:sz w:val="22"/>
                <w:lang w:val="vi-VN" w:eastAsia="en-GB"/>
              </w:rPr>
              <w:t xml:space="preserve">- Văn phòng Quốc hội; </w:t>
            </w:r>
          </w:p>
          <w:p w:rsidR="00E60AD5" w:rsidRPr="00C239C1" w:rsidRDefault="00E60AD5" w:rsidP="00D5683D">
            <w:pPr>
              <w:rPr>
                <w:noProof/>
                <w:sz w:val="22"/>
                <w:lang w:val="vi-VN" w:eastAsia="en-GB"/>
              </w:rPr>
            </w:pPr>
            <w:r w:rsidRPr="00C239C1">
              <w:rPr>
                <w:noProof/>
                <w:sz w:val="22"/>
                <w:lang w:val="vi-VN" w:eastAsia="en-GB"/>
              </w:rPr>
              <w:t>- Văn phòng Chủ tịch nước;</w:t>
            </w:r>
          </w:p>
          <w:p w:rsidR="00E60AD5" w:rsidRPr="00C239C1" w:rsidRDefault="00E60AD5" w:rsidP="00D5683D">
            <w:pPr>
              <w:rPr>
                <w:noProof/>
                <w:sz w:val="22"/>
                <w:lang w:val="vi-VN" w:eastAsia="en-GB"/>
              </w:rPr>
            </w:pPr>
            <w:r w:rsidRPr="00C239C1">
              <w:rPr>
                <w:noProof/>
                <w:sz w:val="22"/>
                <w:lang w:val="vi-VN" w:eastAsia="en-GB"/>
              </w:rPr>
              <w:t>- Văn phòng Chính phủ, Website Chính phủ;</w:t>
            </w:r>
          </w:p>
          <w:p w:rsidR="00E60AD5" w:rsidRPr="00C239C1" w:rsidRDefault="00E60AD5" w:rsidP="00D5683D">
            <w:pPr>
              <w:rPr>
                <w:noProof/>
                <w:sz w:val="22"/>
                <w:lang w:val="vi-VN" w:eastAsia="en-GB"/>
              </w:rPr>
            </w:pPr>
            <w:r w:rsidRPr="00C239C1">
              <w:rPr>
                <w:noProof/>
                <w:sz w:val="22"/>
                <w:lang w:val="vi-VN" w:eastAsia="en-GB"/>
              </w:rPr>
              <w:t>- Kiểm toán nhà nước khu vực II;</w:t>
            </w:r>
          </w:p>
          <w:p w:rsidR="00E60AD5" w:rsidRPr="00C239C1" w:rsidRDefault="00E60AD5" w:rsidP="00D5683D">
            <w:pPr>
              <w:rPr>
                <w:noProof/>
                <w:sz w:val="22"/>
                <w:lang w:val="vi-VN" w:eastAsia="en-GB"/>
              </w:rPr>
            </w:pPr>
            <w:r w:rsidRPr="00C239C1">
              <w:rPr>
                <w:noProof/>
                <w:sz w:val="22"/>
                <w:lang w:val="vi-VN" w:eastAsia="en-GB"/>
              </w:rPr>
              <w:t>- Bộ Tài chính;</w:t>
            </w:r>
          </w:p>
          <w:p w:rsidR="00E60AD5" w:rsidRPr="00C239C1" w:rsidRDefault="00E60AD5" w:rsidP="00D5683D">
            <w:pPr>
              <w:rPr>
                <w:noProof/>
                <w:sz w:val="22"/>
                <w:lang w:val="vi-VN" w:eastAsia="en-GB"/>
              </w:rPr>
            </w:pPr>
            <w:r w:rsidRPr="00C239C1">
              <w:rPr>
                <w:noProof/>
                <w:sz w:val="22"/>
                <w:lang w:val="vi-VN" w:eastAsia="en-GB"/>
              </w:rPr>
              <w:t>- Bộ Tư lệnh Quân khu IV;</w:t>
            </w:r>
          </w:p>
          <w:p w:rsidR="00E60AD5" w:rsidRPr="00C239C1" w:rsidRDefault="00E60AD5" w:rsidP="00D5683D">
            <w:pPr>
              <w:rPr>
                <w:noProof/>
                <w:sz w:val="22"/>
                <w:lang w:val="vi-VN" w:eastAsia="en-GB"/>
              </w:rPr>
            </w:pPr>
            <w:r w:rsidRPr="00C239C1">
              <w:rPr>
                <w:noProof/>
                <w:sz w:val="22"/>
                <w:lang w:val="vi-VN" w:eastAsia="en-GB"/>
              </w:rPr>
              <w:t>- Cục kiểm tra văn bản</w:t>
            </w:r>
            <w:r w:rsidR="003649C7">
              <w:rPr>
                <w:noProof/>
                <w:sz w:val="22"/>
                <w:lang w:eastAsia="en-GB"/>
              </w:rPr>
              <w:t xml:space="preserve"> QPPL</w:t>
            </w:r>
            <w:r w:rsidRPr="00C239C1">
              <w:rPr>
                <w:noProof/>
                <w:sz w:val="22"/>
                <w:lang w:val="vi-VN" w:eastAsia="en-GB"/>
              </w:rPr>
              <w:t xml:space="preserve"> - Bộ Tư pháp;</w:t>
            </w:r>
          </w:p>
          <w:p w:rsidR="00E60AD5" w:rsidRPr="00C239C1" w:rsidRDefault="00E60AD5" w:rsidP="00D5683D">
            <w:pPr>
              <w:rPr>
                <w:noProof/>
                <w:sz w:val="22"/>
                <w:lang w:val="vi-VN" w:eastAsia="en-GB"/>
              </w:rPr>
            </w:pPr>
            <w:r w:rsidRPr="00C239C1">
              <w:rPr>
                <w:noProof/>
                <w:sz w:val="22"/>
                <w:lang w:val="vi-VN" w:eastAsia="en-GB"/>
              </w:rPr>
              <w:t>- TT Tỉnh uỷ, HĐND, UBND, UBMTTQ tỉnh;</w:t>
            </w:r>
          </w:p>
          <w:p w:rsidR="00E60AD5" w:rsidRPr="00C239C1" w:rsidRDefault="00E60AD5" w:rsidP="00D5683D">
            <w:pPr>
              <w:rPr>
                <w:noProof/>
                <w:sz w:val="22"/>
                <w:lang w:val="vi-VN" w:eastAsia="en-GB"/>
              </w:rPr>
            </w:pPr>
            <w:r w:rsidRPr="00C239C1">
              <w:rPr>
                <w:noProof/>
                <w:sz w:val="22"/>
                <w:lang w:val="vi-VN" w:eastAsia="en-GB"/>
              </w:rPr>
              <w:t>- Đại biểu Quốc hội đoàn Hà Tĩnh;</w:t>
            </w:r>
          </w:p>
          <w:p w:rsidR="00E60AD5" w:rsidRPr="00C239C1" w:rsidRDefault="00E60AD5" w:rsidP="00D5683D">
            <w:pPr>
              <w:rPr>
                <w:noProof/>
                <w:sz w:val="22"/>
                <w:lang w:val="vi-VN" w:eastAsia="en-GB"/>
              </w:rPr>
            </w:pPr>
            <w:r w:rsidRPr="00C239C1">
              <w:rPr>
                <w:noProof/>
                <w:sz w:val="22"/>
                <w:lang w:val="vi-VN" w:eastAsia="en-GB"/>
              </w:rPr>
              <w:t>- Đại biểu HĐND tỉnh;</w:t>
            </w:r>
          </w:p>
          <w:p w:rsidR="00E60AD5" w:rsidRPr="00C239C1" w:rsidRDefault="00E60AD5" w:rsidP="00D5683D">
            <w:pPr>
              <w:rPr>
                <w:noProof/>
                <w:sz w:val="22"/>
                <w:lang w:val="vi-VN" w:eastAsia="en-GB"/>
              </w:rPr>
            </w:pPr>
            <w:r w:rsidRPr="00C239C1">
              <w:rPr>
                <w:noProof/>
                <w:sz w:val="22"/>
                <w:lang w:val="vi-VN" w:eastAsia="en-GB"/>
              </w:rPr>
              <w:t>- Văn phòng Tỉnh uỷ;</w:t>
            </w:r>
          </w:p>
          <w:p w:rsidR="00E60AD5" w:rsidRPr="00C239C1" w:rsidRDefault="00E60AD5" w:rsidP="00D5683D">
            <w:pPr>
              <w:rPr>
                <w:noProof/>
                <w:sz w:val="22"/>
                <w:lang w:val="vi-VN" w:eastAsia="en-GB"/>
              </w:rPr>
            </w:pPr>
            <w:r w:rsidRPr="00C239C1">
              <w:rPr>
                <w:noProof/>
                <w:sz w:val="22"/>
                <w:lang w:val="vi-VN" w:eastAsia="en-GB"/>
              </w:rPr>
              <w:t>- Văn phòng Đoàn ĐBQH tỉnh;</w:t>
            </w:r>
          </w:p>
          <w:p w:rsidR="00E60AD5" w:rsidRPr="00C239C1" w:rsidRDefault="00E60AD5" w:rsidP="00D5683D">
            <w:pPr>
              <w:rPr>
                <w:noProof/>
                <w:sz w:val="22"/>
                <w:lang w:val="vi-VN" w:eastAsia="en-GB"/>
              </w:rPr>
            </w:pPr>
            <w:r w:rsidRPr="00C239C1">
              <w:rPr>
                <w:noProof/>
                <w:sz w:val="22"/>
                <w:lang w:val="vi-VN" w:eastAsia="en-GB"/>
              </w:rPr>
              <w:t>- Văn phòng HĐND tỉnh;</w:t>
            </w:r>
          </w:p>
          <w:p w:rsidR="00E60AD5" w:rsidRPr="00C239C1" w:rsidRDefault="00E60AD5" w:rsidP="00D5683D">
            <w:pPr>
              <w:rPr>
                <w:noProof/>
                <w:sz w:val="22"/>
                <w:lang w:val="vi-VN" w:eastAsia="en-GB"/>
              </w:rPr>
            </w:pPr>
            <w:r w:rsidRPr="00C239C1">
              <w:rPr>
                <w:noProof/>
                <w:sz w:val="22"/>
                <w:lang w:val="vi-VN" w:eastAsia="en-GB"/>
              </w:rPr>
              <w:t>- Văn phòng UBND tỉnh;</w:t>
            </w:r>
          </w:p>
          <w:p w:rsidR="00E60AD5" w:rsidRPr="00C239C1" w:rsidRDefault="00E60AD5" w:rsidP="00D5683D">
            <w:pPr>
              <w:rPr>
                <w:noProof/>
                <w:sz w:val="22"/>
                <w:lang w:val="vi-VN" w:eastAsia="en-GB"/>
              </w:rPr>
            </w:pPr>
            <w:r w:rsidRPr="00C239C1">
              <w:rPr>
                <w:noProof/>
                <w:sz w:val="22"/>
                <w:lang w:val="vi-VN" w:eastAsia="en-GB"/>
              </w:rPr>
              <w:t>- Các sở, ban, ngành, đoàn thể cấp tỉnh;</w:t>
            </w:r>
          </w:p>
          <w:p w:rsidR="00E60AD5" w:rsidRPr="00C239C1" w:rsidRDefault="00E60AD5" w:rsidP="00D5683D">
            <w:pPr>
              <w:rPr>
                <w:noProof/>
                <w:sz w:val="22"/>
                <w:lang w:val="vi-VN" w:eastAsia="en-GB"/>
              </w:rPr>
            </w:pPr>
            <w:r w:rsidRPr="00C239C1">
              <w:rPr>
                <w:noProof/>
                <w:sz w:val="22"/>
                <w:lang w:val="vi-VN" w:eastAsia="en-GB"/>
              </w:rPr>
              <w:t>- TT HĐND, UBND các huyện, thành phố, thị xã;</w:t>
            </w:r>
          </w:p>
          <w:p w:rsidR="00E60AD5" w:rsidRPr="00C239C1" w:rsidRDefault="00E60AD5" w:rsidP="00D5683D">
            <w:pPr>
              <w:rPr>
                <w:noProof/>
                <w:sz w:val="22"/>
                <w:lang w:val="vi-VN" w:eastAsia="en-GB"/>
              </w:rPr>
            </w:pPr>
            <w:r w:rsidRPr="00C239C1">
              <w:rPr>
                <w:noProof/>
                <w:sz w:val="22"/>
                <w:lang w:val="vi-VN" w:eastAsia="en-GB"/>
              </w:rPr>
              <w:t>- Trung tâm Công báo - tin học tỉnh;</w:t>
            </w:r>
          </w:p>
          <w:p w:rsidR="00E60AD5" w:rsidRPr="00C239C1" w:rsidRDefault="00E60AD5" w:rsidP="00D5683D">
            <w:pPr>
              <w:rPr>
                <w:noProof/>
                <w:sz w:val="22"/>
                <w:lang w:val="vi-VN"/>
              </w:rPr>
            </w:pPr>
            <w:r w:rsidRPr="00C239C1">
              <w:rPr>
                <w:noProof/>
                <w:sz w:val="22"/>
                <w:lang w:val="vi-VN"/>
              </w:rPr>
              <w:t xml:space="preserve">- </w:t>
            </w:r>
            <w:r w:rsidR="003649C7">
              <w:rPr>
                <w:noProof/>
                <w:sz w:val="22"/>
              </w:rPr>
              <w:t>Cổng</w:t>
            </w:r>
            <w:r w:rsidRPr="00C239C1">
              <w:rPr>
                <w:noProof/>
                <w:sz w:val="22"/>
                <w:lang w:val="vi-VN"/>
              </w:rPr>
              <w:t xml:space="preserve"> thông tin điện tử tỉnh;</w:t>
            </w:r>
          </w:p>
          <w:p w:rsidR="00E60AD5" w:rsidRPr="00C239C1" w:rsidRDefault="00E60AD5" w:rsidP="00D5683D">
            <w:pPr>
              <w:rPr>
                <w:noProof/>
                <w:sz w:val="22"/>
                <w:lang w:eastAsia="en-GB"/>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0" w:type="dxa"/>
          </w:tcPr>
          <w:p w:rsidR="00E60AD5" w:rsidRPr="00012305" w:rsidRDefault="00E60AD5" w:rsidP="00D5683D">
            <w:pPr>
              <w:jc w:val="center"/>
              <w:rPr>
                <w:b/>
                <w:noProof/>
                <w:lang w:val="vi-VN" w:eastAsia="en-GB"/>
              </w:rPr>
            </w:pPr>
            <w:r w:rsidRPr="00012305">
              <w:rPr>
                <w:b/>
                <w:noProof/>
                <w:lang w:val="vi-VN" w:eastAsia="en-GB"/>
              </w:rPr>
              <w:t>CHỦ TỊCH</w:t>
            </w:r>
          </w:p>
          <w:p w:rsidR="00E60AD5" w:rsidRPr="00012305" w:rsidRDefault="00E60AD5" w:rsidP="00D5683D">
            <w:pPr>
              <w:jc w:val="center"/>
              <w:rPr>
                <w:b/>
                <w:noProof/>
                <w:lang w:val="vi-VN" w:eastAsia="en-GB"/>
              </w:rPr>
            </w:pPr>
          </w:p>
          <w:p w:rsidR="00E60AD5" w:rsidRPr="00012305" w:rsidRDefault="00E60AD5" w:rsidP="00D5683D">
            <w:pPr>
              <w:jc w:val="center"/>
              <w:rPr>
                <w:b/>
                <w:noProof/>
                <w:lang w:val="vi-VN" w:eastAsia="en-GB"/>
              </w:rPr>
            </w:pPr>
          </w:p>
          <w:p w:rsidR="00E60AD5" w:rsidRDefault="00E60AD5" w:rsidP="00D5683D">
            <w:pPr>
              <w:jc w:val="center"/>
              <w:rPr>
                <w:b/>
                <w:noProof/>
                <w:lang w:eastAsia="en-GB"/>
              </w:rPr>
            </w:pPr>
          </w:p>
          <w:p w:rsidR="00CB727C" w:rsidRPr="00CB727C" w:rsidRDefault="00CB727C" w:rsidP="00D5683D">
            <w:pPr>
              <w:jc w:val="center"/>
              <w:rPr>
                <w:b/>
                <w:noProof/>
                <w:lang w:eastAsia="en-GB"/>
              </w:rPr>
            </w:pPr>
          </w:p>
          <w:p w:rsidR="00E60AD5" w:rsidRPr="00012305" w:rsidRDefault="00E60AD5" w:rsidP="00D5683D">
            <w:pPr>
              <w:jc w:val="center"/>
              <w:rPr>
                <w:b/>
                <w:noProof/>
                <w:lang w:val="vi-VN" w:eastAsia="en-GB"/>
              </w:rPr>
            </w:pPr>
          </w:p>
          <w:p w:rsidR="00E60AD5" w:rsidRPr="00012305" w:rsidRDefault="00E60AD5" w:rsidP="00D5683D">
            <w:pPr>
              <w:jc w:val="center"/>
              <w:rPr>
                <w:b/>
                <w:noProof/>
                <w:lang w:eastAsia="en-GB"/>
              </w:rPr>
            </w:pPr>
          </w:p>
          <w:p w:rsidR="00E60AD5" w:rsidRPr="00012305" w:rsidRDefault="00E60AD5" w:rsidP="00D5683D">
            <w:pPr>
              <w:jc w:val="center"/>
              <w:rPr>
                <w:b/>
                <w:noProof/>
                <w:lang w:val="en-GB" w:eastAsia="en-GB"/>
              </w:rPr>
            </w:pPr>
          </w:p>
          <w:p w:rsidR="00E60AD5" w:rsidRPr="00C0596F" w:rsidRDefault="0024610D" w:rsidP="00D5683D">
            <w:pPr>
              <w:jc w:val="center"/>
              <w:rPr>
                <w:b/>
                <w:noProof/>
                <w:lang w:eastAsia="en-GB"/>
              </w:rPr>
            </w:pPr>
            <w:r>
              <w:rPr>
                <w:b/>
                <w:noProof/>
                <w:lang w:eastAsia="en-GB"/>
              </w:rPr>
              <w:t>Hoàng Trung Dũng</w:t>
            </w:r>
          </w:p>
        </w:tc>
      </w:tr>
    </w:tbl>
    <w:p w:rsidR="00ED5717" w:rsidRPr="009F2B57" w:rsidRDefault="002B6991" w:rsidP="009F2B57">
      <w:pPr>
        <w:spacing w:before="120"/>
        <w:jc w:val="both"/>
        <w:rPr>
          <w:sz w:val="2"/>
          <w:szCs w:val="2"/>
          <w:lang w:val="vi-VN"/>
        </w:rPr>
      </w:pPr>
      <w:r>
        <w:rPr>
          <w:lang w:val="es-ES_tradnl"/>
        </w:rPr>
        <w:t xml:space="preserve"> </w:t>
      </w:r>
      <w:r w:rsidRPr="003137A1">
        <w:rPr>
          <w:lang w:val="pt-BR"/>
        </w:rPr>
        <w:t xml:space="preserve"> </w:t>
      </w:r>
    </w:p>
    <w:sectPr w:rsidR="00ED5717" w:rsidRPr="009F2B57" w:rsidSect="009F2B57">
      <w:headerReference w:type="even" r:id="rId8"/>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60" w:rsidRDefault="002D7960">
      <w:r>
        <w:separator/>
      </w:r>
    </w:p>
  </w:endnote>
  <w:endnote w:type="continuationSeparator" w:id="0">
    <w:p w:rsidR="002D7960" w:rsidRDefault="002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60" w:rsidRDefault="002D7960">
      <w:r>
        <w:separator/>
      </w:r>
    </w:p>
  </w:footnote>
  <w:footnote w:type="continuationSeparator" w:id="0">
    <w:p w:rsidR="002D7960" w:rsidRDefault="002D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75" w:rsidRDefault="00844375" w:rsidP="00FB65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375" w:rsidRDefault="00844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2315"/>
      <w:docPartObj>
        <w:docPartGallery w:val="Page Numbers (Top of Page)"/>
        <w:docPartUnique/>
      </w:docPartObj>
    </w:sdtPr>
    <w:sdtEndPr>
      <w:rPr>
        <w:noProof/>
      </w:rPr>
    </w:sdtEndPr>
    <w:sdtContent>
      <w:p w:rsidR="006C0AD4" w:rsidRDefault="006C0AD4">
        <w:pPr>
          <w:pStyle w:val="Header"/>
          <w:jc w:val="center"/>
        </w:pPr>
        <w:r>
          <w:fldChar w:fldCharType="begin"/>
        </w:r>
        <w:r>
          <w:instrText xml:space="preserve"> PAGE   \* MERGEFORMAT </w:instrText>
        </w:r>
        <w:r>
          <w:fldChar w:fldCharType="separate"/>
        </w:r>
        <w:r w:rsidR="00385241">
          <w:rPr>
            <w:noProof/>
          </w:rPr>
          <w:t>2</w:t>
        </w:r>
        <w:r>
          <w:rPr>
            <w:noProof/>
          </w:rPr>
          <w:fldChar w:fldCharType="end"/>
        </w:r>
      </w:p>
    </w:sdtContent>
  </w:sdt>
  <w:p w:rsidR="006C0AD4" w:rsidRDefault="006C0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17"/>
    <w:rsid w:val="00000A18"/>
    <w:rsid w:val="00003610"/>
    <w:rsid w:val="00021CA1"/>
    <w:rsid w:val="00027C96"/>
    <w:rsid w:val="000345E3"/>
    <w:rsid w:val="000376CD"/>
    <w:rsid w:val="0003781F"/>
    <w:rsid w:val="0005183F"/>
    <w:rsid w:val="00062324"/>
    <w:rsid w:val="00074242"/>
    <w:rsid w:val="00077E11"/>
    <w:rsid w:val="000A05A3"/>
    <w:rsid w:val="000C3D81"/>
    <w:rsid w:val="000D3282"/>
    <w:rsid w:val="000D5628"/>
    <w:rsid w:val="000D785E"/>
    <w:rsid w:val="000E01AD"/>
    <w:rsid w:val="000E689C"/>
    <w:rsid w:val="00105EFC"/>
    <w:rsid w:val="0016264D"/>
    <w:rsid w:val="00175542"/>
    <w:rsid w:val="00184966"/>
    <w:rsid w:val="001B6E76"/>
    <w:rsid w:val="001C4EDB"/>
    <w:rsid w:val="001E4DA9"/>
    <w:rsid w:val="001F0821"/>
    <w:rsid w:val="001F643E"/>
    <w:rsid w:val="00201DF1"/>
    <w:rsid w:val="0024610D"/>
    <w:rsid w:val="0025383D"/>
    <w:rsid w:val="00260A02"/>
    <w:rsid w:val="00261221"/>
    <w:rsid w:val="00286F14"/>
    <w:rsid w:val="00291DEA"/>
    <w:rsid w:val="002A19A8"/>
    <w:rsid w:val="002A4546"/>
    <w:rsid w:val="002A4A59"/>
    <w:rsid w:val="002B6991"/>
    <w:rsid w:val="002C2D7B"/>
    <w:rsid w:val="002C4CFE"/>
    <w:rsid w:val="002D5738"/>
    <w:rsid w:val="002D6931"/>
    <w:rsid w:val="002D7960"/>
    <w:rsid w:val="002E0A36"/>
    <w:rsid w:val="002F59B1"/>
    <w:rsid w:val="003029DA"/>
    <w:rsid w:val="003561D5"/>
    <w:rsid w:val="003649C7"/>
    <w:rsid w:val="00372B2D"/>
    <w:rsid w:val="00385241"/>
    <w:rsid w:val="003959A8"/>
    <w:rsid w:val="003B2F32"/>
    <w:rsid w:val="003D164E"/>
    <w:rsid w:val="003D6804"/>
    <w:rsid w:val="003E50CF"/>
    <w:rsid w:val="0044682E"/>
    <w:rsid w:val="00454089"/>
    <w:rsid w:val="0046300C"/>
    <w:rsid w:val="00466396"/>
    <w:rsid w:val="00486F8E"/>
    <w:rsid w:val="00496BC0"/>
    <w:rsid w:val="004B129B"/>
    <w:rsid w:val="004B67DB"/>
    <w:rsid w:val="004D3BA5"/>
    <w:rsid w:val="004D7879"/>
    <w:rsid w:val="004E70F4"/>
    <w:rsid w:val="004F5E14"/>
    <w:rsid w:val="005122A0"/>
    <w:rsid w:val="00512303"/>
    <w:rsid w:val="00524090"/>
    <w:rsid w:val="005375CA"/>
    <w:rsid w:val="00556B90"/>
    <w:rsid w:val="00564399"/>
    <w:rsid w:val="00587495"/>
    <w:rsid w:val="0058792D"/>
    <w:rsid w:val="00594C5F"/>
    <w:rsid w:val="005B1725"/>
    <w:rsid w:val="005B6487"/>
    <w:rsid w:val="005C3858"/>
    <w:rsid w:val="005D62AC"/>
    <w:rsid w:val="005D727F"/>
    <w:rsid w:val="005E226B"/>
    <w:rsid w:val="005F4313"/>
    <w:rsid w:val="00613222"/>
    <w:rsid w:val="00634831"/>
    <w:rsid w:val="0066547D"/>
    <w:rsid w:val="006721A6"/>
    <w:rsid w:val="006A3AF8"/>
    <w:rsid w:val="006B0EBE"/>
    <w:rsid w:val="006C0AD4"/>
    <w:rsid w:val="006E4378"/>
    <w:rsid w:val="00706928"/>
    <w:rsid w:val="00707A9C"/>
    <w:rsid w:val="0071023C"/>
    <w:rsid w:val="00721502"/>
    <w:rsid w:val="00721F72"/>
    <w:rsid w:val="00746BB4"/>
    <w:rsid w:val="0077092A"/>
    <w:rsid w:val="007B0835"/>
    <w:rsid w:val="007B5957"/>
    <w:rsid w:val="007C1441"/>
    <w:rsid w:val="007F580A"/>
    <w:rsid w:val="0080550E"/>
    <w:rsid w:val="00844375"/>
    <w:rsid w:val="00845B2D"/>
    <w:rsid w:val="008656E7"/>
    <w:rsid w:val="00872F47"/>
    <w:rsid w:val="008926EF"/>
    <w:rsid w:val="00893CA4"/>
    <w:rsid w:val="00914BD5"/>
    <w:rsid w:val="009248DB"/>
    <w:rsid w:val="00932D18"/>
    <w:rsid w:val="009333FF"/>
    <w:rsid w:val="009471FA"/>
    <w:rsid w:val="00960A00"/>
    <w:rsid w:val="00961DB4"/>
    <w:rsid w:val="00962E93"/>
    <w:rsid w:val="009914EC"/>
    <w:rsid w:val="009A2E7C"/>
    <w:rsid w:val="009A5F03"/>
    <w:rsid w:val="009C6039"/>
    <w:rsid w:val="009D1CF7"/>
    <w:rsid w:val="009F0DEF"/>
    <w:rsid w:val="009F245C"/>
    <w:rsid w:val="009F2B57"/>
    <w:rsid w:val="009F7477"/>
    <w:rsid w:val="009F7FDF"/>
    <w:rsid w:val="00A2186F"/>
    <w:rsid w:val="00A26E5C"/>
    <w:rsid w:val="00A56C36"/>
    <w:rsid w:val="00A9442B"/>
    <w:rsid w:val="00A9627C"/>
    <w:rsid w:val="00AA5EAC"/>
    <w:rsid w:val="00AC2AE3"/>
    <w:rsid w:val="00AC6008"/>
    <w:rsid w:val="00B06328"/>
    <w:rsid w:val="00B07BBA"/>
    <w:rsid w:val="00B33D8F"/>
    <w:rsid w:val="00B463AD"/>
    <w:rsid w:val="00B51CC1"/>
    <w:rsid w:val="00B5245F"/>
    <w:rsid w:val="00B633A5"/>
    <w:rsid w:val="00B64862"/>
    <w:rsid w:val="00B72C54"/>
    <w:rsid w:val="00B8129C"/>
    <w:rsid w:val="00B817F2"/>
    <w:rsid w:val="00B82772"/>
    <w:rsid w:val="00B84286"/>
    <w:rsid w:val="00B85240"/>
    <w:rsid w:val="00B93173"/>
    <w:rsid w:val="00BA407B"/>
    <w:rsid w:val="00BD2900"/>
    <w:rsid w:val="00BE5880"/>
    <w:rsid w:val="00BF1CDC"/>
    <w:rsid w:val="00C10657"/>
    <w:rsid w:val="00C1453E"/>
    <w:rsid w:val="00C239C9"/>
    <w:rsid w:val="00C851B8"/>
    <w:rsid w:val="00CA44C5"/>
    <w:rsid w:val="00CB5747"/>
    <w:rsid w:val="00CB727C"/>
    <w:rsid w:val="00CE4ED6"/>
    <w:rsid w:val="00CF508C"/>
    <w:rsid w:val="00CF5288"/>
    <w:rsid w:val="00D036E8"/>
    <w:rsid w:val="00D13FD4"/>
    <w:rsid w:val="00D154C6"/>
    <w:rsid w:val="00D27AB3"/>
    <w:rsid w:val="00D3022E"/>
    <w:rsid w:val="00D36411"/>
    <w:rsid w:val="00D36853"/>
    <w:rsid w:val="00D50EE9"/>
    <w:rsid w:val="00D55CFD"/>
    <w:rsid w:val="00D625B6"/>
    <w:rsid w:val="00D63526"/>
    <w:rsid w:val="00D64240"/>
    <w:rsid w:val="00D66A37"/>
    <w:rsid w:val="00D826F4"/>
    <w:rsid w:val="00DB1D1D"/>
    <w:rsid w:val="00DC7BF1"/>
    <w:rsid w:val="00DD0481"/>
    <w:rsid w:val="00DD11B8"/>
    <w:rsid w:val="00DD4DF6"/>
    <w:rsid w:val="00DE05AA"/>
    <w:rsid w:val="00DE22EA"/>
    <w:rsid w:val="00DE6292"/>
    <w:rsid w:val="00DF07D3"/>
    <w:rsid w:val="00DF10C8"/>
    <w:rsid w:val="00DF70C2"/>
    <w:rsid w:val="00E20BC9"/>
    <w:rsid w:val="00E219CA"/>
    <w:rsid w:val="00E240C9"/>
    <w:rsid w:val="00E26744"/>
    <w:rsid w:val="00E27C1B"/>
    <w:rsid w:val="00E60AD5"/>
    <w:rsid w:val="00E633E0"/>
    <w:rsid w:val="00E63F09"/>
    <w:rsid w:val="00E7151C"/>
    <w:rsid w:val="00E87557"/>
    <w:rsid w:val="00E9605A"/>
    <w:rsid w:val="00E965A1"/>
    <w:rsid w:val="00EA68AC"/>
    <w:rsid w:val="00EC7AEC"/>
    <w:rsid w:val="00ED5717"/>
    <w:rsid w:val="00EF52EC"/>
    <w:rsid w:val="00EF6207"/>
    <w:rsid w:val="00F143E4"/>
    <w:rsid w:val="00F30592"/>
    <w:rsid w:val="00F32A37"/>
    <w:rsid w:val="00F60292"/>
    <w:rsid w:val="00F7488B"/>
    <w:rsid w:val="00F840D2"/>
    <w:rsid w:val="00F86608"/>
    <w:rsid w:val="00F929BF"/>
    <w:rsid w:val="00F94E1B"/>
    <w:rsid w:val="00F95F00"/>
    <w:rsid w:val="00FA7206"/>
    <w:rsid w:val="00FB65A1"/>
    <w:rsid w:val="00FB71E8"/>
    <w:rsid w:val="00FC0539"/>
    <w:rsid w:val="00FD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71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D5717"/>
    <w:pPr>
      <w:spacing w:after="160" w:line="240" w:lineRule="exact"/>
    </w:pPr>
    <w:rPr>
      <w:rFonts w:ascii="Verdana" w:hAnsi="Verdana"/>
      <w:sz w:val="20"/>
      <w:szCs w:val="20"/>
    </w:rPr>
  </w:style>
  <w:style w:type="paragraph" w:customStyle="1" w:styleId="Char">
    <w:name w:val="Char"/>
    <w:basedOn w:val="Normal"/>
    <w:rsid w:val="002B6991"/>
    <w:pPr>
      <w:spacing w:after="160" w:line="240" w:lineRule="exact"/>
    </w:pPr>
    <w:rPr>
      <w:rFonts w:ascii="Verdana" w:hAnsi="Verdana"/>
      <w:sz w:val="20"/>
      <w:szCs w:val="20"/>
    </w:rPr>
  </w:style>
  <w:style w:type="paragraph" w:styleId="Header">
    <w:name w:val="header"/>
    <w:basedOn w:val="Normal"/>
    <w:link w:val="HeaderChar"/>
    <w:uiPriority w:val="99"/>
    <w:rsid w:val="00844375"/>
    <w:pPr>
      <w:tabs>
        <w:tab w:val="center" w:pos="4320"/>
        <w:tab w:val="right" w:pos="8640"/>
      </w:tabs>
    </w:pPr>
  </w:style>
  <w:style w:type="character" w:styleId="PageNumber">
    <w:name w:val="page number"/>
    <w:basedOn w:val="DefaultParagraphFont"/>
    <w:rsid w:val="00844375"/>
  </w:style>
  <w:style w:type="paragraph" w:styleId="BalloonText">
    <w:name w:val="Balloon Text"/>
    <w:basedOn w:val="Normal"/>
    <w:semiHidden/>
    <w:rsid w:val="00DE05AA"/>
    <w:rPr>
      <w:rFonts w:ascii="Tahoma" w:hAnsi="Tahoma" w:cs="Tahoma"/>
      <w:sz w:val="16"/>
      <w:szCs w:val="16"/>
    </w:rPr>
  </w:style>
  <w:style w:type="paragraph" w:styleId="Footer">
    <w:name w:val="footer"/>
    <w:basedOn w:val="Normal"/>
    <w:link w:val="FooterChar"/>
    <w:uiPriority w:val="99"/>
    <w:rsid w:val="000376CD"/>
    <w:pPr>
      <w:tabs>
        <w:tab w:val="center" w:pos="4680"/>
        <w:tab w:val="right" w:pos="9360"/>
      </w:tabs>
    </w:pPr>
  </w:style>
  <w:style w:type="character" w:customStyle="1" w:styleId="FooterChar">
    <w:name w:val="Footer Char"/>
    <w:link w:val="Footer"/>
    <w:uiPriority w:val="99"/>
    <w:rsid w:val="000376CD"/>
    <w:rPr>
      <w:sz w:val="28"/>
      <w:szCs w:val="28"/>
    </w:rPr>
  </w:style>
  <w:style w:type="paragraph" w:styleId="ListParagraph">
    <w:name w:val="List Paragraph"/>
    <w:basedOn w:val="Normal"/>
    <w:uiPriority w:val="34"/>
    <w:qFormat/>
    <w:rsid w:val="005375CA"/>
    <w:pPr>
      <w:ind w:left="720"/>
      <w:contextualSpacing/>
    </w:pPr>
  </w:style>
  <w:style w:type="character" w:styleId="Hyperlink">
    <w:name w:val="Hyperlink"/>
    <w:basedOn w:val="DefaultParagraphFont"/>
    <w:uiPriority w:val="99"/>
    <w:unhideWhenUsed/>
    <w:rsid w:val="00B84286"/>
    <w:rPr>
      <w:color w:val="0000FF"/>
      <w:u w:val="single"/>
    </w:rPr>
  </w:style>
  <w:style w:type="character" w:customStyle="1" w:styleId="HeaderChar">
    <w:name w:val="Header Char"/>
    <w:basedOn w:val="DefaultParagraphFont"/>
    <w:link w:val="Header"/>
    <w:uiPriority w:val="99"/>
    <w:rsid w:val="006C0AD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71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D5717"/>
    <w:pPr>
      <w:spacing w:after="160" w:line="240" w:lineRule="exact"/>
    </w:pPr>
    <w:rPr>
      <w:rFonts w:ascii="Verdana" w:hAnsi="Verdana"/>
      <w:sz w:val="20"/>
      <w:szCs w:val="20"/>
    </w:rPr>
  </w:style>
  <w:style w:type="paragraph" w:customStyle="1" w:styleId="Char">
    <w:name w:val="Char"/>
    <w:basedOn w:val="Normal"/>
    <w:rsid w:val="002B6991"/>
    <w:pPr>
      <w:spacing w:after="160" w:line="240" w:lineRule="exact"/>
    </w:pPr>
    <w:rPr>
      <w:rFonts w:ascii="Verdana" w:hAnsi="Verdana"/>
      <w:sz w:val="20"/>
      <w:szCs w:val="20"/>
    </w:rPr>
  </w:style>
  <w:style w:type="paragraph" w:styleId="Header">
    <w:name w:val="header"/>
    <w:basedOn w:val="Normal"/>
    <w:link w:val="HeaderChar"/>
    <w:uiPriority w:val="99"/>
    <w:rsid w:val="00844375"/>
    <w:pPr>
      <w:tabs>
        <w:tab w:val="center" w:pos="4320"/>
        <w:tab w:val="right" w:pos="8640"/>
      </w:tabs>
    </w:pPr>
  </w:style>
  <w:style w:type="character" w:styleId="PageNumber">
    <w:name w:val="page number"/>
    <w:basedOn w:val="DefaultParagraphFont"/>
    <w:rsid w:val="00844375"/>
  </w:style>
  <w:style w:type="paragraph" w:styleId="BalloonText">
    <w:name w:val="Balloon Text"/>
    <w:basedOn w:val="Normal"/>
    <w:semiHidden/>
    <w:rsid w:val="00DE05AA"/>
    <w:rPr>
      <w:rFonts w:ascii="Tahoma" w:hAnsi="Tahoma" w:cs="Tahoma"/>
      <w:sz w:val="16"/>
      <w:szCs w:val="16"/>
    </w:rPr>
  </w:style>
  <w:style w:type="paragraph" w:styleId="Footer">
    <w:name w:val="footer"/>
    <w:basedOn w:val="Normal"/>
    <w:link w:val="FooterChar"/>
    <w:uiPriority w:val="99"/>
    <w:rsid w:val="000376CD"/>
    <w:pPr>
      <w:tabs>
        <w:tab w:val="center" w:pos="4680"/>
        <w:tab w:val="right" w:pos="9360"/>
      </w:tabs>
    </w:pPr>
  </w:style>
  <w:style w:type="character" w:customStyle="1" w:styleId="FooterChar">
    <w:name w:val="Footer Char"/>
    <w:link w:val="Footer"/>
    <w:uiPriority w:val="99"/>
    <w:rsid w:val="000376CD"/>
    <w:rPr>
      <w:sz w:val="28"/>
      <w:szCs w:val="28"/>
    </w:rPr>
  </w:style>
  <w:style w:type="paragraph" w:styleId="ListParagraph">
    <w:name w:val="List Paragraph"/>
    <w:basedOn w:val="Normal"/>
    <w:uiPriority w:val="34"/>
    <w:qFormat/>
    <w:rsid w:val="005375CA"/>
    <w:pPr>
      <w:ind w:left="720"/>
      <w:contextualSpacing/>
    </w:pPr>
  </w:style>
  <w:style w:type="character" w:styleId="Hyperlink">
    <w:name w:val="Hyperlink"/>
    <w:basedOn w:val="DefaultParagraphFont"/>
    <w:uiPriority w:val="99"/>
    <w:unhideWhenUsed/>
    <w:rsid w:val="00B84286"/>
    <w:rPr>
      <w:color w:val="0000FF"/>
      <w:u w:val="single"/>
    </w:rPr>
  </w:style>
  <w:style w:type="character" w:customStyle="1" w:styleId="HeaderChar">
    <w:name w:val="Header Char"/>
    <w:basedOn w:val="DefaultParagraphFont"/>
    <w:link w:val="Header"/>
    <w:uiPriority w:val="99"/>
    <w:rsid w:val="006C0AD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D6F2-262D-4D2A-AFD9-74B38E0C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Phòng Ngân Sách - Sở Tài chính</vt:lpstr>
    </vt:vector>
  </TitlesOfParts>
  <Company>TH</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2016-12-08T11:22:00Z</dcterms:created>
  <dc:creator>Canh</dc:creator>
  <cp:lastModifiedBy>Admin</cp:lastModifiedBy>
  <cp:lastPrinted>2021-10-22T09:35:00Z</cp:lastPrinted>
  <dcterms:modified xsi:type="dcterms:W3CDTF">2021-12-14T04:52:00Z</dcterms:modified>
  <cp:revision>119</cp:revision>
  <dc:title>Phòng Tổng hợp - UBND tỉnh Hà Tĩnh</dc:title>
</cp:coreProperties>
</file>