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68"/>
        <w:gridCol w:w="5820"/>
      </w:tblGrid>
      <w:tr w:rsidR="004603F1" w:rsidRPr="004603F1" w:rsidTr="002C72BF">
        <w:trPr>
          <w:trHeight w:val="1258"/>
        </w:trPr>
        <w:tc>
          <w:tcPr>
            <w:tcW w:w="1867" w:type="pct"/>
          </w:tcPr>
          <w:p w:rsidR="004603F1" w:rsidRPr="004603F1" w:rsidRDefault="004603F1" w:rsidP="002C72BF">
            <w:pPr>
              <w:jc w:val="center"/>
              <w:rPr>
                <w:b/>
                <w:sz w:val="28"/>
                <w:szCs w:val="28"/>
                <w:lang w:val="de-DE"/>
              </w:rPr>
            </w:pPr>
            <w:r w:rsidRPr="004603F1">
              <w:rPr>
                <w:b/>
                <w:sz w:val="28"/>
                <w:szCs w:val="28"/>
                <w:lang w:val="de-DE"/>
              </w:rPr>
              <w:t>HỘI ĐỒNG NHÂN DÂN</w:t>
            </w:r>
          </w:p>
          <w:p w:rsidR="004603F1" w:rsidRPr="004603F1" w:rsidRDefault="004603F1" w:rsidP="002C72BF">
            <w:pPr>
              <w:jc w:val="center"/>
              <w:rPr>
                <w:b/>
                <w:bCs/>
                <w:sz w:val="28"/>
                <w:szCs w:val="28"/>
                <w:lang w:val="de-DE"/>
              </w:rPr>
            </w:pPr>
            <w:r w:rsidRPr="004603F1">
              <w:rPr>
                <w:b/>
                <w:bCs/>
                <w:sz w:val="28"/>
                <w:szCs w:val="28"/>
                <w:lang w:val="de-DE"/>
              </w:rPr>
              <w:t>TỈNH HÀ TĨNH</w:t>
            </w:r>
          </w:p>
          <w:p w:rsidR="004603F1" w:rsidRPr="004603F1" w:rsidRDefault="004603F1" w:rsidP="002C72BF">
            <w:pPr>
              <w:jc w:val="center"/>
              <w:rPr>
                <w:sz w:val="28"/>
                <w:szCs w:val="28"/>
                <w:lang w:val="de-DE"/>
              </w:rPr>
            </w:pPr>
            <w:r w:rsidRPr="004603F1">
              <w:rPr>
                <w:rFonts w:ascii=".VnTime" w:hAnsi=".VnTime"/>
                <w:noProof/>
                <w:sz w:val="28"/>
                <w:szCs w:val="28"/>
              </w:rPr>
              <mc:AlternateContent>
                <mc:Choice Requires="wps">
                  <w:drawing>
                    <wp:anchor distT="4294967293" distB="4294967293" distL="114300" distR="114300" simplePos="0" relativeHeight="251661312" behindDoc="0" locked="0" layoutInCell="1" allowOverlap="1" wp14:anchorId="02426A1E" wp14:editId="48EDA6E3">
                      <wp:simplePos x="0" y="0"/>
                      <wp:positionH relativeFrom="column">
                        <wp:posOffset>691515</wp:posOffset>
                      </wp:positionH>
                      <wp:positionV relativeFrom="paragraph">
                        <wp:posOffset>14604</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079D37"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Vm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TRop0&#10;0KKdt0QcWo8qrRQIqC16Cjr1xhUQXqmtDZXSs9qZF02/O6R01RJ14JHv68UASBoykjcpYeMM3Lbv&#10;P2sGMeTodRTt3NguQIIc6Bx7c7n3hp89onCY59Ms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"/>
                  </w:pict>
                </mc:Fallback>
              </mc:AlternateContent>
            </w:r>
          </w:p>
          <w:p w:rsidR="004603F1" w:rsidRPr="004603F1" w:rsidRDefault="004603F1" w:rsidP="002C72BF">
            <w:pPr>
              <w:jc w:val="center"/>
              <w:rPr>
                <w:sz w:val="28"/>
                <w:szCs w:val="28"/>
                <w:lang w:val="vi-VN"/>
              </w:rPr>
            </w:pPr>
            <w:r w:rsidRPr="004603F1">
              <w:rPr>
                <w:sz w:val="28"/>
                <w:szCs w:val="28"/>
              </w:rPr>
              <w:t>Số</w:t>
            </w:r>
            <w:r w:rsidR="002A6C53">
              <w:rPr>
                <w:sz w:val="28"/>
                <w:szCs w:val="28"/>
              </w:rPr>
              <w:t>: 366</w:t>
            </w:r>
            <w:r w:rsidRPr="004603F1">
              <w:rPr>
                <w:sz w:val="28"/>
                <w:szCs w:val="28"/>
              </w:rPr>
              <w:t>/BC-HĐND</w:t>
            </w:r>
          </w:p>
        </w:tc>
        <w:tc>
          <w:tcPr>
            <w:tcW w:w="3133" w:type="pct"/>
          </w:tcPr>
          <w:p w:rsidR="004603F1" w:rsidRPr="004603F1" w:rsidRDefault="004603F1" w:rsidP="002C72BF">
            <w:pPr>
              <w:ind w:hanging="108"/>
              <w:jc w:val="center"/>
              <w:rPr>
                <w:b/>
                <w:bCs/>
                <w:sz w:val="26"/>
                <w:szCs w:val="26"/>
                <w:lang w:val="de-DE"/>
              </w:rPr>
            </w:pPr>
            <w:r w:rsidRPr="004603F1">
              <w:rPr>
                <w:b/>
                <w:bCs/>
                <w:sz w:val="26"/>
                <w:szCs w:val="26"/>
                <w:lang w:val="de-DE"/>
              </w:rPr>
              <w:t>CỘNG HÒA XÃ HỘI CHỦ NGHĨA VIỆT NAM</w:t>
            </w:r>
          </w:p>
          <w:p w:rsidR="004603F1" w:rsidRPr="004603F1" w:rsidRDefault="004603F1" w:rsidP="002C72BF">
            <w:pPr>
              <w:jc w:val="center"/>
              <w:rPr>
                <w:b/>
                <w:bCs/>
                <w:sz w:val="28"/>
                <w:szCs w:val="28"/>
              </w:rPr>
            </w:pPr>
            <w:r w:rsidRPr="004603F1">
              <w:rPr>
                <w:b/>
                <w:bCs/>
                <w:sz w:val="28"/>
                <w:szCs w:val="28"/>
              </w:rPr>
              <w:t xml:space="preserve">Độc lập </w:t>
            </w:r>
            <w:r w:rsidRPr="004603F1">
              <w:rPr>
                <w:bCs/>
                <w:sz w:val="28"/>
                <w:szCs w:val="28"/>
              </w:rPr>
              <w:t>-</w:t>
            </w:r>
            <w:r w:rsidRPr="004603F1">
              <w:rPr>
                <w:b/>
                <w:bCs/>
                <w:sz w:val="28"/>
                <w:szCs w:val="28"/>
              </w:rPr>
              <w:t xml:space="preserve"> Tự do</w:t>
            </w:r>
            <w:r w:rsidRPr="004603F1">
              <w:rPr>
                <w:bCs/>
                <w:sz w:val="28"/>
                <w:szCs w:val="28"/>
              </w:rPr>
              <w:t xml:space="preserve"> -</w:t>
            </w:r>
            <w:r w:rsidRPr="004603F1">
              <w:rPr>
                <w:b/>
                <w:bCs/>
                <w:sz w:val="28"/>
                <w:szCs w:val="28"/>
              </w:rPr>
              <w:t xml:space="preserve"> Hạnh phúc</w:t>
            </w:r>
          </w:p>
          <w:p w:rsidR="004603F1" w:rsidRPr="004603F1" w:rsidRDefault="004603F1" w:rsidP="002C72BF">
            <w:pPr>
              <w:jc w:val="center"/>
              <w:rPr>
                <w:i/>
                <w:sz w:val="28"/>
                <w:szCs w:val="28"/>
              </w:rPr>
            </w:pPr>
            <w:r w:rsidRPr="004603F1">
              <w:rPr>
                <w:rFonts w:ascii=".VnTime" w:hAnsi=".VnTime"/>
                <w:noProof/>
                <w:sz w:val="28"/>
                <w:szCs w:val="28"/>
              </w:rPr>
              <mc:AlternateContent>
                <mc:Choice Requires="wps">
                  <w:drawing>
                    <wp:anchor distT="4294967293" distB="4294967293" distL="114300" distR="114300" simplePos="0" relativeHeight="251662336" behindDoc="0" locked="0" layoutInCell="1" allowOverlap="1" wp14:anchorId="60282FD4" wp14:editId="00BFAEF0">
                      <wp:simplePos x="0" y="0"/>
                      <wp:positionH relativeFrom="column">
                        <wp:posOffset>899160</wp:posOffset>
                      </wp:positionH>
                      <wp:positionV relativeFrom="paragraph">
                        <wp:posOffset>38099</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CDFBEF"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"/>
                  </w:pict>
                </mc:Fallback>
              </mc:AlternateContent>
            </w:r>
          </w:p>
          <w:p w:rsidR="004603F1" w:rsidRPr="004603F1" w:rsidRDefault="002A6C53" w:rsidP="002C72BF">
            <w:pPr>
              <w:jc w:val="center"/>
              <w:rPr>
                <w:sz w:val="28"/>
                <w:szCs w:val="28"/>
              </w:rPr>
            </w:pPr>
            <w:r>
              <w:rPr>
                <w:i/>
                <w:sz w:val="28"/>
                <w:szCs w:val="28"/>
              </w:rPr>
              <w:t xml:space="preserve">Hà Tĩnh, ngày 12 </w:t>
            </w:r>
            <w:bookmarkStart w:id="0" w:name="_GoBack"/>
            <w:bookmarkEnd w:id="0"/>
            <w:r w:rsidR="004603F1" w:rsidRPr="004603F1">
              <w:rPr>
                <w:i/>
                <w:sz w:val="28"/>
                <w:szCs w:val="28"/>
              </w:rPr>
              <w:t>tháng 7 năm 2023</w:t>
            </w:r>
          </w:p>
          <w:p w:rsidR="004603F1" w:rsidRPr="004603F1" w:rsidRDefault="004603F1" w:rsidP="002C72BF">
            <w:pPr>
              <w:jc w:val="center"/>
              <w:rPr>
                <w:i/>
                <w:iCs/>
                <w:sz w:val="28"/>
                <w:szCs w:val="28"/>
                <w:lang w:val="vi-VN"/>
              </w:rPr>
            </w:pPr>
          </w:p>
        </w:tc>
      </w:tr>
    </w:tbl>
    <w:p w:rsidR="00CC002E" w:rsidRDefault="00CC002E"/>
    <w:p w:rsidR="004603F1" w:rsidRPr="00170B27" w:rsidRDefault="004603F1" w:rsidP="00D8452F">
      <w:pPr>
        <w:pStyle w:val="Heading1"/>
        <w:rPr>
          <w:bCs/>
          <w:sz w:val="28"/>
          <w:szCs w:val="28"/>
        </w:rPr>
      </w:pPr>
      <w:r w:rsidRPr="00170B27">
        <w:rPr>
          <w:bCs/>
          <w:sz w:val="28"/>
          <w:szCs w:val="28"/>
        </w:rPr>
        <w:t>BÁO  CÁO</w:t>
      </w:r>
    </w:p>
    <w:p w:rsidR="004603F1" w:rsidRPr="004603F1" w:rsidRDefault="004603F1" w:rsidP="00D8452F">
      <w:pPr>
        <w:jc w:val="center"/>
        <w:rPr>
          <w:b/>
          <w:color w:val="000000" w:themeColor="text1"/>
          <w:sz w:val="28"/>
          <w:szCs w:val="28"/>
        </w:rPr>
      </w:pPr>
      <w:r w:rsidRPr="00170B27">
        <w:rPr>
          <w:b/>
          <w:sz w:val="28"/>
        </w:rPr>
        <w:t xml:space="preserve">Thẩm tra </w:t>
      </w:r>
      <w:r>
        <w:rPr>
          <w:b/>
          <w:sz w:val="28"/>
        </w:rPr>
        <w:t>d</w:t>
      </w:r>
      <w:r w:rsidRPr="00170B27">
        <w:rPr>
          <w:b/>
          <w:sz w:val="28"/>
        </w:rPr>
        <w:t xml:space="preserve">ự thảo </w:t>
      </w:r>
      <w:r w:rsidR="00D8452F">
        <w:rPr>
          <w:b/>
          <w:sz w:val="28"/>
        </w:rPr>
        <w:t>N</w:t>
      </w:r>
      <w:r w:rsidRPr="00170B27">
        <w:rPr>
          <w:b/>
          <w:sz w:val="28"/>
        </w:rPr>
        <w:t xml:space="preserve">ghị quyết </w:t>
      </w:r>
      <w:r w:rsidRPr="00A31686">
        <w:rPr>
          <w:b/>
          <w:color w:val="000000" w:themeColor="text1"/>
          <w:sz w:val="28"/>
          <w:szCs w:val="28"/>
        </w:rPr>
        <w:t>đảm bảo kinh phí cho công tác xây dựng văn bản quy phạm pháp luật và hỗ trợ pháp lý cho doanh nghiệp</w:t>
      </w:r>
    </w:p>
    <w:p w:rsidR="004603F1" w:rsidRDefault="004603F1" w:rsidP="00D8452F">
      <w:pPr>
        <w:ind w:firstLine="720"/>
        <w:jc w:val="center"/>
        <w:rPr>
          <w:sz w:val="28"/>
          <w:szCs w:val="28"/>
        </w:rPr>
      </w:pPr>
      <w:r>
        <w:rPr>
          <w:noProof/>
          <w:sz w:val="28"/>
          <w:szCs w:val="28"/>
        </w:rPr>
        <mc:AlternateContent>
          <mc:Choice Requires="wps">
            <w:drawing>
              <wp:anchor distT="4294967293" distB="4294967293" distL="114300" distR="114300" simplePos="0" relativeHeight="251659264" behindDoc="0" locked="0" layoutInCell="1" allowOverlap="1" wp14:anchorId="54A6D546" wp14:editId="1F50BF17">
                <wp:simplePos x="0" y="0"/>
                <wp:positionH relativeFrom="column">
                  <wp:posOffset>2053590</wp:posOffset>
                </wp:positionH>
                <wp:positionV relativeFrom="paragraph">
                  <wp:posOffset>41910</wp:posOffset>
                </wp:positionV>
                <wp:extent cx="1628775" cy="0"/>
                <wp:effectExtent l="0" t="0" r="95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08386B"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7pt,3.3pt" to="28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DD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"/>
            </w:pict>
          </mc:Fallback>
        </mc:AlternateContent>
      </w:r>
    </w:p>
    <w:p w:rsidR="00D8452F" w:rsidRPr="00D8452F" w:rsidRDefault="00D8452F" w:rsidP="00CA5210">
      <w:pPr>
        <w:spacing w:before="120" w:after="120"/>
        <w:jc w:val="both"/>
        <w:rPr>
          <w:color w:val="000000" w:themeColor="text1"/>
          <w:sz w:val="28"/>
          <w:szCs w:val="28"/>
        </w:rPr>
      </w:pPr>
      <w:r>
        <w:rPr>
          <w:sz w:val="28"/>
          <w:szCs w:val="28"/>
        </w:rPr>
        <w:tab/>
      </w:r>
      <w:r w:rsidR="004603F1" w:rsidRPr="00D8452F">
        <w:rPr>
          <w:sz w:val="28"/>
          <w:szCs w:val="28"/>
          <w:lang w:val="vi-VN"/>
        </w:rPr>
        <w:t xml:space="preserve">Thực hiện sự phân công của Thường trực HĐND tỉnh, </w:t>
      </w:r>
      <w:r w:rsidR="004603F1" w:rsidRPr="00D8452F">
        <w:rPr>
          <w:sz w:val="28"/>
          <w:szCs w:val="28"/>
        </w:rPr>
        <w:t>Ban Pháp chế thẩm tra</w:t>
      </w:r>
      <w:r w:rsidR="004603F1" w:rsidRPr="00D8452F">
        <w:rPr>
          <w:sz w:val="28"/>
          <w:szCs w:val="28"/>
          <w:lang w:val="vi-VN"/>
        </w:rPr>
        <w:t xml:space="preserve"> Tờ trình số </w:t>
      </w:r>
      <w:r w:rsidR="00C26A26">
        <w:rPr>
          <w:sz w:val="28"/>
          <w:szCs w:val="28"/>
        </w:rPr>
        <w:t>260</w:t>
      </w:r>
      <w:r w:rsidR="004603F1" w:rsidRPr="00D8452F">
        <w:rPr>
          <w:sz w:val="28"/>
          <w:szCs w:val="28"/>
          <w:lang w:val="vi-VN"/>
        </w:rPr>
        <w:t xml:space="preserve">/TTr-UBND ngày </w:t>
      </w:r>
      <w:r w:rsidR="00C26A26">
        <w:rPr>
          <w:sz w:val="28"/>
          <w:szCs w:val="28"/>
        </w:rPr>
        <w:t>04 tháng 7 năm 2023</w:t>
      </w:r>
      <w:r w:rsidR="004603F1" w:rsidRPr="00D8452F">
        <w:rPr>
          <w:sz w:val="28"/>
          <w:szCs w:val="28"/>
          <w:lang w:val="vi-VN"/>
        </w:rPr>
        <w:t xml:space="preserve"> của UBND tỉnh và hồ sơ dự thảo </w:t>
      </w:r>
      <w:r w:rsidRPr="00D8452F">
        <w:rPr>
          <w:sz w:val="28"/>
          <w:szCs w:val="28"/>
        </w:rPr>
        <w:t>N</w:t>
      </w:r>
      <w:r w:rsidR="004603F1" w:rsidRPr="00D8452F">
        <w:rPr>
          <w:sz w:val="28"/>
          <w:szCs w:val="28"/>
          <w:lang w:val="vi-VN"/>
        </w:rPr>
        <w:t>ghị quyết</w:t>
      </w:r>
      <w:r w:rsidR="004603F1" w:rsidRPr="00D8452F">
        <w:rPr>
          <w:sz w:val="28"/>
          <w:szCs w:val="28"/>
        </w:rPr>
        <w:t xml:space="preserve"> </w:t>
      </w:r>
      <w:r w:rsidRPr="00D8452F">
        <w:rPr>
          <w:color w:val="000000" w:themeColor="text1"/>
          <w:sz w:val="28"/>
          <w:szCs w:val="28"/>
        </w:rPr>
        <w:t>đảm bảo kinh phí cho công tác xây dựng văn bản quy phạm pháp luật và hỗ trợ pháp lý cho doanh nghiệ</w:t>
      </w:r>
      <w:r w:rsidR="00763F2E">
        <w:rPr>
          <w:color w:val="000000" w:themeColor="text1"/>
          <w:sz w:val="28"/>
          <w:szCs w:val="28"/>
        </w:rPr>
        <w:t xml:space="preserve">p. </w:t>
      </w:r>
      <w:r w:rsidRPr="00D8452F">
        <w:rPr>
          <w:sz w:val="28"/>
          <w:szCs w:val="28"/>
        </w:rPr>
        <w:t xml:space="preserve">Ban Pháp chế Hội đồng nhân dân tỉnh báo cáo kết quả thẩm tra như sau: </w:t>
      </w:r>
    </w:p>
    <w:p w:rsidR="004603F1" w:rsidRDefault="001B526E" w:rsidP="00CA5210">
      <w:pPr>
        <w:spacing w:before="120" w:after="120"/>
        <w:ind w:firstLine="605"/>
        <w:jc w:val="both"/>
        <w:rPr>
          <w:b/>
          <w:sz w:val="28"/>
          <w:szCs w:val="28"/>
        </w:rPr>
      </w:pPr>
      <w:r>
        <w:rPr>
          <w:b/>
          <w:sz w:val="28"/>
          <w:szCs w:val="28"/>
        </w:rPr>
        <w:tab/>
      </w:r>
      <w:r w:rsidR="004603F1">
        <w:rPr>
          <w:b/>
          <w:sz w:val="28"/>
          <w:szCs w:val="28"/>
        </w:rPr>
        <w:t>1. Cơ sở pháp lý và</w:t>
      </w:r>
      <w:r w:rsidR="004603F1" w:rsidRPr="007D28ED">
        <w:rPr>
          <w:b/>
          <w:sz w:val="28"/>
          <w:szCs w:val="28"/>
        </w:rPr>
        <w:t xml:space="preserve"> sự cần thiết ban hành </w:t>
      </w:r>
      <w:r w:rsidR="004603F1">
        <w:rPr>
          <w:b/>
          <w:sz w:val="28"/>
          <w:szCs w:val="28"/>
        </w:rPr>
        <w:t>n</w:t>
      </w:r>
      <w:r w:rsidR="004603F1" w:rsidRPr="007D28ED">
        <w:rPr>
          <w:b/>
          <w:sz w:val="28"/>
          <w:szCs w:val="28"/>
        </w:rPr>
        <w:t>ghị quyết</w:t>
      </w:r>
    </w:p>
    <w:p w:rsidR="00C916C0" w:rsidRDefault="005537E7" w:rsidP="00CA5210">
      <w:pPr>
        <w:spacing w:before="120" w:after="120" w:line="252" w:lineRule="auto"/>
        <w:ind w:firstLine="720"/>
        <w:jc w:val="both"/>
        <w:rPr>
          <w:sz w:val="28"/>
          <w:szCs w:val="28"/>
        </w:rPr>
      </w:pPr>
      <w:r w:rsidRPr="00F43F04">
        <w:rPr>
          <w:i/>
          <w:sz w:val="28"/>
          <w:szCs w:val="28"/>
        </w:rPr>
        <w:t>Đối với kinh phí đảm bảo cho công tác xây dựng văn bản quy phạm pháp luật và hoàn thiện hệ thống pháp luật:</w:t>
      </w:r>
      <w:r>
        <w:rPr>
          <w:sz w:val="28"/>
          <w:szCs w:val="28"/>
        </w:rPr>
        <w:t xml:space="preserve"> </w:t>
      </w:r>
      <w:r w:rsidR="00C916C0" w:rsidRPr="00C916C0">
        <w:rPr>
          <w:sz w:val="28"/>
          <w:szCs w:val="28"/>
        </w:rPr>
        <w:t>Thực hiện Thông tư số 338/2016/TT-BTC</w:t>
      </w:r>
      <w:r w:rsidR="00C916C0" w:rsidRPr="00C916C0">
        <w:rPr>
          <w:rStyle w:val="FootnoteReference"/>
          <w:sz w:val="28"/>
          <w:szCs w:val="28"/>
        </w:rPr>
        <w:footnoteReference w:id="1"/>
      </w:r>
      <w:r w:rsidR="00C916C0" w:rsidRPr="00C916C0">
        <w:rPr>
          <w:sz w:val="28"/>
          <w:szCs w:val="28"/>
        </w:rPr>
        <w:t>, H</w:t>
      </w:r>
      <w:r w:rsidR="00C916C0">
        <w:rPr>
          <w:sz w:val="28"/>
          <w:szCs w:val="28"/>
        </w:rPr>
        <w:t>ội đồng nhân dân</w:t>
      </w:r>
      <w:r w:rsidR="00C916C0" w:rsidRPr="00C916C0">
        <w:rPr>
          <w:sz w:val="28"/>
          <w:szCs w:val="28"/>
        </w:rPr>
        <w:t xml:space="preserve"> tỉnh đã ban hành Nghị quyết số </w:t>
      </w:r>
      <w:r w:rsidR="00C916C0" w:rsidRPr="00C916C0">
        <w:rPr>
          <w:iCs/>
          <w:sz w:val="28"/>
          <w:szCs w:val="28"/>
        </w:rPr>
        <w:t xml:space="preserve">63/2017/NQ-HĐND </w:t>
      </w:r>
      <w:r w:rsidR="00C916C0" w:rsidRPr="00A31686">
        <w:rPr>
          <w:color w:val="000000" w:themeColor="text1"/>
          <w:sz w:val="28"/>
          <w:szCs w:val="28"/>
        </w:rPr>
        <w:t>ngày 13/12/2017 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w:t>
      </w:r>
      <w:r w:rsidR="00C916C0">
        <w:rPr>
          <w:color w:val="000000" w:themeColor="text1"/>
          <w:sz w:val="28"/>
          <w:szCs w:val="28"/>
        </w:rPr>
        <w:t>.</w:t>
      </w:r>
      <w:r w:rsidR="001B526E">
        <w:rPr>
          <w:iCs/>
          <w:sz w:val="28"/>
          <w:szCs w:val="28"/>
        </w:rPr>
        <w:t xml:space="preserve"> </w:t>
      </w:r>
      <w:r w:rsidR="00C916C0" w:rsidRPr="00C916C0">
        <w:rPr>
          <w:sz w:val="28"/>
          <w:szCs w:val="28"/>
        </w:rPr>
        <w:t>Tuy nhiên, ngày 06/7/2022, Bộ Tài chính ban hành Thông tư số 42/2022/TT-BTC sửa đổi, bổ sung một số điều của Thông tư số 338/2016/TT-BTC. Theo đó, đã sửa đổi, bổ sung nội dung liên quan đến nội dung chi, mức chi gắn với quy trình xây dựng văn bản Q</w:t>
      </w:r>
      <w:r w:rsidR="00C916C0">
        <w:rPr>
          <w:sz w:val="28"/>
          <w:szCs w:val="28"/>
        </w:rPr>
        <w:t>uy phạm pháp luật</w:t>
      </w:r>
      <w:r w:rsidR="00C916C0" w:rsidRPr="00C916C0">
        <w:rPr>
          <w:sz w:val="28"/>
          <w:szCs w:val="28"/>
        </w:rPr>
        <w:t>, điều chỉnh tăng định mức nhằm đáp ứng tốt hơn yêu cầu thực tiễn của hoạt động xây dụng văn bản Q</w:t>
      </w:r>
      <w:r w:rsidR="00C916C0">
        <w:rPr>
          <w:sz w:val="28"/>
          <w:szCs w:val="28"/>
        </w:rPr>
        <w:t>uy phạm pháp luật</w:t>
      </w:r>
      <w:r w:rsidR="00C916C0" w:rsidRPr="00C916C0">
        <w:rPr>
          <w:sz w:val="28"/>
          <w:szCs w:val="28"/>
        </w:rPr>
        <w:t xml:space="preserve">. </w:t>
      </w:r>
    </w:p>
    <w:p w:rsidR="005537E7" w:rsidRPr="00F43F04" w:rsidRDefault="005537E7" w:rsidP="005537E7">
      <w:pPr>
        <w:widowControl w:val="0"/>
        <w:spacing w:before="60" w:after="60"/>
        <w:ind w:firstLine="720"/>
        <w:jc w:val="both"/>
        <w:rPr>
          <w:iCs/>
          <w:sz w:val="28"/>
          <w:szCs w:val="28"/>
          <w:lang w:val="vi-VN"/>
        </w:rPr>
      </w:pPr>
      <w:r w:rsidRPr="00F43F04">
        <w:rPr>
          <w:i/>
          <w:sz w:val="28"/>
          <w:szCs w:val="28"/>
        </w:rPr>
        <w:t>Đ</w:t>
      </w:r>
      <w:r w:rsidR="001B526E" w:rsidRPr="00F43F04">
        <w:rPr>
          <w:i/>
          <w:iCs/>
          <w:sz w:val="28"/>
          <w:szCs w:val="28"/>
          <w:lang w:val="vi-VN"/>
        </w:rPr>
        <w:t xml:space="preserve">ối với mức chi cho công tác kiểm tra, </w:t>
      </w:r>
      <w:r w:rsidR="001B526E" w:rsidRPr="00F43F04">
        <w:rPr>
          <w:i/>
          <w:iCs/>
          <w:sz w:val="28"/>
          <w:szCs w:val="28"/>
        </w:rPr>
        <w:t xml:space="preserve">xử lý, </w:t>
      </w:r>
      <w:r w:rsidR="001B526E" w:rsidRPr="00F43F04">
        <w:rPr>
          <w:i/>
          <w:iCs/>
          <w:sz w:val="28"/>
          <w:szCs w:val="28"/>
          <w:lang w:val="vi-VN"/>
        </w:rPr>
        <w:t xml:space="preserve">rà soát, hệ thống hóa văn bản </w:t>
      </w:r>
      <w:r w:rsidR="001B526E" w:rsidRPr="00F43F04">
        <w:rPr>
          <w:i/>
          <w:iCs/>
          <w:sz w:val="28"/>
          <w:szCs w:val="28"/>
        </w:rPr>
        <w:t>quy phạm pháp luật và hỗ trợ pháp lý cho doanh nghiệp</w:t>
      </w:r>
      <w:r w:rsidRPr="005537E7">
        <w:rPr>
          <w:iCs/>
          <w:sz w:val="28"/>
          <w:szCs w:val="28"/>
        </w:rPr>
        <w:t>:</w:t>
      </w:r>
      <w:r w:rsidR="001B526E" w:rsidRPr="005537E7">
        <w:rPr>
          <w:iCs/>
          <w:sz w:val="28"/>
          <w:szCs w:val="28"/>
          <w:lang w:val="vi-VN"/>
        </w:rPr>
        <w:t xml:space="preserve"> </w:t>
      </w:r>
      <w:r w:rsidRPr="00F43F04">
        <w:rPr>
          <w:iCs/>
          <w:sz w:val="28"/>
          <w:szCs w:val="28"/>
          <w:lang w:val="vi-VN"/>
        </w:rPr>
        <w:t xml:space="preserve">Khoản 3 Điều 7 Thông tư số 09/2023/TT-BTC ngày 08/02/2023 của Bộ trưởng Bộ Tài chính quy định việc lập dự toán, quản lý, sử dụng và quyết toán kinh phí ngân sách </w:t>
      </w:r>
      <w:r w:rsidR="0015737D">
        <w:rPr>
          <w:iCs/>
          <w:sz w:val="28"/>
          <w:szCs w:val="28"/>
        </w:rPr>
        <w:t>N</w:t>
      </w:r>
      <w:r w:rsidRPr="00F43F04">
        <w:rPr>
          <w:iCs/>
          <w:sz w:val="28"/>
          <w:szCs w:val="28"/>
          <w:lang w:val="vi-VN"/>
        </w:rPr>
        <w:t>hà nước bảo đảm cho công tác kiểm tra, xử lý, rà soát, hệ thống hóa văn bản quy phạm pháp luật quy định</w:t>
      </w:r>
      <w:r w:rsidRPr="00F43F04">
        <w:rPr>
          <w:iCs/>
          <w:sz w:val="28"/>
          <w:szCs w:val="28"/>
        </w:rPr>
        <w:t>:</w:t>
      </w:r>
      <w:r w:rsidRPr="00F43F04">
        <w:rPr>
          <w:iCs/>
          <w:sz w:val="28"/>
          <w:szCs w:val="28"/>
          <w:lang w:val="vi-VN"/>
        </w:rPr>
        <w:t xml:space="preserve"> </w:t>
      </w:r>
      <w:r w:rsidRPr="00F43F04">
        <w:rPr>
          <w:i/>
          <w:iCs/>
          <w:sz w:val="28"/>
          <w:szCs w:val="28"/>
          <w:lang w:val="vi-VN"/>
        </w:rPr>
        <w:t>“Căn cứ vào khả năng ngân sách, tình hình thực tế địa phương và tính chất mỗi hoạt động kiểm tra, xử lý, rà soát, hệ thống hóa văn bản, Ủy ban nhân dân tỉnh, thành phố trực thuộc Trung ương trình Hội đồng nhân dân cùng cấp quy định cụ thể mức chi đảm bảo cho công tác kiểm tra, xử lý và rà soát, hệ thống hóa văn bản tại địa phương”</w:t>
      </w:r>
      <w:r w:rsidRPr="00F43F04">
        <w:rPr>
          <w:iCs/>
          <w:sz w:val="28"/>
          <w:szCs w:val="28"/>
          <w:lang w:val="vi-VN"/>
        </w:rPr>
        <w:t xml:space="preserve">. </w:t>
      </w:r>
    </w:p>
    <w:p w:rsidR="001B526E" w:rsidRPr="0015737D" w:rsidRDefault="005537E7" w:rsidP="005537E7">
      <w:pPr>
        <w:spacing w:before="120" w:after="120" w:line="252" w:lineRule="auto"/>
        <w:ind w:firstLine="720"/>
        <w:jc w:val="both"/>
        <w:rPr>
          <w:iCs/>
          <w:sz w:val="28"/>
          <w:szCs w:val="28"/>
        </w:rPr>
      </w:pPr>
      <w:r w:rsidRPr="00F43F04">
        <w:rPr>
          <w:iCs/>
          <w:sz w:val="28"/>
          <w:szCs w:val="28"/>
          <w:lang w:val="vi-VN"/>
        </w:rPr>
        <w:t>Đồng thời,</w:t>
      </w:r>
      <w:r w:rsidRPr="00F43F04">
        <w:rPr>
          <w:iCs/>
          <w:sz w:val="28"/>
          <w:szCs w:val="28"/>
        </w:rPr>
        <w:t xml:space="preserve"> tại</w:t>
      </w:r>
      <w:r w:rsidRPr="00F43F04">
        <w:rPr>
          <w:iCs/>
          <w:sz w:val="28"/>
          <w:szCs w:val="28"/>
          <w:lang w:val="vi-VN"/>
        </w:rPr>
        <w:t xml:space="preserve"> khoản 5 Điều 5 Thông tư số 64/2021/TT-BTC ngày 29/7/2021 của Bộ trưởng Bộ Tài chính hướng dẫn lập dự toán, quản lý, sử dụng </w:t>
      </w:r>
      <w:r w:rsidRPr="00F43F04">
        <w:rPr>
          <w:iCs/>
          <w:sz w:val="28"/>
          <w:szCs w:val="28"/>
          <w:lang w:val="vi-VN"/>
        </w:rPr>
        <w:lastRenderedPageBreak/>
        <w:t xml:space="preserve">và quyết toán kinh phí ngân sách </w:t>
      </w:r>
      <w:r w:rsidR="0015737D">
        <w:rPr>
          <w:iCs/>
          <w:sz w:val="28"/>
          <w:szCs w:val="28"/>
        </w:rPr>
        <w:t>N</w:t>
      </w:r>
      <w:r w:rsidRPr="00F43F04">
        <w:rPr>
          <w:iCs/>
          <w:sz w:val="28"/>
          <w:szCs w:val="28"/>
          <w:lang w:val="vi-VN"/>
        </w:rPr>
        <w:t>hà nước phục vụ hoạt động hỗ trợ pháp lý cho doanh nghiệp nhỏ và vừa quy định</w:t>
      </w:r>
      <w:r w:rsidRPr="00F43F04">
        <w:rPr>
          <w:iCs/>
          <w:sz w:val="28"/>
          <w:szCs w:val="28"/>
        </w:rPr>
        <w:t>:</w:t>
      </w:r>
      <w:r w:rsidRPr="00F43F04">
        <w:rPr>
          <w:iCs/>
          <w:sz w:val="28"/>
          <w:szCs w:val="28"/>
          <w:lang w:val="vi-VN"/>
        </w:rPr>
        <w:t xml:space="preserve"> </w:t>
      </w:r>
      <w:r w:rsidRPr="00F43F04">
        <w:rPr>
          <w:i/>
          <w:iCs/>
          <w:sz w:val="28"/>
          <w:szCs w:val="28"/>
          <w:lang w:val="vi-VN"/>
        </w:rPr>
        <w:t>“Căn cứ tình hình thực tế tại địa phương và khả năng cân đối ngân sách địa phương, Ủy ban dân tỉnh, thành phố trực thuộc trung ương trình Hội đồng nhân dân cùng cấp quyết định việc ban hành mức chi cụ thể cho phù hợp để thực hiện ở địa phương”</w:t>
      </w:r>
      <w:r>
        <w:rPr>
          <w:i/>
          <w:iCs/>
          <w:szCs w:val="28"/>
        </w:rPr>
        <w:t>.</w:t>
      </w:r>
      <w:r w:rsidR="006C3226">
        <w:rPr>
          <w:i/>
          <w:iCs/>
          <w:szCs w:val="28"/>
        </w:rPr>
        <w:t xml:space="preserve"> </w:t>
      </w:r>
      <w:r>
        <w:rPr>
          <w:iCs/>
          <w:sz w:val="28"/>
          <w:szCs w:val="28"/>
        </w:rPr>
        <w:t>H</w:t>
      </w:r>
      <w:r w:rsidR="001B526E" w:rsidRPr="001B526E">
        <w:rPr>
          <w:iCs/>
          <w:sz w:val="28"/>
          <w:szCs w:val="28"/>
          <w:lang w:val="vi-VN"/>
        </w:rPr>
        <w:t xml:space="preserve">iện </w:t>
      </w:r>
      <w:r>
        <w:rPr>
          <w:iCs/>
          <w:sz w:val="28"/>
          <w:szCs w:val="28"/>
        </w:rPr>
        <w:t xml:space="preserve">nội dung mức chi </w:t>
      </w:r>
      <w:r w:rsidRPr="00F43F04">
        <w:rPr>
          <w:iCs/>
          <w:sz w:val="28"/>
          <w:szCs w:val="28"/>
          <w:lang w:val="vi-VN"/>
        </w:rPr>
        <w:t xml:space="preserve">cho công tác kiểm tra, </w:t>
      </w:r>
      <w:r w:rsidRPr="00F43F04">
        <w:rPr>
          <w:iCs/>
          <w:sz w:val="28"/>
          <w:szCs w:val="28"/>
        </w:rPr>
        <w:t xml:space="preserve">xử lý, </w:t>
      </w:r>
      <w:r w:rsidRPr="00F43F04">
        <w:rPr>
          <w:iCs/>
          <w:sz w:val="28"/>
          <w:szCs w:val="28"/>
          <w:lang w:val="vi-VN"/>
        </w:rPr>
        <w:t xml:space="preserve">rà soát, hệ thống hóa văn bản </w:t>
      </w:r>
      <w:r w:rsidRPr="00F43F04">
        <w:rPr>
          <w:iCs/>
          <w:sz w:val="28"/>
          <w:szCs w:val="28"/>
        </w:rPr>
        <w:t>quy phạm pháp luật và hỗ trợ pháp lý cho doanh nghiệp</w:t>
      </w:r>
      <w:r>
        <w:rPr>
          <w:iCs/>
          <w:sz w:val="28"/>
          <w:szCs w:val="28"/>
        </w:rPr>
        <w:t xml:space="preserve"> </w:t>
      </w:r>
      <w:r w:rsidR="001B526E" w:rsidRPr="001B526E">
        <w:rPr>
          <w:iCs/>
          <w:sz w:val="28"/>
          <w:szCs w:val="28"/>
          <w:lang w:val="vi-VN"/>
        </w:rPr>
        <w:t>chưa được quy định trong nghị quyết của HĐND tỉnh</w:t>
      </w:r>
      <w:r w:rsidR="0015737D">
        <w:rPr>
          <w:iCs/>
          <w:sz w:val="28"/>
          <w:szCs w:val="28"/>
        </w:rPr>
        <w:t>.</w:t>
      </w:r>
      <w:r w:rsidR="001B526E" w:rsidRPr="001B526E">
        <w:rPr>
          <w:iCs/>
          <w:sz w:val="28"/>
          <w:szCs w:val="28"/>
          <w:lang w:val="vi-VN"/>
        </w:rPr>
        <w:t xml:space="preserve"> </w:t>
      </w:r>
      <w:r w:rsidR="0015737D">
        <w:rPr>
          <w:iCs/>
          <w:sz w:val="28"/>
          <w:szCs w:val="28"/>
        </w:rPr>
        <w:t xml:space="preserve"> </w:t>
      </w:r>
    </w:p>
    <w:p w:rsidR="00C916C0" w:rsidRPr="00C916C0" w:rsidRDefault="00C916C0" w:rsidP="00CA5210">
      <w:pPr>
        <w:spacing w:before="120" w:after="120" w:line="252" w:lineRule="auto"/>
        <w:ind w:firstLine="720"/>
        <w:jc w:val="both"/>
        <w:rPr>
          <w:sz w:val="28"/>
          <w:szCs w:val="28"/>
        </w:rPr>
      </w:pPr>
      <w:r w:rsidRPr="00C916C0">
        <w:rPr>
          <w:sz w:val="28"/>
          <w:szCs w:val="28"/>
        </w:rPr>
        <w:t>Do vậy,</w:t>
      </w:r>
      <w:r w:rsidRPr="00C916C0">
        <w:rPr>
          <w:sz w:val="28"/>
          <w:szCs w:val="28"/>
          <w:lang w:val="vi-VN"/>
        </w:rPr>
        <w:t xml:space="preserve"> việc</w:t>
      </w:r>
      <w:r w:rsidRPr="00C916C0">
        <w:rPr>
          <w:sz w:val="28"/>
          <w:szCs w:val="28"/>
        </w:rPr>
        <w:t xml:space="preserve"> </w:t>
      </w:r>
      <w:r>
        <w:rPr>
          <w:sz w:val="28"/>
          <w:szCs w:val="28"/>
        </w:rPr>
        <w:t xml:space="preserve">Ủy ban nhân dân tỉnh trình Hội đồng nhân dân tỉnh </w:t>
      </w:r>
      <w:r w:rsidRPr="00C916C0">
        <w:rPr>
          <w:sz w:val="28"/>
          <w:szCs w:val="28"/>
        </w:rPr>
        <w:t xml:space="preserve">ban hành Nghị quyết </w:t>
      </w:r>
      <w:r w:rsidR="001B526E" w:rsidRPr="00D8452F">
        <w:rPr>
          <w:color w:val="000000" w:themeColor="text1"/>
          <w:sz w:val="28"/>
          <w:szCs w:val="28"/>
        </w:rPr>
        <w:t>đảm bảo kinh phí cho công tác xây dựng văn bản quy phạm pháp luật và hỗ trợ pháp lý cho doanh nghiệp</w:t>
      </w:r>
      <w:r w:rsidR="001B526E">
        <w:rPr>
          <w:sz w:val="28"/>
          <w:szCs w:val="28"/>
        </w:rPr>
        <w:t xml:space="preserve"> </w:t>
      </w:r>
      <w:r w:rsidRPr="00C916C0">
        <w:rPr>
          <w:sz w:val="28"/>
          <w:szCs w:val="28"/>
        </w:rPr>
        <w:t xml:space="preserve">là cần thiết, đúng thẩm quyền </w:t>
      </w:r>
      <w:r w:rsidRPr="00C916C0">
        <w:rPr>
          <w:sz w:val="28"/>
          <w:szCs w:val="28"/>
          <w:lang w:val="vi-VN"/>
        </w:rPr>
        <w:t>và phù hợp với các quy định của pháp luật</w:t>
      </w:r>
      <w:r w:rsidRPr="00C916C0">
        <w:rPr>
          <w:sz w:val="28"/>
          <w:szCs w:val="28"/>
        </w:rPr>
        <w:t xml:space="preserve"> hiện hành</w:t>
      </w:r>
      <w:r w:rsidRPr="00C916C0">
        <w:rPr>
          <w:sz w:val="28"/>
          <w:szCs w:val="28"/>
          <w:lang w:val="vi-VN"/>
        </w:rPr>
        <w:t>.</w:t>
      </w:r>
    </w:p>
    <w:p w:rsidR="004603F1" w:rsidRDefault="004603F1" w:rsidP="00CA5210">
      <w:pPr>
        <w:spacing w:before="120" w:after="120"/>
        <w:ind w:firstLine="605"/>
        <w:jc w:val="both"/>
        <w:rPr>
          <w:b/>
          <w:sz w:val="28"/>
          <w:szCs w:val="28"/>
        </w:rPr>
      </w:pPr>
      <w:r w:rsidRPr="007D28ED">
        <w:rPr>
          <w:b/>
          <w:sz w:val="28"/>
          <w:szCs w:val="28"/>
        </w:rPr>
        <w:t xml:space="preserve">2. Về nội dung </w:t>
      </w:r>
      <w:r w:rsidR="00CA5210">
        <w:rPr>
          <w:b/>
          <w:sz w:val="28"/>
          <w:szCs w:val="28"/>
        </w:rPr>
        <w:t xml:space="preserve">Tờ trình và </w:t>
      </w:r>
      <w:r w:rsidRPr="007D28ED">
        <w:rPr>
          <w:b/>
          <w:sz w:val="28"/>
          <w:szCs w:val="28"/>
        </w:rPr>
        <w:t xml:space="preserve">dự thảo </w:t>
      </w:r>
      <w:r>
        <w:rPr>
          <w:b/>
          <w:sz w:val="28"/>
          <w:szCs w:val="28"/>
        </w:rPr>
        <w:t>n</w:t>
      </w:r>
      <w:r w:rsidRPr="007D28ED">
        <w:rPr>
          <w:b/>
          <w:sz w:val="28"/>
          <w:szCs w:val="28"/>
        </w:rPr>
        <w:t>ghị quyết</w:t>
      </w:r>
    </w:p>
    <w:p w:rsidR="00CA5210" w:rsidRDefault="00CA5210" w:rsidP="00CA5210">
      <w:pPr>
        <w:spacing w:before="120" w:after="120"/>
        <w:ind w:firstLine="709"/>
        <w:jc w:val="both"/>
        <w:rPr>
          <w:sz w:val="28"/>
          <w:szCs w:val="28"/>
        </w:rPr>
      </w:pPr>
      <w:r w:rsidRPr="00544F80">
        <w:rPr>
          <w:iCs/>
          <w:sz w:val="28"/>
          <w:szCs w:val="28"/>
        </w:rPr>
        <w:t>Tờ trình</w:t>
      </w:r>
      <w:r>
        <w:rPr>
          <w:iCs/>
          <w:sz w:val="28"/>
          <w:szCs w:val="28"/>
        </w:rPr>
        <w:t xml:space="preserve"> số</w:t>
      </w:r>
      <w:r w:rsidR="005D26BF">
        <w:rPr>
          <w:iCs/>
          <w:sz w:val="28"/>
          <w:szCs w:val="28"/>
        </w:rPr>
        <w:t xml:space="preserve"> 260/TTr-UBND ngày 04 tháng 7 năm 2023 </w:t>
      </w:r>
      <w:r w:rsidRPr="00544F80">
        <w:rPr>
          <w:iCs/>
          <w:sz w:val="28"/>
          <w:szCs w:val="28"/>
        </w:rPr>
        <w:t xml:space="preserve">của Ủy ban nhân dân tỉnh và dự thảo Nghị quyết của Hội đồng nhân dân tỉnh </w:t>
      </w:r>
      <w:r w:rsidRPr="00544F80">
        <w:rPr>
          <w:sz w:val="28"/>
          <w:szCs w:val="28"/>
        </w:rPr>
        <w:t>đã đảm bảo đầy đủ hồ sơ, thủ tục</w:t>
      </w:r>
      <w:r>
        <w:rPr>
          <w:sz w:val="28"/>
          <w:szCs w:val="28"/>
        </w:rPr>
        <w:t>, được cơ quan tư pháp thẩm định theo đúng trình tự, thủ tục ban hành văn bản quy phạm pháp luật.</w:t>
      </w:r>
    </w:p>
    <w:p w:rsidR="00CA5210" w:rsidRDefault="00CA5210" w:rsidP="00CA5210">
      <w:pPr>
        <w:spacing w:before="120" w:after="120"/>
        <w:ind w:firstLine="709"/>
        <w:jc w:val="both"/>
        <w:rPr>
          <w:sz w:val="28"/>
          <w:szCs w:val="28"/>
        </w:rPr>
      </w:pPr>
      <w:r>
        <w:rPr>
          <w:sz w:val="28"/>
          <w:szCs w:val="28"/>
        </w:rPr>
        <w:t xml:space="preserve">Các nội dung, định mức phân bổ kinh phí và </w:t>
      </w:r>
      <w:r w:rsidR="006C3226">
        <w:rPr>
          <w:sz w:val="28"/>
          <w:szCs w:val="28"/>
        </w:rPr>
        <w:t xml:space="preserve">mức </w:t>
      </w:r>
      <w:r>
        <w:rPr>
          <w:sz w:val="28"/>
          <w:szCs w:val="28"/>
        </w:rPr>
        <w:t xml:space="preserve">chi </w:t>
      </w:r>
      <w:r w:rsidRPr="00544F80">
        <w:rPr>
          <w:spacing w:val="-2"/>
          <w:sz w:val="28"/>
          <w:szCs w:val="28"/>
        </w:rPr>
        <w:t>phù hợp với</w:t>
      </w:r>
      <w:r>
        <w:rPr>
          <w:spacing w:val="-2"/>
          <w:sz w:val="28"/>
          <w:szCs w:val="28"/>
        </w:rPr>
        <w:t xml:space="preserve"> thực tiễn địa phương, </w:t>
      </w:r>
      <w:r w:rsidRPr="00544F80">
        <w:rPr>
          <w:spacing w:val="-2"/>
          <w:sz w:val="28"/>
          <w:szCs w:val="28"/>
        </w:rPr>
        <w:t xml:space="preserve">các quy định của pháp luật hiện </w:t>
      </w:r>
      <w:r w:rsidR="006C3226">
        <w:rPr>
          <w:spacing w:val="-2"/>
          <w:sz w:val="28"/>
          <w:szCs w:val="28"/>
        </w:rPr>
        <w:t>hành</w:t>
      </w:r>
      <w:r>
        <w:rPr>
          <w:spacing w:val="-2"/>
          <w:sz w:val="28"/>
          <w:szCs w:val="28"/>
        </w:rPr>
        <w:t>.</w:t>
      </w:r>
      <w:r w:rsidRPr="00FE52EE">
        <w:rPr>
          <w:sz w:val="28"/>
          <w:szCs w:val="28"/>
        </w:rPr>
        <w:t xml:space="preserve"> </w:t>
      </w:r>
    </w:p>
    <w:p w:rsidR="000975A8" w:rsidRDefault="00EE447A" w:rsidP="00CA5210">
      <w:pPr>
        <w:spacing w:before="120" w:after="120"/>
        <w:ind w:firstLine="709"/>
        <w:jc w:val="both"/>
        <w:rPr>
          <w:sz w:val="28"/>
          <w:szCs w:val="28"/>
          <w:lang w:val="sq-AL"/>
        </w:rPr>
      </w:pPr>
      <w:r>
        <w:rPr>
          <w:sz w:val="28"/>
          <w:szCs w:val="28"/>
          <w:lang w:val="sq-AL"/>
        </w:rPr>
        <w:t xml:space="preserve">Từ kết quả thẩm tra trên, </w:t>
      </w:r>
      <w:r w:rsidR="00CA5210">
        <w:rPr>
          <w:sz w:val="28"/>
          <w:szCs w:val="28"/>
          <w:lang w:val="sq-AL"/>
        </w:rPr>
        <w:t>Ban Pháp chế Hội đồng nhân dân tỉnh kính</w:t>
      </w:r>
      <w:r w:rsidR="00CA5210" w:rsidRPr="00544F80">
        <w:rPr>
          <w:sz w:val="28"/>
          <w:szCs w:val="28"/>
          <w:lang w:val="sq-AL"/>
        </w:rPr>
        <w:t xml:space="preserve"> đề nghị Hội đồng nhân dân tỉnh ban hành Nghị quyết </w:t>
      </w:r>
      <w:r w:rsidR="00CA5210">
        <w:rPr>
          <w:sz w:val="28"/>
          <w:szCs w:val="28"/>
          <w:lang w:val="sq-AL"/>
        </w:rPr>
        <w:t xml:space="preserve">về </w:t>
      </w:r>
      <w:r w:rsidR="00CA5210" w:rsidRPr="00CB0243">
        <w:rPr>
          <w:i/>
          <w:sz w:val="28"/>
          <w:szCs w:val="28"/>
          <w:lang w:val="sq-AL"/>
        </w:rPr>
        <w:t>“</w:t>
      </w:r>
      <w:r w:rsidR="0015737D">
        <w:rPr>
          <w:color w:val="000000" w:themeColor="text1"/>
          <w:sz w:val="28"/>
          <w:szCs w:val="28"/>
        </w:rPr>
        <w:t>Đ</w:t>
      </w:r>
      <w:r w:rsidR="00CA5210" w:rsidRPr="00D8452F">
        <w:rPr>
          <w:color w:val="000000" w:themeColor="text1"/>
          <w:sz w:val="28"/>
          <w:szCs w:val="28"/>
        </w:rPr>
        <w:t>ảm bảo kinh phí cho công tác xây dựng văn bản quy phạm pháp luật và hỗ trợ pháp lý cho doanh nghiệp</w:t>
      </w:r>
      <w:r w:rsidR="00CA5210" w:rsidRPr="00CB0243">
        <w:rPr>
          <w:i/>
          <w:sz w:val="28"/>
          <w:szCs w:val="28"/>
          <w:lang w:val="sq-AL"/>
        </w:rPr>
        <w:t>”</w:t>
      </w:r>
      <w:r w:rsidR="00CA5210" w:rsidRPr="00544F80">
        <w:rPr>
          <w:sz w:val="28"/>
          <w:szCs w:val="28"/>
          <w:lang w:val="sq-AL"/>
        </w:rPr>
        <w:t xml:space="preserve"> </w:t>
      </w:r>
      <w:r w:rsidR="00CA5210">
        <w:rPr>
          <w:sz w:val="28"/>
          <w:szCs w:val="28"/>
          <w:lang w:val="sq-AL"/>
        </w:rPr>
        <w:t>tại K</w:t>
      </w:r>
      <w:r w:rsidR="00CA5210" w:rsidRPr="00544F80">
        <w:rPr>
          <w:sz w:val="28"/>
          <w:szCs w:val="28"/>
          <w:lang w:val="sq-AL"/>
        </w:rPr>
        <w:t xml:space="preserve">ỳ họp </w:t>
      </w:r>
      <w:r w:rsidR="000975A8">
        <w:rPr>
          <w:sz w:val="28"/>
          <w:szCs w:val="28"/>
          <w:lang w:val="sq-AL"/>
        </w:rPr>
        <w:t xml:space="preserve">này. </w:t>
      </w:r>
    </w:p>
    <w:p w:rsidR="00CA5210" w:rsidRPr="00544F80" w:rsidRDefault="00CA5210" w:rsidP="00CA5210">
      <w:pPr>
        <w:spacing w:before="120" w:after="120"/>
        <w:ind w:firstLine="709"/>
        <w:jc w:val="both"/>
        <w:rPr>
          <w:sz w:val="28"/>
          <w:szCs w:val="28"/>
          <w:lang w:val="sq-AL"/>
        </w:rPr>
      </w:pPr>
      <w:r>
        <w:rPr>
          <w:sz w:val="28"/>
          <w:szCs w:val="28"/>
          <w:lang w:val="sq-AL"/>
        </w:rPr>
        <w:t>Kính</w:t>
      </w:r>
      <w:r w:rsidRPr="00544F80">
        <w:rPr>
          <w:sz w:val="28"/>
          <w:szCs w:val="28"/>
          <w:lang w:val="sq-AL"/>
        </w:rPr>
        <w:t xml:space="preserve"> đề nghị Hội đồng nhâ</w:t>
      </w:r>
      <w:r>
        <w:rPr>
          <w:sz w:val="28"/>
          <w:szCs w:val="28"/>
          <w:lang w:val="sq-AL"/>
        </w:rPr>
        <w:t>n dân tỉnh xem xét</w:t>
      </w:r>
      <w:r w:rsidR="0015737D">
        <w:rPr>
          <w:sz w:val="28"/>
          <w:szCs w:val="28"/>
          <w:lang w:val="sq-AL"/>
        </w:rPr>
        <w:t xml:space="preserve"> </w:t>
      </w:r>
      <w:r>
        <w:rPr>
          <w:sz w:val="28"/>
          <w:szCs w:val="28"/>
          <w:lang w:val="sq-AL"/>
        </w:rPr>
        <w:t xml:space="preserve">và </w:t>
      </w:r>
      <w:r w:rsidRPr="00544F80">
        <w:rPr>
          <w:sz w:val="28"/>
          <w:szCs w:val="28"/>
          <w:lang w:val="sq-AL"/>
        </w:rPr>
        <w:t>quyết định./.</w:t>
      </w:r>
    </w:p>
    <w:tbl>
      <w:tblPr>
        <w:tblW w:w="0" w:type="auto"/>
        <w:tblLook w:val="04A0" w:firstRow="1" w:lastRow="0" w:firstColumn="1" w:lastColumn="0" w:noHBand="0" w:noVBand="1"/>
      </w:tblPr>
      <w:tblGrid>
        <w:gridCol w:w="4644"/>
        <w:gridCol w:w="4644"/>
      </w:tblGrid>
      <w:tr w:rsidR="00CA5210" w:rsidRPr="0048779D" w:rsidTr="002C72BF">
        <w:tc>
          <w:tcPr>
            <w:tcW w:w="4644" w:type="dxa"/>
            <w:shd w:val="clear" w:color="auto" w:fill="auto"/>
          </w:tcPr>
          <w:p w:rsidR="00CA5210" w:rsidRPr="0048779D" w:rsidRDefault="00CA5210" w:rsidP="002C72BF">
            <w:pPr>
              <w:pStyle w:val="Footer"/>
              <w:tabs>
                <w:tab w:val="clear" w:pos="4320"/>
                <w:tab w:val="clear" w:pos="8640"/>
              </w:tabs>
              <w:jc w:val="both"/>
              <w:rPr>
                <w:sz w:val="24"/>
                <w:szCs w:val="24"/>
              </w:rPr>
            </w:pPr>
            <w:r w:rsidRPr="0048779D">
              <w:rPr>
                <w:b/>
                <w:bCs/>
                <w:i/>
                <w:iCs/>
                <w:sz w:val="24"/>
                <w:szCs w:val="24"/>
              </w:rPr>
              <w:t>Nơi nhận:</w:t>
            </w:r>
            <w:r w:rsidRPr="0048779D">
              <w:rPr>
                <w:sz w:val="24"/>
                <w:szCs w:val="24"/>
              </w:rPr>
              <w:t xml:space="preserve"> </w:t>
            </w:r>
          </w:p>
          <w:p w:rsidR="00CA5210" w:rsidRPr="00E001D6" w:rsidRDefault="00CA5210" w:rsidP="002C72BF">
            <w:pPr>
              <w:pStyle w:val="Footer"/>
              <w:tabs>
                <w:tab w:val="clear" w:pos="4320"/>
                <w:tab w:val="clear" w:pos="8640"/>
              </w:tabs>
              <w:jc w:val="both"/>
              <w:rPr>
                <w:sz w:val="22"/>
                <w:szCs w:val="22"/>
              </w:rPr>
            </w:pPr>
            <w:r w:rsidRPr="00E001D6">
              <w:rPr>
                <w:sz w:val="22"/>
                <w:szCs w:val="22"/>
              </w:rPr>
              <w:t>- Thường trực HĐND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Ủy ban nhân dân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Thành viên Ban Pháp chế HĐND tỉnh;</w:t>
            </w:r>
          </w:p>
          <w:p w:rsidR="00CA5210" w:rsidRDefault="00CA5210" w:rsidP="002C72BF">
            <w:pPr>
              <w:pStyle w:val="Footer"/>
              <w:tabs>
                <w:tab w:val="clear" w:pos="4320"/>
                <w:tab w:val="clear" w:pos="8640"/>
              </w:tabs>
              <w:jc w:val="both"/>
              <w:rPr>
                <w:sz w:val="22"/>
                <w:szCs w:val="22"/>
              </w:rPr>
            </w:pPr>
            <w:r w:rsidRPr="00E001D6">
              <w:rPr>
                <w:sz w:val="22"/>
                <w:szCs w:val="22"/>
              </w:rPr>
              <w:t>- Đại biểu HĐND tỉ</w:t>
            </w:r>
            <w:r w:rsidR="007E3A5B">
              <w:rPr>
                <w:sz w:val="22"/>
                <w:szCs w:val="22"/>
              </w:rPr>
              <w:t>nh;</w:t>
            </w:r>
          </w:p>
          <w:p w:rsidR="00CA5210" w:rsidRPr="00E001D6" w:rsidRDefault="00CA5210" w:rsidP="002C72BF">
            <w:pPr>
              <w:pStyle w:val="Footer"/>
              <w:tabs>
                <w:tab w:val="clear" w:pos="4320"/>
                <w:tab w:val="clear" w:pos="8640"/>
              </w:tabs>
              <w:jc w:val="both"/>
              <w:rPr>
                <w:sz w:val="22"/>
                <w:szCs w:val="22"/>
              </w:rPr>
            </w:pPr>
            <w:r w:rsidRPr="00E001D6">
              <w:rPr>
                <w:sz w:val="22"/>
                <w:szCs w:val="22"/>
              </w:rPr>
              <w:t xml:space="preserve">- </w:t>
            </w:r>
            <w:r>
              <w:rPr>
                <w:sz w:val="22"/>
                <w:szCs w:val="22"/>
              </w:rPr>
              <w:t>Sở Tư pháp;</w:t>
            </w:r>
          </w:p>
          <w:p w:rsidR="00CA5210" w:rsidRPr="0048779D" w:rsidRDefault="00CA5210" w:rsidP="002C72BF">
            <w:pPr>
              <w:pStyle w:val="Footer"/>
              <w:tabs>
                <w:tab w:val="clear" w:pos="4320"/>
                <w:tab w:val="clear" w:pos="8640"/>
              </w:tabs>
              <w:jc w:val="both"/>
              <w:rPr>
                <w:szCs w:val="28"/>
              </w:rPr>
            </w:pPr>
            <w:r>
              <w:rPr>
                <w:sz w:val="22"/>
                <w:szCs w:val="22"/>
              </w:rPr>
              <w:t>- Lưu: VT, TH</w:t>
            </w:r>
            <w:r>
              <w:rPr>
                <w:sz w:val="22"/>
                <w:szCs w:val="22"/>
                <w:vertAlign w:val="subscript"/>
              </w:rPr>
              <w:t>1</w:t>
            </w:r>
            <w:r w:rsidRPr="00E001D6">
              <w:rPr>
                <w:sz w:val="22"/>
                <w:szCs w:val="22"/>
              </w:rPr>
              <w:t xml:space="preserve">.                                                              </w:t>
            </w:r>
          </w:p>
        </w:tc>
        <w:tc>
          <w:tcPr>
            <w:tcW w:w="4644" w:type="dxa"/>
            <w:shd w:val="clear" w:color="auto" w:fill="auto"/>
          </w:tcPr>
          <w:p w:rsidR="00CA5210" w:rsidRPr="00CA5210" w:rsidRDefault="00CA5210" w:rsidP="002C72BF">
            <w:pPr>
              <w:jc w:val="center"/>
              <w:rPr>
                <w:sz w:val="28"/>
                <w:szCs w:val="28"/>
              </w:rPr>
            </w:pPr>
            <w:r w:rsidRPr="00CA5210">
              <w:rPr>
                <w:b/>
                <w:bCs/>
                <w:sz w:val="28"/>
                <w:szCs w:val="28"/>
              </w:rPr>
              <w:t>TM. BAN PHÁP CHẾ HĐND</w:t>
            </w:r>
            <w:r w:rsidRPr="00CA5210">
              <w:rPr>
                <w:sz w:val="28"/>
                <w:szCs w:val="28"/>
              </w:rPr>
              <w:t xml:space="preserve">                                                         </w:t>
            </w:r>
            <w:r w:rsidRPr="00CA5210">
              <w:rPr>
                <w:b/>
                <w:bCs/>
                <w:sz w:val="28"/>
                <w:szCs w:val="28"/>
              </w:rPr>
              <w:t>TRƯỞNG BAN</w:t>
            </w:r>
          </w:p>
          <w:p w:rsidR="00CA5210" w:rsidRPr="00CA5210" w:rsidRDefault="00CA5210" w:rsidP="002C72BF">
            <w:pPr>
              <w:pStyle w:val="Footer"/>
              <w:tabs>
                <w:tab w:val="clear" w:pos="4320"/>
                <w:tab w:val="clear" w:pos="8640"/>
              </w:tabs>
              <w:jc w:val="center"/>
              <w:rPr>
                <w:szCs w:val="28"/>
              </w:rPr>
            </w:pPr>
          </w:p>
          <w:p w:rsidR="00CA5210" w:rsidRPr="00F43F04" w:rsidRDefault="00CA5210" w:rsidP="002C72BF">
            <w:pPr>
              <w:pStyle w:val="Footer"/>
              <w:tabs>
                <w:tab w:val="clear" w:pos="4320"/>
                <w:tab w:val="clear" w:pos="8640"/>
              </w:tabs>
              <w:jc w:val="center"/>
              <w:rPr>
                <w:sz w:val="46"/>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rPr>
                <w:szCs w:val="28"/>
              </w:rPr>
            </w:pPr>
          </w:p>
          <w:p w:rsidR="00CA5210" w:rsidRPr="0048779D" w:rsidRDefault="00CA5210" w:rsidP="002C72BF">
            <w:pPr>
              <w:pStyle w:val="Footer"/>
              <w:tabs>
                <w:tab w:val="clear" w:pos="4320"/>
                <w:tab w:val="clear" w:pos="8640"/>
              </w:tabs>
              <w:jc w:val="center"/>
              <w:rPr>
                <w:szCs w:val="28"/>
              </w:rPr>
            </w:pPr>
            <w:r w:rsidRPr="00CA5210">
              <w:rPr>
                <w:b/>
                <w:szCs w:val="28"/>
              </w:rPr>
              <w:t>Nguyễn Thị Nhuần</w:t>
            </w:r>
          </w:p>
        </w:tc>
      </w:tr>
    </w:tbl>
    <w:p w:rsidR="00CA5210" w:rsidRPr="00544F80" w:rsidRDefault="00CA5210" w:rsidP="00CA5210">
      <w:pPr>
        <w:spacing w:line="312" w:lineRule="auto"/>
        <w:jc w:val="both"/>
        <w:rPr>
          <w:sz w:val="28"/>
          <w:szCs w:val="28"/>
        </w:rPr>
      </w:pPr>
    </w:p>
    <w:p w:rsidR="00CA5210" w:rsidRDefault="00CA5210" w:rsidP="001B526E">
      <w:pPr>
        <w:spacing w:before="120" w:after="120"/>
        <w:ind w:firstLine="605"/>
        <w:jc w:val="both"/>
        <w:rPr>
          <w:sz w:val="28"/>
          <w:szCs w:val="28"/>
        </w:rPr>
      </w:pPr>
    </w:p>
    <w:p w:rsidR="004603F1" w:rsidRDefault="004603F1"/>
    <w:sectPr w:rsidR="004603F1" w:rsidSect="00FB71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30" w:rsidRDefault="00AB7E30" w:rsidP="004603F1">
      <w:r>
        <w:separator/>
      </w:r>
    </w:p>
  </w:endnote>
  <w:endnote w:type="continuationSeparator" w:id="0">
    <w:p w:rsidR="00AB7E30" w:rsidRDefault="00AB7E30" w:rsidP="004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30" w:rsidRDefault="00AB7E30" w:rsidP="004603F1">
      <w:r>
        <w:separator/>
      </w:r>
    </w:p>
  </w:footnote>
  <w:footnote w:type="continuationSeparator" w:id="0">
    <w:p w:rsidR="00AB7E30" w:rsidRDefault="00AB7E30" w:rsidP="004603F1">
      <w:r>
        <w:continuationSeparator/>
      </w:r>
    </w:p>
  </w:footnote>
  <w:footnote w:id="1">
    <w:p w:rsidR="00C916C0" w:rsidRPr="007617D8" w:rsidRDefault="00C916C0" w:rsidP="001B526E">
      <w:pPr>
        <w:pStyle w:val="FootnoteText"/>
        <w:jc w:val="both"/>
        <w:rPr>
          <w:spacing w:val="-4"/>
        </w:rPr>
      </w:pPr>
      <w:r w:rsidRPr="007617D8">
        <w:rPr>
          <w:rStyle w:val="FootnoteReference"/>
          <w:spacing w:val="-4"/>
        </w:rPr>
        <w:footnoteRef/>
      </w:r>
      <w:r w:rsidRPr="007617D8">
        <w:rPr>
          <w:spacing w:val="-4"/>
        </w:rPr>
        <w:t xml:space="preserve"> Thông tư số 338/2016/TT-BTC ngày 28/12/2016 của Bộ Tài chính quy định lập dự toán, quản lý, sử dụng và quyết toán kinh phí ngân sách nhà nước bảo đảm công tác xây dựng văn bản QPPL và hoàn thiện hệ thống pháp luật</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1"/>
    <w:rsid w:val="000975A8"/>
    <w:rsid w:val="0015737D"/>
    <w:rsid w:val="00197628"/>
    <w:rsid w:val="001B526E"/>
    <w:rsid w:val="00203968"/>
    <w:rsid w:val="002A6C53"/>
    <w:rsid w:val="002E1A41"/>
    <w:rsid w:val="004603F1"/>
    <w:rsid w:val="005537E7"/>
    <w:rsid w:val="005D26BF"/>
    <w:rsid w:val="006C3226"/>
    <w:rsid w:val="00763F2E"/>
    <w:rsid w:val="007E3A5B"/>
    <w:rsid w:val="00807B58"/>
    <w:rsid w:val="008C6792"/>
    <w:rsid w:val="009014C2"/>
    <w:rsid w:val="00A446A4"/>
    <w:rsid w:val="00AB7E30"/>
    <w:rsid w:val="00AF651D"/>
    <w:rsid w:val="00C26A26"/>
    <w:rsid w:val="00C916C0"/>
    <w:rsid w:val="00CA5210"/>
    <w:rsid w:val="00CC002E"/>
    <w:rsid w:val="00D8452F"/>
    <w:rsid w:val="00DF2739"/>
    <w:rsid w:val="00EE447A"/>
    <w:rsid w:val="00F43F04"/>
    <w:rsid w:val="00FB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032D-E5C7-46F6-B263-E5989C2D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2023-07-06T01:26:00Z</dcterms:created>
  <dcterms:modified xsi:type="dcterms:W3CDTF">2023-07-12T03:24:00Z</dcterms:modified>
</cp:coreProperties>
</file>