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339"/>
        <w:gridCol w:w="303"/>
        <w:gridCol w:w="5648"/>
      </w:tblGrid>
      <w:tr w:rsidR="00397CB7">
        <w:trPr>
          <w:trHeight w:val="849"/>
          <w:jc w:val="center"/>
        </w:trPr>
        <w:tc>
          <w:tcPr>
            <w:tcW w:w="1797" w:type="pct"/>
            <w:shd w:val="clear" w:color="auto" w:fill="auto"/>
          </w:tcPr>
          <w:p w:rsidR="00397CB7" w:rsidRDefault="00A65355">
            <w:pPr>
              <w:jc w:val="center"/>
            </w:pPr>
            <w:r>
              <w:rPr>
                <w:b/>
              </w:rPr>
              <w:t>HỘI ĐỒNG NHÂN DÂN</w:t>
            </w:r>
          </w:p>
          <w:p w:rsidR="00397CB7" w:rsidRDefault="00A65355">
            <w:pPr>
              <w:jc w:val="center"/>
              <w:rPr>
                <w:b/>
              </w:rPr>
            </w:pPr>
            <w:r>
              <w:rPr>
                <w:noProof/>
              </w:rPr>
              <mc:AlternateContent>
                <mc:Choice Requires="wps">
                  <w:drawing>
                    <wp:anchor distT="0" distB="0" distL="114300" distR="114300" simplePos="0" relativeHeight="251660288" behindDoc="0" locked="0" layoutInCell="1" allowOverlap="1" wp14:anchorId="715B93AF" wp14:editId="613D849A">
                      <wp:simplePos x="0" y="0"/>
                      <wp:positionH relativeFrom="column">
                        <wp:posOffset>650875</wp:posOffset>
                      </wp:positionH>
                      <wp:positionV relativeFrom="paragraph">
                        <wp:posOffset>233045</wp:posOffset>
                      </wp:positionV>
                      <wp:extent cx="800100" cy="0"/>
                      <wp:effectExtent l="15875" t="17145" r="22225"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5gY+dwAAAAJAQAADwAAAGRycy9kb3ducmV2LnhtbEyPwU7DMBBE70j8&#10;g7VIXCrq4IpShTgVAnLjQgFx3cZLEhGv09htA1/PIg5wnNmn2ZliPfleHWiMXWALl/MMFHEdXMeN&#10;hZfn6mIFKiZkh31gsvBJEdbl6UmBuQtHfqLDJjVKQjjmaKFNaci1jnVLHuM8DMRyew+jxyRybLQb&#10;8Sjhvtcmy5baY8fyocWB7lqqPzZ7byFWr7Srvmb1LHtbNIHM7v7xAa09P5tub0AlmtIfDD/1pTqU&#10;0mkb9uyi6kVn5kpQC4vlNSgBjFmJsf01dFno/wvKbwAAAP//AwBQSwECLQAUAAYACAAAACEAtoM4&#10;kv4AAADhAQAAEwAAAAAAAAAAAAAAAAAAAAAAW0NvbnRlbnRfVHlwZXNdLnhtbFBLAQItABQABgAI&#10;AAAAIQA4/SH/1gAAAJQBAAALAAAAAAAAAAAAAAAAAC8BAABfcmVscy8ucmVsc1BLAQItABQABgAI&#10;AAAAIQA0lPlNGwIAADUEAAAOAAAAAAAAAAAAAAAAAC4CAABkcnMvZTJvRG9jLnhtbFBLAQItABQA&#10;BgAIAAAAIQADmBj53AAAAAkBAAAPAAAAAAAAAAAAAAAAAHUEAABkcnMvZG93bnJldi54bWxQSwUG&#10;AAAAAAQABADzAAAAfgUAAAAA&#10;"/>
                  </w:pict>
                </mc:Fallback>
              </mc:AlternateContent>
            </w:r>
            <w:r>
              <w:rPr>
                <w:b/>
              </w:rPr>
              <w:t>TỈNH HÀ TĨNH</w:t>
            </w:r>
          </w:p>
        </w:tc>
        <w:tc>
          <w:tcPr>
            <w:tcW w:w="3203" w:type="pct"/>
            <w:gridSpan w:val="2"/>
            <w:shd w:val="clear" w:color="auto" w:fill="auto"/>
          </w:tcPr>
          <w:p w:rsidR="00397CB7" w:rsidRDefault="00A65355">
            <w:pPr>
              <w:jc w:val="center"/>
              <w:rPr>
                <w:b/>
                <w:bCs/>
                <w:w w:val="95"/>
              </w:rPr>
            </w:pPr>
            <w:r>
              <w:rPr>
                <w:b/>
                <w:bCs/>
                <w:w w:val="95"/>
              </w:rPr>
              <w:t>CỘNG HÒA XÃ HỘI CHỦ NGHĨA VIỆT NAM</w:t>
            </w:r>
          </w:p>
          <w:p w:rsidR="00397CB7" w:rsidRDefault="00A65355">
            <w:pPr>
              <w:jc w:val="center"/>
              <w:rPr>
                <w:b/>
                <w:bCs/>
              </w:rPr>
            </w:pPr>
            <w:r>
              <w:rPr>
                <w:iCs/>
                <w:noProof/>
              </w:rPr>
              <mc:AlternateContent>
                <mc:Choice Requires="wps">
                  <w:drawing>
                    <wp:anchor distT="0" distB="0" distL="114300" distR="114300" simplePos="0" relativeHeight="251661312" behindDoc="0" locked="0" layoutInCell="1" allowOverlap="1" wp14:anchorId="1014F4AB" wp14:editId="0EFB0D1B">
                      <wp:simplePos x="0" y="0"/>
                      <wp:positionH relativeFrom="column">
                        <wp:posOffset>803275</wp:posOffset>
                      </wp:positionH>
                      <wp:positionV relativeFrom="paragraph">
                        <wp:posOffset>245110</wp:posOffset>
                      </wp:positionV>
                      <wp:extent cx="1959610" cy="0"/>
                      <wp:effectExtent l="15875" t="16510" r="3111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9.3pt" to="217.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y+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Xcwy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CoZUGL3AAAAAkBAAAPAAAAZHJzL2Rvd25yZXYueG1sTI/B&#10;TsMwDIbvSLxDZCRuLF3LqlGaThMCLkhIjMI5bUxbkThVk3Xl7THiAMff/vT7c7lbnBUzTmHwpGC9&#10;SkAgtd4M1CmoXx+utiBC1GS09YQKvjDArjo/K3Vh/IlecD7ETnAJhUIr6GMcCylD26PTYeVHJN59&#10;+MnpyHHqpJn0icudlWmS5NLpgfhCr0e867H9PBydgv370332PDfOW3PT1W/G1cljqtTlxbK/BRFx&#10;iX8w/OizOlTs1PgjmSAs5zTfMKog2+YgGLjONmsQze9AVqX8/0H1DQAA//8DAFBLAQItABQABgAI&#10;AAAAIQC2gziS/gAAAOEBAAATAAAAAAAAAAAAAAAAAAAAAABbQ29udGVudF9UeXBlc10ueG1sUEsB&#10;Ai0AFAAGAAgAAAAhADj9If/WAAAAlAEAAAsAAAAAAAAAAAAAAAAALwEAAF9yZWxzLy5yZWxzUEsB&#10;Ai0AFAAGAAgAAAAhAKdTbL4jAgAAQAQAAA4AAAAAAAAAAAAAAAAALgIAAGRycy9lMm9Eb2MueG1s&#10;UEsBAi0AFAAGAAgAAAAhAKhlQYvcAAAACQEAAA8AAAAAAAAAAAAAAAAAfQQAAGRycy9kb3ducmV2&#10;LnhtbFBLBQYAAAAABAAEAPMAAACGBQAAAAA=&#10;"/>
                  </w:pict>
                </mc:Fallback>
              </mc:AlternateContent>
            </w:r>
            <w:r>
              <w:rPr>
                <w:b/>
                <w:bCs/>
              </w:rPr>
              <w:t>Độc lập - Tự do - Hạnh phúc</w:t>
            </w:r>
          </w:p>
        </w:tc>
      </w:tr>
      <w:tr w:rsidR="00397CB7">
        <w:trPr>
          <w:jc w:val="center"/>
        </w:trPr>
        <w:tc>
          <w:tcPr>
            <w:tcW w:w="1960" w:type="pct"/>
            <w:gridSpan w:val="2"/>
            <w:shd w:val="clear" w:color="auto" w:fill="auto"/>
          </w:tcPr>
          <w:p w:rsidR="00397CB7" w:rsidRDefault="00A65355" w:rsidP="001E419E">
            <w:pPr>
              <w:jc w:val="center"/>
              <w:rPr>
                <w:b/>
                <w:bCs/>
                <w:w w:val="90"/>
              </w:rPr>
            </w:pPr>
            <w:r>
              <w:t xml:space="preserve">Số: </w:t>
            </w:r>
            <w:r w:rsidR="001E419E">
              <w:t>243</w:t>
            </w:r>
            <w:r>
              <w:t>/BC-HĐND</w:t>
            </w:r>
          </w:p>
        </w:tc>
        <w:tc>
          <w:tcPr>
            <w:tcW w:w="3040" w:type="pct"/>
            <w:shd w:val="clear" w:color="auto" w:fill="auto"/>
          </w:tcPr>
          <w:p w:rsidR="00397CB7" w:rsidRDefault="00A65355" w:rsidP="001E419E">
            <w:pPr>
              <w:jc w:val="center"/>
              <w:rPr>
                <w:b/>
                <w:bCs/>
                <w:w w:val="90"/>
              </w:rPr>
            </w:pPr>
            <w:r>
              <w:rPr>
                <w:i/>
              </w:rPr>
              <w:t xml:space="preserve">Hà Tĩnh, ngày </w:t>
            </w:r>
            <w:r w:rsidR="001E419E">
              <w:rPr>
                <w:i/>
              </w:rPr>
              <w:t>05</w:t>
            </w:r>
            <w:r>
              <w:rPr>
                <w:i/>
              </w:rPr>
              <w:t xml:space="preserve"> tháng </w:t>
            </w:r>
            <w:r w:rsidR="001E419E">
              <w:rPr>
                <w:i/>
              </w:rPr>
              <w:t>6</w:t>
            </w:r>
            <w:r>
              <w:rPr>
                <w:i/>
              </w:rPr>
              <w:t xml:space="preserve"> năm 2023</w:t>
            </w:r>
          </w:p>
        </w:tc>
      </w:tr>
    </w:tbl>
    <w:p w:rsidR="00397CB7" w:rsidRDefault="00397CB7">
      <w:pPr>
        <w:jc w:val="center"/>
        <w:rPr>
          <w:b/>
          <w:sz w:val="34"/>
        </w:rPr>
      </w:pPr>
    </w:p>
    <w:p w:rsidR="00397CB7" w:rsidRDefault="00A65355">
      <w:pPr>
        <w:jc w:val="center"/>
        <w:rPr>
          <w:b/>
        </w:rPr>
      </w:pPr>
      <w:r>
        <w:rPr>
          <w:b/>
        </w:rPr>
        <w:t>BÁO CÁO</w:t>
      </w:r>
    </w:p>
    <w:p w:rsidR="00397CB7" w:rsidRDefault="00A65355">
      <w:pPr>
        <w:spacing w:line="340" w:lineRule="exact"/>
        <w:jc w:val="center"/>
        <w:rPr>
          <w:b/>
          <w:iCs/>
          <w:spacing w:val="-6"/>
        </w:rPr>
      </w:pPr>
      <w:r>
        <w:rPr>
          <w:b/>
          <w:iCs/>
          <w:spacing w:val="-6"/>
        </w:rPr>
        <w:t>Thẩm tra Tờ trình và Dự thảo Nghị quyết phân bổ kế hoạch vốn sự nghiệp ngân sách Nhà nước năm 2023 thực hiện các chương trình mục tiêu quốc gia; Điều chỉnh kế hoạch vốn Nông thôn mới năm 2022 và kéo dài thời gian thực hiện, giải ngân vốn sự nghiệp của ngân sách tỉnh năm 2022</w:t>
      </w:r>
    </w:p>
    <w:p w:rsidR="00397CB7" w:rsidRDefault="00A65355">
      <w:pPr>
        <w:spacing w:after="120" w:line="360" w:lineRule="exact"/>
        <w:ind w:firstLine="720"/>
        <w:jc w:val="center"/>
      </w:pPr>
      <w:r>
        <w:rPr>
          <w:noProof/>
        </w:rPr>
        <mc:AlternateContent>
          <mc:Choice Requires="wps">
            <w:drawing>
              <wp:anchor distT="0" distB="0" distL="114300" distR="114300" simplePos="0" relativeHeight="251659264" behindDoc="0" locked="0" layoutInCell="1" allowOverlap="1" wp14:anchorId="50327523" wp14:editId="3AC49FA0">
                <wp:simplePos x="0" y="0"/>
                <wp:positionH relativeFrom="column">
                  <wp:posOffset>2088515</wp:posOffset>
                </wp:positionH>
                <wp:positionV relativeFrom="paragraph">
                  <wp:posOffset>58420</wp:posOffset>
                </wp:positionV>
                <wp:extent cx="1600200" cy="0"/>
                <wp:effectExtent l="18415" t="7620" r="1968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5pt,4.6pt" to="290.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P84Jf7aAAAABwEAAA8AAABkcnMvZG93bnJldi54bWxMjsFOwzAQRO9I&#10;/IO1SFyq1iEVKA1xKgTkxoVCxXUbL0lEvE5jtw18PQsXOD7NaOYV68n16khj6DwbuFokoIhrbztu&#10;DLy+VPMMVIjIFnvPZOCTAqzL87MCc+tP/EzHTWyUjHDI0UAb45BrHeqWHIaFH4gle/ejwyg4NtqO&#10;eJJx1+s0SW60w47locWB7luqPzYHZyBUW9pXX7N6lrwtG0/p/uHpEY25vJjubkFFmuJfGX70RR1K&#10;cdr5A9ugegPLNFtJ1cAqBSX5dZYI735Zl4X+719+AwAA//8DAFBLAQItABQABgAIAAAAIQC2gziS&#10;/gAAAOEBAAATAAAAAAAAAAAAAAAAAAAAAABbQ29udGVudF9UeXBlc10ueG1sUEsBAi0AFAAGAAgA&#10;AAAhADj9If/WAAAAlAEAAAsAAAAAAAAAAAAAAAAALwEAAF9yZWxzLy5yZWxzUEsBAi0AFAAGAAgA&#10;AAAhAP1yEP4cAgAANgQAAA4AAAAAAAAAAAAAAAAALgIAAGRycy9lMm9Eb2MueG1sUEsBAi0AFAAG&#10;AAgAAAAhAP84Jf7aAAAABwEAAA8AAAAAAAAAAAAAAAAAdgQAAGRycy9kb3ducmV2LnhtbFBLBQYA&#10;AAAABAAEAPMAAAB9BQAAAAA=&#10;"/>
            </w:pict>
          </mc:Fallback>
        </mc:AlternateContent>
      </w:r>
    </w:p>
    <w:p w:rsidR="00397CB7" w:rsidRDefault="00A65355">
      <w:pPr>
        <w:spacing w:before="60" w:after="60" w:line="318" w:lineRule="exact"/>
        <w:ind w:firstLine="720"/>
        <w:jc w:val="both"/>
      </w:pPr>
      <w:r>
        <w:t>Ban Kinh tế - Ngân sách báo cáo Hội đồng nhân dân tỉnh kết quả thẩm tra Tờ trình số 153/TTr-UBND ngày 28/4/2023 của Ủy ban nhân dân tỉnh và Dự thảo Nghị quyết phân bổ kế hoạch vốn sự nghiệp ngân sách Trung ương, ngân sách tỉnh năm 2023 thực hiện các chương trình mục tiêu quốc gia; Điều chỉnh kế hoạch vốn Nông thôn mới (NTM) năm 2022 và kéo dài thời gian thực hiện, giải ngân vốn sự nghiệp ngân sách tỉnh năm 2022 phân bổ tại Nghị quyết số 85/NQ-HĐND ngày 25/8/2022 như sau:</w:t>
      </w:r>
    </w:p>
    <w:p w:rsidR="00397CB7" w:rsidRDefault="00A65355">
      <w:pPr>
        <w:spacing w:before="60" w:after="60" w:line="340" w:lineRule="atLeast"/>
        <w:ind w:firstLine="720"/>
        <w:jc w:val="both"/>
        <w:rPr>
          <w:b/>
        </w:rPr>
      </w:pPr>
      <w:r>
        <w:rPr>
          <w:b/>
          <w:lang w:val="vi-VN"/>
        </w:rPr>
        <w:t>1. Căn cứ pháp lý, sự cần thiết và thẩm quyền ban hành</w:t>
      </w:r>
    </w:p>
    <w:p w:rsidR="00397CB7" w:rsidRDefault="009D69DD">
      <w:pPr>
        <w:spacing w:before="60" w:after="60" w:line="318" w:lineRule="exact"/>
        <w:ind w:firstLine="720"/>
        <w:jc w:val="both"/>
      </w:pPr>
      <w:r>
        <w:t xml:space="preserve">1.1.Về phân bổ kế hoạch vốn sự nghiệp ngân sách Trung ương, ngân sách tỉnh năm 2023 thực hiện các chương trình mục tiêu quốc gia: </w:t>
      </w:r>
      <w:r w:rsidR="00A65355">
        <w:t>Ngày 02/12/2022, Thủ tướng Chính phủ ban hành Quyết định số 1506/QĐ-TTg về giao dự toán ngân sách Trung ương năm 2023, theo đó dự toán chi bổ sung mục tiêu từ ngân sách Trung ương cho tỉnh Hà Tĩnh thực hiện 03 Chương trình mục tiêu quốc gia năm 2023 là 137.385 triệu đồng</w:t>
      </w:r>
      <w:r w:rsidR="00A65355">
        <w:rPr>
          <w:rStyle w:val="FootnoteReference"/>
        </w:rPr>
        <w:footnoteReference w:id="1"/>
      </w:r>
      <w:r w:rsidR="00A65355">
        <w:t>. Căn cứ Luật Đầu tư công, Luật Ngân sách Nhà nước</w:t>
      </w:r>
      <w:r w:rsidR="00A65355">
        <w:rPr>
          <w:iCs/>
        </w:rPr>
        <w:t>, khoản 5 Điều 7 Nghị định số 27/2022/NĐ-CP ngày 19/4/2022 của Chính phủ và Văn bản số 3948/BKHĐT-TCTT ngày 14/6/2022 của Bộ Kế hoạch và Đầu tư</w:t>
      </w:r>
      <w:r w:rsidR="00A65355">
        <w:rPr>
          <w:bCs/>
          <w:spacing w:val="-4"/>
        </w:rPr>
        <w:t xml:space="preserve">, </w:t>
      </w:r>
      <w:r w:rsidR="00A65355">
        <w:rPr>
          <w:iCs/>
        </w:rPr>
        <w:t xml:space="preserve">việc Ủy ban nhân dân tỉnh trình Hội đồng nhân dân tỉnh </w:t>
      </w:r>
      <w:r w:rsidR="00A65355">
        <w:t xml:space="preserve">phân bổ kế hoạch vốn ngân sách Nhà nước năm 2023 thực hiện các chương trình mục tiêu quốc gia là </w:t>
      </w:r>
      <w:bookmarkStart w:id="0" w:name="_GoBack"/>
      <w:bookmarkEnd w:id="0"/>
      <w:r w:rsidR="00A65355">
        <w:t>đúng thẩm quyền.</w:t>
      </w:r>
    </w:p>
    <w:p w:rsidR="00397CB7" w:rsidRDefault="009D69DD">
      <w:pPr>
        <w:spacing w:before="60" w:after="60" w:line="318" w:lineRule="exact"/>
        <w:ind w:firstLine="720"/>
        <w:jc w:val="both"/>
      </w:pPr>
      <w:r>
        <w:t xml:space="preserve">1.2. Về điều chỉnh kế hoạch vốn Nông thôn mới (NTM) năm 2022 và kéo dài thời gian thực hiện, giải ngân vốn sự nghiệp ngân sách tỉnh năm 2022: </w:t>
      </w:r>
      <w:r w:rsidR="00A65355">
        <w:t xml:space="preserve">Ngày 25/6/2022, Hội đồng nhân dân tỉnh ban hành Nghị quyết số 85/2022/NQ-HĐND về việc </w:t>
      </w:r>
      <w:r>
        <w:t>phân bổ kế hoạch vốn ngân sách T</w:t>
      </w:r>
      <w:r w:rsidR="00A65355">
        <w:t>rung ương, ngân sách tỉnh năm 2022 thực hiện các Chương trình MTQG, trong đó giao kế hoạch vốn thực hiện các nội dung của Chương trình MTQG xây dựng NTM, tuy nhiên đến nay một số nội dung chưa được thực hiện</w:t>
      </w:r>
      <w:r w:rsidR="00A65355">
        <w:rPr>
          <w:rStyle w:val="FootnoteReference"/>
        </w:rPr>
        <w:footnoteReference w:id="2"/>
      </w:r>
      <w:r>
        <w:t>.</w:t>
      </w:r>
      <w:r w:rsidR="00A65355">
        <w:t xml:space="preserve"> Để ph</w:t>
      </w:r>
      <w:r>
        <w:t>át huy hiệu quả nguồn kinh phí T</w:t>
      </w:r>
      <w:r w:rsidR="00A65355">
        <w:t xml:space="preserve">rung </w:t>
      </w:r>
      <w:r w:rsidR="00A65355">
        <w:lastRenderedPageBreak/>
        <w:t>ương hỗ trợ, Ủy ban nhân dân tỉnh đề xuất điều chỉnh giảm kế hoạch vốn NTM năm 2022 và bổ sung kế hoạch vốn cho huyện Hương Khê thực hiện các tiêu chí xây dựng NTM là cần thiết.</w:t>
      </w:r>
    </w:p>
    <w:p w:rsidR="00397CB7" w:rsidRDefault="00A65355">
      <w:pPr>
        <w:spacing w:before="60" w:after="60" w:line="318" w:lineRule="exact"/>
        <w:ind w:firstLine="720"/>
        <w:jc w:val="both"/>
      </w:pPr>
      <w:r>
        <w:t xml:space="preserve">Ngoài ra, tại Nghị quyết số 85/2022/NQ-HĐND </w:t>
      </w:r>
      <w:r w:rsidR="009D69DD">
        <w:t xml:space="preserve">ngày 25/8/2022 </w:t>
      </w:r>
      <w:r w:rsidR="009D69DD">
        <w:t xml:space="preserve">của </w:t>
      </w:r>
      <w:r>
        <w:t>Hội đồng nhân dân tỉnh đã giao kế hoạch vốn sự nghiệp ngân sách tỉnh thực hiện Chương trình MTQG giảm nghèo bền vững với số tiền 2.318 triệu đồng, đây là nguồn vốn ngân sách địa phương đối ứng</w:t>
      </w:r>
      <w:r>
        <w:rPr>
          <w:rStyle w:val="FootnoteReference"/>
        </w:rPr>
        <w:footnoteReference w:id="3"/>
      </w:r>
      <w:r>
        <w:t>; theo quy định tại khoản 5 Điều 2 Nghị quyết số 69/2022/QH15 ngày 11/11/2022 của Quốc hội, cho phép kéo dài thời gian thực hiện và giải ngân vốn đầu tư và vốn sự nghiệp của ngân sách Trung ương trong nước năm 2022 chưa giải ngân đến hết ngày 31/12/2023; do vậy, việc kéo dài thời gian thực hiện, giải ngân vốn sự nghiệp ngân sách tỉnh năm 2022 phân bổ tại Nghị quyết số 85/NQ-HĐND là phù hợp.</w:t>
      </w:r>
    </w:p>
    <w:p w:rsidR="00397CB7" w:rsidRDefault="00A65355">
      <w:pPr>
        <w:spacing w:before="60" w:after="60" w:line="340" w:lineRule="atLeast"/>
        <w:ind w:firstLine="720"/>
        <w:jc w:val="both"/>
        <w:rPr>
          <w:b/>
          <w:bCs/>
          <w:lang w:val="sq-AL"/>
        </w:rPr>
      </w:pPr>
      <w:r>
        <w:rPr>
          <w:b/>
          <w:bCs/>
          <w:lang w:val="vi-VN"/>
        </w:rPr>
        <w:t>2</w:t>
      </w:r>
      <w:r>
        <w:rPr>
          <w:b/>
          <w:bCs/>
          <w:lang w:val="sq-AL"/>
        </w:rPr>
        <w:t>. Về nội dung Tờ trình và dự thảo Nghị quyết</w:t>
      </w:r>
    </w:p>
    <w:p w:rsidR="00397CB7" w:rsidRDefault="00A65355">
      <w:pPr>
        <w:spacing w:before="60" w:after="60" w:line="318" w:lineRule="exact"/>
        <w:ind w:firstLine="720"/>
        <w:jc w:val="both"/>
      </w:pPr>
      <w:r>
        <w:t>Ban Kinh tế - Ngân sách nhận thấy nội dung Tờ trình và dự thảo Nghị quyết cơ bản đã bám sát vào các nguyên tắc, tiêu chí, định mức phân bổ vốn ngân sách Trung ương và ngân sách tỉnh thực hiện 03 chương trình mục tiêu quốc gia và các quy định của Trung ương, của tỉnh</w:t>
      </w:r>
      <w:r>
        <w:rPr>
          <w:rStyle w:val="FootnoteReference"/>
        </w:rPr>
        <w:footnoteReference w:id="4"/>
      </w:r>
      <w:r>
        <w:t>; và đề nghị quan tâm thêm một số nội dung sau:</w:t>
      </w:r>
    </w:p>
    <w:p w:rsidR="00397CB7" w:rsidRDefault="00A65355">
      <w:pPr>
        <w:spacing w:before="60" w:after="60" w:line="318" w:lineRule="exact"/>
        <w:ind w:firstLine="720"/>
        <w:jc w:val="both"/>
        <w:rPr>
          <w:spacing w:val="-4"/>
        </w:rPr>
      </w:pPr>
      <w:r>
        <w:t>1</w:t>
      </w:r>
      <w:r w:rsidRPr="001B270D">
        <w:rPr>
          <w:spacing w:val="-2"/>
        </w:rPr>
        <w:t xml:space="preserve">. Về căn cứ pháp lý, cần bổ sung: Quyết định số 1506/QĐ-TTg ngày 02/12/2022 của Thủ tướng Chính phủ về việc giao dự toán ngân sách năm 2023; Các Thông tư của Bộ Tài chính: số 15/2022/TT-BTC ngày 04/3/2022 về quy định quản lý và sử dụng kinh phí sự nghiệp chương trình mục tiêu quốc gia phát triển kinh tế - xã hội vùng đồng bào dân tộc thiểu số và miền núi giai đoạn 2021-2030, giai đoạn 1: từ năm 2021 đến năm 2025; số 46/2022/TT-BCT ngày 28/7/2022 về quy định quản lý và sử dụng kinh phí sự nghiệp từ nguồn ngân sách </w:t>
      </w:r>
      <w:r w:rsidR="007F0B16" w:rsidRPr="001B270D">
        <w:rPr>
          <w:spacing w:val="-2"/>
        </w:rPr>
        <w:t>T</w:t>
      </w:r>
      <w:r w:rsidRPr="001B270D">
        <w:rPr>
          <w:spacing w:val="-2"/>
        </w:rPr>
        <w:t>rung ương thực hiện chương trình mục tiêu quốc gia giảm nghèo bền vững giai đoạn 2021-2025; số 53/2022/TT-BTC ngày 12/8/2022 về quy định quản lý và sử dụng kinh phí sự nghiệp từ nguồn ngân sách trung ương thực hiện chương trình mục tiêu quốc gia xây dựng nông thôn mới giai đoạn 2021-2025; Nghị quyết số 85/2022/NQ-HĐND ngày 25/8/2022 của Hội đồng nhân dân tỉnh về phân bổ vốn ngân sách Trung ương, ngân sách tỉnh năm 2022 thực hiện các Chương trình mục tiêu quốc gia.</w:t>
      </w:r>
    </w:p>
    <w:p w:rsidR="00397CB7" w:rsidRDefault="00A65355">
      <w:pPr>
        <w:spacing w:before="60" w:after="60" w:line="318" w:lineRule="exact"/>
        <w:ind w:firstLine="720"/>
        <w:jc w:val="both"/>
      </w:pPr>
      <w:r>
        <w:t xml:space="preserve">2. Về kế hoạch vốn sự nghiệp ngân sách Trung ương, ngân sách tỉnh năm 2023 thực hiện các chương trình mục tiêu quốc gia: </w:t>
      </w:r>
    </w:p>
    <w:p w:rsidR="00397CB7" w:rsidRDefault="00A65355">
      <w:pPr>
        <w:spacing w:before="60" w:after="60" w:line="318" w:lineRule="exact"/>
        <w:ind w:firstLine="720"/>
        <w:jc w:val="both"/>
      </w:pPr>
      <w:r>
        <w:lastRenderedPageBreak/>
        <w:t xml:space="preserve">- Chỉ đạo cơ quan chuyên môn rà soát, đánh giá kỹ các nội dung, dự án thuộc </w:t>
      </w:r>
      <w:r>
        <w:rPr>
          <w:iCs/>
          <w:spacing w:val="-6"/>
        </w:rPr>
        <w:t xml:space="preserve">03 Chương trình mục tiêu quốc gia hiện </w:t>
      </w:r>
      <w:r>
        <w:t xml:space="preserve">không còn phù hợp với tình hình thực tế của địa phương để kiến nghị, đề xuất Bộ, ngành Trung ương điều chỉnh phù hợp. </w:t>
      </w:r>
    </w:p>
    <w:p w:rsidR="00397CB7" w:rsidRDefault="00A65355">
      <w:pPr>
        <w:spacing w:before="60" w:after="60" w:line="318" w:lineRule="exact"/>
        <w:ind w:firstLine="720"/>
        <w:jc w:val="both"/>
      </w:pPr>
      <w:r>
        <w:t>- Đối với các Chương trình chuyên đề xây dựng Nông thôn mới đến nay chưa xây dựng Kế hoạch thực hiện</w:t>
      </w:r>
      <w:r>
        <w:rPr>
          <w:rStyle w:val="FootnoteReference"/>
        </w:rPr>
        <w:footnoteReference w:id="5"/>
      </w:r>
      <w:r>
        <w:t>, khẩn trương chỉ đạo sở, ngành liên quan xây dựng, ban hành kế hoạch để có cơ sở phân bổ vốn chi tiết.</w:t>
      </w:r>
    </w:p>
    <w:p w:rsidR="00397CB7" w:rsidRDefault="00A65355">
      <w:pPr>
        <w:spacing w:before="60" w:after="60" w:line="318" w:lineRule="exact"/>
        <w:ind w:firstLine="720"/>
        <w:jc w:val="both"/>
        <w:rPr>
          <w:spacing w:val="-4"/>
        </w:rPr>
      </w:pPr>
      <w:r>
        <w:t xml:space="preserve">- Về phân bổ vốn thực hiện các nội dung thành phần của Chương trình MTQG xây dựng NTM, đề nghị rà soát, đảm bảo đầy đủ các nội dung quy định tại </w:t>
      </w:r>
      <w:r>
        <w:rPr>
          <w:bCs/>
          <w:spacing w:val="-4"/>
        </w:rPr>
        <w:t>điểm b</w:t>
      </w:r>
      <w:r w:rsidR="007D6E96">
        <w:rPr>
          <w:bCs/>
          <w:spacing w:val="-4"/>
        </w:rPr>
        <w:t xml:space="preserve"> khoản 2</w:t>
      </w:r>
      <w:r>
        <w:rPr>
          <w:bCs/>
          <w:spacing w:val="-4"/>
        </w:rPr>
        <w:t xml:space="preserve"> Điều 6 Quyết định số </w:t>
      </w:r>
      <w:r>
        <w:rPr>
          <w:color w:val="000000"/>
          <w:shd w:val="clear" w:color="auto" w:fill="FFFFFF"/>
        </w:rPr>
        <w:t> 07/2022/QĐ-TTg</w:t>
      </w:r>
      <w:r>
        <w:rPr>
          <w:bCs/>
          <w:spacing w:val="-4"/>
        </w:rPr>
        <w:t xml:space="preserve"> ngày 25/3/2022 của Thủ tướng</w:t>
      </w:r>
      <w:r>
        <w:rPr>
          <w:spacing w:val="-4"/>
        </w:rPr>
        <w:t xml:space="preserve"> Chính phủ và Điều 5 Nghị quyết số 75/2022/NQ-HĐND ngày 15/7/2022 của </w:t>
      </w:r>
      <w:r w:rsidR="007D6E96">
        <w:rPr>
          <w:spacing w:val="-4"/>
        </w:rPr>
        <w:t>Hội đồng nhân dân</w:t>
      </w:r>
      <w:r>
        <w:rPr>
          <w:spacing w:val="-4"/>
        </w:rPr>
        <w:t xml:space="preserve"> tỉnh về quy định nguyên tắc, tiêu chí, định mức phân bổ ngân sách Nhà nước và tỷ lệ đối ứng của ngân sách địa phương thực hiện Chương trình MTQG xây dựng nông thôn mới giai đoạn 2022-2025.</w:t>
      </w:r>
    </w:p>
    <w:p w:rsidR="00397CB7" w:rsidRDefault="00A65355">
      <w:pPr>
        <w:spacing w:before="60" w:after="60" w:line="318" w:lineRule="exact"/>
        <w:ind w:firstLine="720"/>
        <w:jc w:val="both"/>
      </w:pPr>
      <w:r>
        <w:rPr>
          <w:spacing w:val="-4"/>
        </w:rPr>
        <w:t xml:space="preserve">3. Về việc </w:t>
      </w:r>
      <w:r>
        <w:t>điều chỉnh giảm kế hoạch vốn NTM năm 2022 và kéo dài thời gian thực hiện, giải ngân vốn sự nghiệp ngân sách tỉnh năm 2022 phân bổ tại Nghị quyết số 85/NQ-HĐND ngày 25/8/2022, Ban Kinh tế - Ngân sách thống nhất như đề xuất của Ủy ban nhân dân tỉnh; đồng thời đề nghị rà soát, đánh giá kỹ nguyên nhân chậm thực hiện, giải ngân các nội dung thuộc Chương trình MTQG giảm nghèo bền vững năm 2022 để có biện pháp khắc phục nhằm triển khai thuận lợi Chương trình MTQG các năm tiếp theo.</w:t>
      </w:r>
    </w:p>
    <w:p w:rsidR="00397CB7" w:rsidRDefault="00A65355">
      <w:pPr>
        <w:spacing w:before="60" w:after="60" w:line="318" w:lineRule="exact"/>
        <w:ind w:firstLine="720"/>
        <w:jc w:val="both"/>
        <w:rPr>
          <w:spacing w:val="-4"/>
        </w:rPr>
      </w:pPr>
      <w:r>
        <w:rPr>
          <w:spacing w:val="-4"/>
        </w:rPr>
        <w:t xml:space="preserve">4. Tại Điều 4, dự thảo Nghị quyết, đề nghị bổ sung cụm từ </w:t>
      </w:r>
      <w:r>
        <w:rPr>
          <w:i/>
          <w:spacing w:val="-4"/>
        </w:rPr>
        <w:t>“… và báo cáo Hội đồng nhân dân tỉnh tại Kỳ họp gần nhất”</w:t>
      </w:r>
      <w:r>
        <w:rPr>
          <w:spacing w:val="-4"/>
        </w:rPr>
        <w:t>.</w:t>
      </w:r>
    </w:p>
    <w:p w:rsidR="00397CB7" w:rsidRDefault="00A65355">
      <w:pPr>
        <w:spacing w:before="60" w:after="60" w:line="318" w:lineRule="exact"/>
        <w:ind w:firstLine="720"/>
        <w:jc w:val="both"/>
      </w:pPr>
      <w:r>
        <w:t>Trên đây là báo cáo thẩm tra của Ban Kinh tế - Ngân sách</w:t>
      </w:r>
      <w:r>
        <w:rPr>
          <w:lang w:val="vi-VN"/>
        </w:rPr>
        <w:t xml:space="preserve"> </w:t>
      </w:r>
      <w:r>
        <w:t xml:space="preserve">về </w:t>
      </w:r>
      <w:r>
        <w:rPr>
          <w:spacing w:val="-4"/>
        </w:rPr>
        <w:t xml:space="preserve">Tờ trình và dự thảo </w:t>
      </w:r>
      <w:r>
        <w:t>Nghị quyết phân bổ kế hoạch vốn sự nghiệp ngân sách Nhà nước năm 2023 thực hiện các chương trình mục tiêu quốc gia; Điều chỉnh kế hoạch vốn Nông thôn mới năm 2022 và kéo dài thời gian thực hiện, giải ngân vốn sự nghiệp của ngân sách tỉnh năm 2022</w:t>
      </w:r>
      <w:r>
        <w:rPr>
          <w:spacing w:val="-4"/>
        </w:rPr>
        <w:t>;</w:t>
      </w:r>
      <w:r>
        <w:t xml:space="preserve"> kính trình Hội đồng nhân dân tỉnh xem xét, quyết định./.</w:t>
      </w:r>
    </w:p>
    <w:p w:rsidR="00397CB7" w:rsidRDefault="00397CB7">
      <w:pPr>
        <w:spacing w:before="40" w:after="60" w:line="340" w:lineRule="atLeast"/>
        <w:ind w:firstLine="720"/>
        <w:jc w:val="both"/>
        <w:rPr>
          <w:sz w:val="16"/>
          <w:szCs w:val="16"/>
        </w:rPr>
      </w:pPr>
    </w:p>
    <w:tbl>
      <w:tblPr>
        <w:tblW w:w="5000" w:type="pct"/>
        <w:tblLook w:val="0000" w:firstRow="0" w:lastRow="0" w:firstColumn="0" w:lastColumn="0" w:noHBand="0" w:noVBand="0"/>
      </w:tblPr>
      <w:tblGrid>
        <w:gridCol w:w="4268"/>
        <w:gridCol w:w="5022"/>
      </w:tblGrid>
      <w:tr w:rsidR="00397CB7">
        <w:trPr>
          <w:trHeight w:val="1169"/>
        </w:trPr>
        <w:tc>
          <w:tcPr>
            <w:tcW w:w="2297" w:type="pct"/>
          </w:tcPr>
          <w:p w:rsidR="00397CB7" w:rsidRDefault="00A65355">
            <w:pPr>
              <w:pStyle w:val="Heading1"/>
              <w:rPr>
                <w:rFonts w:ascii="Times New Roman" w:hAnsi="Times New Roman"/>
                <w:sz w:val="22"/>
                <w:szCs w:val="22"/>
                <w:lang w:val="vi-VN"/>
              </w:rPr>
            </w:pPr>
            <w:r>
              <w:rPr>
                <w:rFonts w:ascii="Times New Roman" w:hAnsi="Times New Roman"/>
                <w:i/>
                <w:iCs/>
                <w:sz w:val="22"/>
                <w:szCs w:val="22"/>
                <w:lang w:val="vi-VN"/>
              </w:rPr>
              <w:t>Nơi nhận:</w:t>
            </w:r>
          </w:p>
          <w:p w:rsidR="00397CB7" w:rsidRDefault="00A65355">
            <w:pPr>
              <w:pStyle w:val="Heading1"/>
              <w:rPr>
                <w:rFonts w:ascii="Times New Roman" w:hAnsi="Times New Roman"/>
                <w:b w:val="0"/>
                <w:sz w:val="22"/>
                <w:szCs w:val="22"/>
                <w:lang w:val="vi-VN"/>
              </w:rPr>
            </w:pPr>
            <w:r>
              <w:rPr>
                <w:rFonts w:ascii="Times New Roman" w:hAnsi="Times New Roman"/>
                <w:b w:val="0"/>
                <w:sz w:val="22"/>
                <w:szCs w:val="22"/>
                <w:lang w:val="vi-VN"/>
              </w:rPr>
              <w:t>- TT Tỉnh ủy, HĐND tỉnh (b/c);</w:t>
            </w:r>
          </w:p>
          <w:p w:rsidR="00397CB7" w:rsidRDefault="00A65355">
            <w:pPr>
              <w:pStyle w:val="Heading1"/>
              <w:rPr>
                <w:rFonts w:ascii="Times New Roman" w:hAnsi="Times New Roman"/>
                <w:b w:val="0"/>
                <w:sz w:val="22"/>
                <w:szCs w:val="22"/>
                <w:lang w:val="vi-VN"/>
              </w:rPr>
            </w:pPr>
            <w:r>
              <w:rPr>
                <w:rFonts w:ascii="Times New Roman" w:hAnsi="Times New Roman"/>
                <w:b w:val="0"/>
                <w:sz w:val="22"/>
                <w:szCs w:val="22"/>
                <w:lang w:val="vi-VN"/>
              </w:rPr>
              <w:t>- UBND tỉnh; UBMTTQ tỉnh;</w:t>
            </w:r>
          </w:p>
          <w:p w:rsidR="00397CB7" w:rsidRDefault="00A65355">
            <w:pPr>
              <w:pStyle w:val="Heading1"/>
              <w:rPr>
                <w:rFonts w:ascii="Times New Roman" w:hAnsi="Times New Roman"/>
                <w:b w:val="0"/>
                <w:sz w:val="22"/>
                <w:szCs w:val="22"/>
                <w:lang w:val="vi-VN"/>
              </w:rPr>
            </w:pPr>
            <w:r>
              <w:rPr>
                <w:rFonts w:ascii="Times New Roman" w:hAnsi="Times New Roman"/>
                <w:b w:val="0"/>
                <w:sz w:val="22"/>
                <w:szCs w:val="22"/>
                <w:lang w:val="vi-VN"/>
              </w:rPr>
              <w:t>- Các đại biểu HĐND tỉnh</w:t>
            </w:r>
            <w:r>
              <w:rPr>
                <w:rFonts w:ascii="Times New Roman" w:hAnsi="Times New Roman"/>
                <w:b w:val="0"/>
                <w:sz w:val="22"/>
                <w:szCs w:val="22"/>
              </w:rPr>
              <w:t xml:space="preserve"> khóa XVIII</w:t>
            </w:r>
            <w:r>
              <w:rPr>
                <w:rFonts w:ascii="Times New Roman" w:hAnsi="Times New Roman"/>
                <w:b w:val="0"/>
                <w:sz w:val="22"/>
                <w:szCs w:val="22"/>
                <w:lang w:val="vi-VN"/>
              </w:rPr>
              <w:t>;</w:t>
            </w:r>
          </w:p>
          <w:p w:rsidR="00397CB7" w:rsidRDefault="00A65355">
            <w:pPr>
              <w:pStyle w:val="Heading1"/>
              <w:rPr>
                <w:rFonts w:ascii="Times New Roman" w:hAnsi="Times New Roman"/>
                <w:b w:val="0"/>
                <w:sz w:val="22"/>
                <w:szCs w:val="22"/>
                <w:lang w:val="vi-VN"/>
              </w:rPr>
            </w:pPr>
            <w:r>
              <w:rPr>
                <w:rFonts w:ascii="Times New Roman" w:hAnsi="Times New Roman"/>
                <w:b w:val="0"/>
                <w:sz w:val="22"/>
                <w:szCs w:val="22"/>
                <w:lang w:val="vi-VN"/>
              </w:rPr>
              <w:t xml:space="preserve">- Các đại biểu tham dự </w:t>
            </w:r>
            <w:r>
              <w:rPr>
                <w:rFonts w:ascii="Times New Roman" w:hAnsi="Times New Roman"/>
                <w:b w:val="0"/>
                <w:sz w:val="22"/>
                <w:szCs w:val="22"/>
              </w:rPr>
              <w:t>K</w:t>
            </w:r>
            <w:r>
              <w:rPr>
                <w:rFonts w:ascii="Times New Roman" w:hAnsi="Times New Roman"/>
                <w:b w:val="0"/>
                <w:sz w:val="22"/>
                <w:szCs w:val="22"/>
                <w:lang w:val="vi-VN"/>
              </w:rPr>
              <w:t>ỳ họp</w:t>
            </w:r>
            <w:r>
              <w:rPr>
                <w:rFonts w:ascii="Times New Roman" w:hAnsi="Times New Roman"/>
                <w:b w:val="0"/>
                <w:sz w:val="22"/>
                <w:szCs w:val="22"/>
              </w:rPr>
              <w:t xml:space="preserve"> thứ 13</w:t>
            </w:r>
            <w:r>
              <w:rPr>
                <w:rFonts w:ascii="Times New Roman" w:hAnsi="Times New Roman"/>
                <w:b w:val="0"/>
                <w:sz w:val="22"/>
                <w:szCs w:val="22"/>
                <w:lang w:val="vi-VN"/>
              </w:rPr>
              <w:t>;</w:t>
            </w:r>
          </w:p>
          <w:p w:rsidR="00397CB7" w:rsidRDefault="00A65355">
            <w:pPr>
              <w:pStyle w:val="Heading1"/>
              <w:rPr>
                <w:rFonts w:ascii="Times New Roman" w:hAnsi="Times New Roman"/>
                <w:b w:val="0"/>
                <w:sz w:val="22"/>
                <w:szCs w:val="22"/>
                <w:lang w:val="vi-VN"/>
              </w:rPr>
            </w:pPr>
            <w:r>
              <w:rPr>
                <w:rFonts w:ascii="Times New Roman" w:hAnsi="Times New Roman"/>
                <w:b w:val="0"/>
                <w:sz w:val="22"/>
                <w:szCs w:val="22"/>
                <w:lang w:val="vi-VN"/>
              </w:rPr>
              <w:t xml:space="preserve">- VP </w:t>
            </w:r>
            <w:r>
              <w:rPr>
                <w:rFonts w:ascii="Times New Roman" w:hAnsi="Times New Roman"/>
                <w:b w:val="0"/>
                <w:sz w:val="22"/>
                <w:szCs w:val="22"/>
              </w:rPr>
              <w:t xml:space="preserve">Đoàn ĐBQH và </w:t>
            </w:r>
            <w:r>
              <w:rPr>
                <w:rFonts w:ascii="Times New Roman" w:hAnsi="Times New Roman"/>
                <w:b w:val="0"/>
                <w:sz w:val="22"/>
                <w:szCs w:val="22"/>
                <w:lang w:val="vi-VN"/>
              </w:rPr>
              <w:t>HĐND tỉnh;</w:t>
            </w:r>
          </w:p>
          <w:p w:rsidR="00397CB7" w:rsidRDefault="00A65355">
            <w:pPr>
              <w:pStyle w:val="Heading1"/>
              <w:rPr>
                <w:sz w:val="22"/>
                <w:szCs w:val="22"/>
                <w:lang w:val="vi-VN"/>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5</w:t>
            </w:r>
            <w:r>
              <w:rPr>
                <w:rFonts w:ascii="Times New Roman" w:hAnsi="Times New Roman"/>
                <w:b w:val="0"/>
                <w:sz w:val="22"/>
                <w:szCs w:val="22"/>
                <w:lang w:val="vi-VN"/>
              </w:rPr>
              <w:t>.</w:t>
            </w:r>
          </w:p>
        </w:tc>
        <w:tc>
          <w:tcPr>
            <w:tcW w:w="2703" w:type="pct"/>
          </w:tcPr>
          <w:p w:rsidR="00397CB7" w:rsidRDefault="00A65355">
            <w:pPr>
              <w:jc w:val="center"/>
              <w:rPr>
                <w:b/>
                <w:lang w:val="vi-VN"/>
              </w:rPr>
            </w:pPr>
            <w:r>
              <w:rPr>
                <w:b/>
                <w:lang w:val="vi-VN"/>
              </w:rPr>
              <w:t xml:space="preserve">TM. BAN KINH TẾ </w:t>
            </w:r>
            <w:r>
              <w:rPr>
                <w:b/>
              </w:rPr>
              <w:t xml:space="preserve">- </w:t>
            </w:r>
            <w:r>
              <w:rPr>
                <w:b/>
                <w:lang w:val="vi-VN"/>
              </w:rPr>
              <w:t>NGÂN SÁCH</w:t>
            </w:r>
          </w:p>
          <w:p w:rsidR="00397CB7" w:rsidRDefault="00A65355">
            <w:pPr>
              <w:jc w:val="center"/>
              <w:rPr>
                <w:b/>
                <w:lang w:val="vi-VN"/>
              </w:rPr>
            </w:pPr>
            <w:r>
              <w:rPr>
                <w:b/>
                <w:lang w:val="vi-VN"/>
              </w:rPr>
              <w:t>TRƯỞNG BAN</w:t>
            </w:r>
          </w:p>
          <w:p w:rsidR="00397CB7" w:rsidRDefault="00397CB7">
            <w:pPr>
              <w:jc w:val="center"/>
              <w:rPr>
                <w:lang w:val="vi-VN"/>
              </w:rPr>
            </w:pPr>
          </w:p>
          <w:p w:rsidR="00397CB7" w:rsidRDefault="00397CB7">
            <w:pPr>
              <w:jc w:val="center"/>
              <w:rPr>
                <w:i/>
                <w:lang w:val="nb-NO"/>
              </w:rPr>
            </w:pPr>
          </w:p>
          <w:p w:rsidR="00397CB7" w:rsidRDefault="00397CB7">
            <w:pPr>
              <w:jc w:val="center"/>
              <w:rPr>
                <w:i/>
                <w:lang w:val="nb-NO"/>
              </w:rPr>
            </w:pPr>
          </w:p>
          <w:p w:rsidR="00397CB7" w:rsidRDefault="00397CB7">
            <w:pPr>
              <w:jc w:val="center"/>
              <w:rPr>
                <w:i/>
                <w:lang w:val="nb-NO"/>
              </w:rPr>
            </w:pPr>
          </w:p>
          <w:p w:rsidR="00397CB7" w:rsidRDefault="00397CB7">
            <w:pPr>
              <w:jc w:val="center"/>
              <w:rPr>
                <w:i/>
                <w:lang w:val="nb-NO"/>
              </w:rPr>
            </w:pPr>
          </w:p>
          <w:p w:rsidR="00397CB7" w:rsidRDefault="00397CB7">
            <w:pPr>
              <w:jc w:val="center"/>
              <w:rPr>
                <w:b/>
              </w:rPr>
            </w:pPr>
          </w:p>
          <w:p w:rsidR="00397CB7" w:rsidRDefault="00397CB7">
            <w:pPr>
              <w:jc w:val="center"/>
              <w:rPr>
                <w:b/>
                <w:lang w:val="vi-VN"/>
              </w:rPr>
            </w:pPr>
          </w:p>
          <w:p w:rsidR="00397CB7" w:rsidRDefault="00A65355">
            <w:pPr>
              <w:jc w:val="center"/>
              <w:rPr>
                <w:lang w:val="es-PR"/>
              </w:rPr>
            </w:pPr>
            <w:r>
              <w:rPr>
                <w:b/>
                <w:lang w:val="es-PR"/>
              </w:rPr>
              <w:t>Nguyễn Thị Thúy Nga</w:t>
            </w:r>
          </w:p>
        </w:tc>
      </w:tr>
    </w:tbl>
    <w:p w:rsidR="00397CB7" w:rsidRDefault="00397CB7"/>
    <w:sectPr w:rsidR="00397CB7">
      <w:headerReference w:type="default" r:id="rId8"/>
      <w:footerReference w:type="even" r:id="rId9"/>
      <w:pgSz w:w="11909" w:h="16834" w:code="9"/>
      <w:pgMar w:top="1134" w:right="1134" w:bottom="1134" w:left="1701" w:header="720"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77" w:rsidRDefault="00383A77">
      <w:r>
        <w:separator/>
      </w:r>
    </w:p>
  </w:endnote>
  <w:endnote w:type="continuationSeparator" w:id="0">
    <w:p w:rsidR="00383A77" w:rsidRDefault="0038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B7" w:rsidRDefault="00A65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97CB7" w:rsidRDefault="00397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77" w:rsidRDefault="00383A77">
      <w:r>
        <w:separator/>
      </w:r>
    </w:p>
  </w:footnote>
  <w:footnote w:type="continuationSeparator" w:id="0">
    <w:p w:rsidR="00383A77" w:rsidRDefault="00383A77">
      <w:r>
        <w:continuationSeparator/>
      </w:r>
    </w:p>
  </w:footnote>
  <w:footnote w:id="1">
    <w:p w:rsidR="00397CB7" w:rsidRDefault="00A65355">
      <w:pPr>
        <w:pStyle w:val="FootnoteText"/>
        <w:jc w:val="both"/>
      </w:pPr>
      <w:r>
        <w:rPr>
          <w:rStyle w:val="FootnoteReference"/>
        </w:rPr>
        <w:footnoteRef/>
      </w:r>
      <w:r>
        <w:t xml:space="preserve"> Gồm: 75.103 triệu đồng thực hiện Chương trình MTQG giảm nghèo bền vững, 55.673 triệu đồng thực hiện Chương trình MTQG xây dựng NTM, 6.609 triệu đồng thực hiện Chương trình MTQG phát triển kinh tế - xã hội vùng đồng bào dân tộc thiểu số và miền núi</w:t>
      </w:r>
    </w:p>
  </w:footnote>
  <w:footnote w:id="2">
    <w:p w:rsidR="00397CB7" w:rsidRDefault="00A65355">
      <w:pPr>
        <w:pStyle w:val="FootnoteText"/>
        <w:jc w:val="both"/>
      </w:pPr>
      <w:r>
        <w:rPr>
          <w:rStyle w:val="FootnoteReference"/>
        </w:rPr>
        <w:footnoteRef/>
      </w:r>
      <w:r>
        <w:t xml:space="preserve"> Lý do: - Trung tâm Khuyến nông chưa lựa chọn được địa điểm đủ điều kiện thực hiện mô hình (Kinh phí thực hiện mô hình chăn nuôi lợn thịt hữu cơ gắn với tiêu thụ sản phẩm tại xã Thạch Đài phân bổ cho Trung tâm Khuyến nông là 146 triệu đồng) </w:t>
      </w:r>
    </w:p>
    <w:p w:rsidR="00397CB7" w:rsidRDefault="00A65355">
      <w:pPr>
        <w:pStyle w:val="FootnoteText"/>
        <w:jc w:val="both"/>
      </w:pPr>
      <w:r>
        <w:t>- Không thực hiện hết kế hoạch vốn và không đủ điều kiện thực hiện (Kinh phí thực hiện các nội dung NTM phân bổ cho Văn phòng Điều phối NTM là 4.465 triệu đồng)</w:t>
      </w:r>
    </w:p>
    <w:p w:rsidR="00397CB7" w:rsidRDefault="00A65355">
      <w:pPr>
        <w:pStyle w:val="FootnoteText"/>
        <w:jc w:val="both"/>
      </w:pPr>
      <w:r>
        <w:t xml:space="preserve"> </w:t>
      </w:r>
    </w:p>
  </w:footnote>
  <w:footnote w:id="3">
    <w:p w:rsidR="00397CB7" w:rsidRDefault="00A65355">
      <w:pPr>
        <w:pStyle w:val="FootnoteText"/>
        <w:jc w:val="both"/>
      </w:pPr>
      <w:r>
        <w:rPr>
          <w:rStyle w:val="FootnoteReference"/>
        </w:rPr>
        <w:footnoteRef/>
      </w:r>
      <w:r>
        <w:t xml:space="preserve"> Tại khoản 2, Điều 4 Nghị quyết số 74/2022/NQ-HĐND quy định: “Vốn sự nghiệp: Ngân sách địa phương bố trí vốn đối ứng tối thiểu bằng 10% tổng vốn sự nghiệp ngân sách Trung ương hỗ trợ thực hiện Chương trình”</w:t>
      </w:r>
    </w:p>
  </w:footnote>
  <w:footnote w:id="4">
    <w:p w:rsidR="00397CB7" w:rsidRDefault="00A65355">
      <w:pPr>
        <w:pStyle w:val="FootnoteText"/>
        <w:jc w:val="both"/>
        <w:rPr>
          <w:lang w:val="vi-VN"/>
        </w:rPr>
      </w:pPr>
      <w:r>
        <w:rPr>
          <w:rStyle w:val="FootnoteReference"/>
        </w:rPr>
        <w:footnoteRef/>
      </w:r>
      <w:r>
        <w:t xml:space="preserve"> </w:t>
      </w:r>
      <w:r>
        <w:rPr>
          <w:lang w:val="vi-VN"/>
        </w:rPr>
        <w:t>Các Nghị quyết của Quốc hội: số 120/2020/QH14, số 2</w:t>
      </w:r>
      <w:r>
        <w:t>4</w:t>
      </w:r>
      <w:r>
        <w:rPr>
          <w:lang w:val="vi-VN"/>
        </w:rPr>
        <w:t>/2021/QH15, số 2</w:t>
      </w:r>
      <w:r>
        <w:t>5</w:t>
      </w:r>
      <w:r>
        <w:rPr>
          <w:lang w:val="vi-VN"/>
        </w:rPr>
        <w:t xml:space="preserve">/2021/QH15, số </w:t>
      </w:r>
      <w:r>
        <w:t>70</w:t>
      </w:r>
      <w:r>
        <w:rPr>
          <w:lang w:val="vi-VN"/>
        </w:rPr>
        <w:t>/202</w:t>
      </w:r>
      <w:r>
        <w:t>2</w:t>
      </w:r>
      <w:r>
        <w:rPr>
          <w:lang w:val="vi-VN"/>
        </w:rPr>
        <w:t>/QH15; Nghị quyết số 517/NQ-UBTVQH15 ngày 22/5/2022 của Ủy ban Thường vụ Quốc hội; Nghị định số 27/2022/NĐ-CP ngày 19/4/2022 của Chính phủ; Các Quyết định của Thủ tướng Chính phủ: số 1719/QĐ-TTg ngày 14/10/2021, số 90/QĐ-TTg ngày 18/01/2021, số 263/QĐ-TTg ngày 22/02/2022, số 2114/QĐ-TTg ngày 16/12/2020, số 39/2021/QĐ-TTg ngày 30/12/2021</w:t>
      </w:r>
      <w:r>
        <w:t>, số 02/2022/QĐ-TTg ngày 18/01/2022, số 07/2022/QĐ-TTg ngày 25/3/2022, số 1506/QĐ-TTg ngày 02/12/2023</w:t>
      </w:r>
      <w:r>
        <w:rPr>
          <w:lang w:val="vi-VN"/>
        </w:rPr>
        <w:t>;</w:t>
      </w:r>
      <w:r>
        <w:t xml:space="preserve"> Các Thông tư của Bộ Tài chính: số 15/2022/TT-BTC ngày 4/3/2022, số 46/2022/TT-BTC ngày 28/7/2022, số 53/2022/TT-BTC ngày 12/8/2022; Các Nghị quyết của HĐND tỉnh: số 74/2022/NQ-HĐND ngày 15/7/2022, số 75/2022/NQ-HĐND ngày 15/7/2022, số 96/NQ-HĐND ngày 16/12/2022</w:t>
      </w:r>
      <w:r>
        <w:rPr>
          <w:lang w:val="vi-VN"/>
        </w:rPr>
        <w:t>…</w:t>
      </w:r>
    </w:p>
  </w:footnote>
  <w:footnote w:id="5">
    <w:p w:rsidR="00397CB7" w:rsidRDefault="00A65355">
      <w:pPr>
        <w:pStyle w:val="FootnoteText"/>
        <w:jc w:val="both"/>
      </w:pPr>
      <w:r>
        <w:rPr>
          <w:rStyle w:val="FootnoteReference"/>
        </w:rPr>
        <w:footnoteRef/>
      </w:r>
      <w:r>
        <w:t xml:space="preserve"> 03 Chương trình chuyên đề chưa xây dựng kế hoạch gồm: Chương trình Mỗi xã một sản phẩm (OCOP), Chương trình phát triển du lịch nông thôn trong xây dựng nông thôn mới, Chương trình chuyển đổi số trong xây dựng nông thôn mới, hướng tới nông thôn mới thông minh.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B7" w:rsidRDefault="00A65355">
    <w:pPr>
      <w:pStyle w:val="Header"/>
      <w:jc w:val="center"/>
    </w:pPr>
    <w:r>
      <w:fldChar w:fldCharType="begin"/>
    </w:r>
    <w:r>
      <w:instrText xml:space="preserve"> PAGE   \* MERGEFORMAT </w:instrText>
    </w:r>
    <w:r>
      <w:fldChar w:fldCharType="separate"/>
    </w:r>
    <w:r w:rsidR="004C751F">
      <w:rPr>
        <w:noProof/>
      </w:rPr>
      <w:t>2</w:t>
    </w:r>
    <w:r>
      <w:rPr>
        <w:noProof/>
      </w:rPr>
      <w:fldChar w:fldCharType="end"/>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B7"/>
    <w:rsid w:val="001557FE"/>
    <w:rsid w:val="001B270D"/>
    <w:rsid w:val="001E419E"/>
    <w:rsid w:val="002418CD"/>
    <w:rsid w:val="00322A96"/>
    <w:rsid w:val="00383A77"/>
    <w:rsid w:val="00397CB7"/>
    <w:rsid w:val="00430F42"/>
    <w:rsid w:val="004C751F"/>
    <w:rsid w:val="007D6E96"/>
    <w:rsid w:val="007F0B16"/>
    <w:rsid w:val="009D69DD"/>
    <w:rsid w:val="00A65355"/>
    <w:rsid w:val="00E3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after="160" w:line="240" w:lineRule="exact"/>
    </w:pPr>
    <w:rPr>
      <w:b/>
      <w:color w:val="000000"/>
      <w:vertAlign w:val="superscript"/>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b w:val="0"/>
      <w:color w:val="auto"/>
      <w:sz w:val="18"/>
      <w:szCs w:val="18"/>
    </w:rPr>
  </w:style>
  <w:style w:type="character" w:styleId="Strong">
    <w:name w:val="Strong"/>
    <w:basedOn w:val="DefaultParagraphFont"/>
    <w:uiPriority w:val="22"/>
    <w:qFormat/>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after="160" w:line="240" w:lineRule="exact"/>
    </w:pPr>
    <w:rPr>
      <w:b/>
      <w:color w:val="000000"/>
      <w:vertAlign w:val="superscript"/>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b w:val="0"/>
      <w:color w:val="auto"/>
      <w:sz w:val="18"/>
      <w:szCs w:val="18"/>
    </w:rPr>
  </w:style>
  <w:style w:type="character" w:styleId="Strong">
    <w:name w:val="Strong"/>
    <w:basedOn w:val="DefaultParagraphFont"/>
    <w:uiPriority w:val="22"/>
    <w:qFormat/>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0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96F164-7F84-4072-837B-DED1952A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cp:lastPrinted>2023-04-26T00:20:00Z</cp:lastPrinted>
  <dcterms:created xsi:type="dcterms:W3CDTF">2023-06-05T09:32:00Z</dcterms:created>
  <dcterms:modified xsi:type="dcterms:W3CDTF">2023-06-05T09:33:00Z</dcterms:modified>
</cp:coreProperties>
</file>